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rFonts w:ascii="Arial" w:hAnsi="Arial" w:cs="Arial"/>
          <w:b/>
          <w:sz w:val="28"/>
        </w:rPr>
        <w:t xml:space="preserve">Risk and Control Matrix - Fixed Assets (draft)</w:t>
      </w:r>
    </w:p>
    <w:p>
      <w:r>
        <w:rPr>
          <w:rFonts w:ascii="Arial" w:hAnsi="Arial" w:cs="Arial"/>
          <w:sz w:val="20"/>
        </w:rPr>
        <w:t xml:space="preserve">FLAGS: AI reply 1: (1) Control owner not specified in narrative for the annual physical verification and for the month-end sub-ledger to general ledger reconciliation. (2) Frequency not specified for the goods receipt check and for the ERP depreciation calculation. (3) Gaps a reviewer would expect but the narrative does not describe, not added as controls: no review of the capitalisation decision (capital vs revenue), no control over changes to the asset master (useful lives, rates), no segregation of duties between raising the capex request, receiving the asset and releasing payment.</w:t>
      </w:r>
    </w:p>
    <w:tbl>
      <w:tblPr>
        <w:tblW w:w="15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82"/>
        <w:gridCol w:w="1682"/>
        <w:gridCol w:w="1682"/>
        <w:gridCol w:w="1682"/>
        <w:gridCol w:w="1682"/>
        <w:gridCol w:w="1682"/>
        <w:gridCol w:w="1682"/>
        <w:gridCol w:w="1682"/>
        <w:gridCol w:w="1682"/>
      </w:tblGrid>
      <w:tr>
        <w:trPr>
          <w:tblHeader/>
        </w:trPr>
        <w:tc>
          <w:tcPr>
            <w:tcW w:w="1682" w:type="dxa"/>
            <w:shd w:val="clear" w:color="auto" w:fill="1E3A5F"/>
          </w:tcPr>
          <w:p>
            <w:r>
              <w:rPr>
                <w:rFonts w:ascii="Arial" w:hAnsi="Arial" w:cs="Arial"/>
                <w:b/>
                <w:color w:val="FFFFFF"/>
                <w:sz w:val="18"/>
              </w:rPr>
              <w:t xml:space="preserve">Sr. No.</w:t>
            </w:r>
          </w:p>
        </w:tc>
        <w:tc>
          <w:tcPr>
            <w:tcW w:w="1682" w:type="dxa"/>
            <w:shd w:val="clear" w:color="auto" w:fill="1E3A5F"/>
          </w:tcPr>
          <w:p>
            <w:r>
              <w:rPr>
                <w:rFonts w:ascii="Arial" w:hAnsi="Arial" w:cs="Arial"/>
                <w:b/>
                <w:color w:val="FFFFFF"/>
                <w:sz w:val="18"/>
              </w:rPr>
              <w:t xml:space="preserve">Process Step Ref.</w:t>
            </w:r>
          </w:p>
        </w:tc>
        <w:tc>
          <w:tcPr>
            <w:tcW w:w="1682" w:type="dxa"/>
            <w:shd w:val="clear" w:color="auto" w:fill="1E3A5F"/>
          </w:tcPr>
          <w:p>
            <w:r>
              <w:rPr>
                <w:rFonts w:ascii="Arial" w:hAnsi="Arial" w:cs="Arial"/>
                <w:b/>
                <w:color w:val="FFFFFF"/>
                <w:sz w:val="18"/>
              </w:rPr>
              <w:t xml:space="preserve">Risk</w:t>
            </w:r>
          </w:p>
        </w:tc>
        <w:tc>
          <w:tcPr>
            <w:tcW w:w="1682" w:type="dxa"/>
            <w:shd w:val="clear" w:color="auto" w:fill="1E3A5F"/>
          </w:tcPr>
          <w:p>
            <w:r>
              <w:rPr>
                <w:rFonts w:ascii="Arial" w:hAnsi="Arial" w:cs="Arial"/>
                <w:b/>
                <w:color w:val="FFFFFF"/>
                <w:sz w:val="18"/>
              </w:rPr>
              <w:t xml:space="preserve">Control Description</w:t>
            </w:r>
          </w:p>
        </w:tc>
        <w:tc>
          <w:tcPr>
            <w:tcW w:w="1682" w:type="dxa"/>
            <w:shd w:val="clear" w:color="auto" w:fill="1E3A5F"/>
          </w:tcPr>
          <w:p>
            <w:r>
              <w:rPr>
                <w:rFonts w:ascii="Arial" w:hAnsi="Arial" w:cs="Arial"/>
                <w:b/>
                <w:color w:val="FFFFFF"/>
                <w:sz w:val="18"/>
              </w:rPr>
              <w:t xml:space="preserve">Control Owner</w:t>
            </w:r>
          </w:p>
        </w:tc>
        <w:tc>
          <w:tcPr>
            <w:tcW w:w="1682" w:type="dxa"/>
            <w:shd w:val="clear" w:color="auto" w:fill="1E3A5F"/>
          </w:tcPr>
          <w:p>
            <w:r>
              <w:rPr>
                <w:rFonts w:ascii="Arial" w:hAnsi="Arial" w:cs="Arial"/>
                <w:b/>
                <w:color w:val="FFFFFF"/>
                <w:sz w:val="18"/>
              </w:rPr>
              <w:t xml:space="preserve">Frequency</w:t>
            </w:r>
          </w:p>
        </w:tc>
        <w:tc>
          <w:tcPr>
            <w:tcW w:w="1682" w:type="dxa"/>
            <w:shd w:val="clear" w:color="auto" w:fill="1E3A5F"/>
          </w:tcPr>
          <w:p>
            <w:r>
              <w:rPr>
                <w:rFonts w:ascii="Arial" w:hAnsi="Arial" w:cs="Arial"/>
                <w:b/>
                <w:color w:val="FFFFFF"/>
                <w:sz w:val="18"/>
              </w:rPr>
              <w:t xml:space="preserve">Key / Non-Key</w:t>
            </w:r>
          </w:p>
        </w:tc>
        <w:tc>
          <w:tcPr>
            <w:tcW w:w="1682" w:type="dxa"/>
            <w:shd w:val="clear" w:color="auto" w:fill="1E3A5F"/>
          </w:tcPr>
          <w:p>
            <w:r>
              <w:rPr>
                <w:rFonts w:ascii="Arial" w:hAnsi="Arial" w:cs="Arial"/>
                <w:b/>
                <w:color w:val="FFFFFF"/>
                <w:sz w:val="18"/>
              </w:rPr>
              <w:t xml:space="preserve">Test Procedure</w:t>
            </w:r>
          </w:p>
        </w:tc>
        <w:tc>
          <w:tcPr>
            <w:tcW w:w="1682" w:type="dxa"/>
            <w:shd w:val="clear" w:color="auto" w:fill="1E3A5F"/>
          </w:tcPr>
          <w:p>
            <w:r>
              <w:rPr>
                <w:rFonts w:ascii="Arial" w:hAnsi="Arial" w:cs="Arial"/>
                <w:b/>
                <w:color w:val="FFFFFF"/>
                <w:sz w:val="18"/>
              </w:rPr>
              <w:t xml:space="preserve">Assertion</w:t>
            </w:r>
          </w:p>
        </w:tc>
      </w:tr>
      <w:tr>
        <w:trPr>
          <w:cantSplit/>
        </w:trPr>
        <w:tc>
          <w:tcPr>
            <w:tcW w:w="1682" w:type="dxa"/>
          </w:tcPr>
          <w:p>
            <w:r>
              <w:rPr>
                <w:rFonts w:ascii="Arial" w:hAnsi="Arial" w:cs="Arial"/>
                <w:sz w:val="18"/>
              </w:rPr>
              <w:t xml:space="preserve">1</w:t>
            </w:r>
          </w:p>
        </w:tc>
        <w:tc>
          <w:tcPr>
            <w:tcW w:w="1682" w:type="dxa"/>
          </w:tcPr>
          <w:p>
            <w:r>
              <w:rPr>
                <w:rFonts w:ascii="Arial" w:hAnsi="Arial" w:cs="Arial"/>
                <w:sz w:val="18"/>
              </w:rPr>
              <w:t xml:space="preserve">Step 2</w:t>
            </w:r>
          </w:p>
        </w:tc>
        <w:tc>
          <w:tcPr>
            <w:tcW w:w="1682" w:type="dxa"/>
          </w:tcPr>
          <w:p>
            <w:r>
              <w:rPr>
                <w:rFonts w:ascii="Arial" w:hAnsi="Arial" w:cs="Arial"/>
                <w:sz w:val="18"/>
              </w:rPr>
              <w:t xml:space="preserve">Capital spend is committed without authorisation</w:t>
            </w:r>
          </w:p>
        </w:tc>
        <w:tc>
          <w:tcPr>
            <w:tcW w:w="1682" w:type="dxa"/>
          </w:tcPr>
          <w:p>
            <w:r>
              <w:rPr>
                <w:rFonts w:ascii="Arial" w:hAnsi="Arial" w:cs="Arial"/>
                <w:sz w:val="18"/>
              </w:rPr>
              <w:t xml:space="preserve">The Finance Controller approves each request before a purchase order is issued.</w:t>
            </w:r>
          </w:p>
        </w:tc>
        <w:tc>
          <w:tcPr>
            <w:tcW w:w="1682" w:type="dxa"/>
          </w:tcPr>
          <w:p>
            <w:r>
              <w:rPr>
                <w:rFonts w:ascii="Arial" w:hAnsi="Arial" w:cs="Arial"/>
                <w:sz w:val="18"/>
              </w:rPr>
              <w:t xml:space="preserve">Finance Controller</w:t>
            </w:r>
          </w:p>
        </w:tc>
        <w:tc>
          <w:tcPr>
            <w:tcW w:w="1682" w:type="dxa"/>
          </w:tcPr>
          <w:p>
            <w:r>
              <w:rPr>
                <w:rFonts w:ascii="Arial" w:hAnsi="Arial" w:cs="Arial"/>
                <w:sz w:val="18"/>
              </w:rPr>
              <w:t xml:space="preserve">Per transaction</w:t>
            </w:r>
          </w:p>
        </w:tc>
        <w:tc>
          <w:tcPr>
            <w:tcW w:w="1682" w:type="dxa"/>
          </w:tcPr>
          <w:p>
            <w:r>
              <w:rPr>
                <w:rFonts w:ascii="Arial" w:hAnsi="Arial" w:cs="Arial"/>
                <w:sz w:val="18"/>
              </w:rPr>
              <w:t xml:space="preserve">Key</w:t>
            </w:r>
          </w:p>
        </w:tc>
        <w:tc>
          <w:tcPr>
            <w:tcW w:w="1682" w:type="dxa"/>
          </w:tcPr>
          <w:p>
            <w:r>
              <w:rPr>
                <w:rFonts w:ascii="Arial" w:hAnsi="Arial" w:cs="Arial"/>
                <w:sz w:val="18"/>
              </w:rPr>
              <w:t xml:space="preserve">For a sample of capital purchase orders, inspect the capex request for Finance Controller approval dated before the purchase order date.</w:t>
            </w:r>
          </w:p>
        </w:tc>
        <w:tc>
          <w:tcPr>
            <w:tcW w:w="1682" w:type="dxa"/>
          </w:tcPr>
          <w:p>
            <w:r>
              <w:rPr>
                <w:rFonts w:ascii="Arial" w:hAnsi="Arial" w:cs="Arial"/>
                <w:sz w:val="18"/>
              </w:rPr>
              <w:t xml:space="preserve">Occurrence</w:t>
            </w:r>
          </w:p>
        </w:tc>
      </w:tr>
      <w:tr>
        <w:trPr>
          <w:cantSplit/>
        </w:trPr>
        <w:tc>
          <w:tcPr>
            <w:tcW w:w="1682" w:type="dxa"/>
          </w:tcPr>
          <w:p>
            <w:r>
              <w:rPr>
                <w:rFonts w:ascii="Arial" w:hAnsi="Arial" w:cs="Arial"/>
                <w:sz w:val="18"/>
              </w:rPr>
              <w:t xml:space="preserve">2</w:t>
            </w:r>
          </w:p>
        </w:tc>
        <w:tc>
          <w:tcPr>
            <w:tcW w:w="1682" w:type="dxa"/>
          </w:tcPr>
          <w:p>
            <w:r>
              <w:rPr>
                <w:rFonts w:ascii="Arial" w:hAnsi="Arial" w:cs="Arial"/>
                <w:sz w:val="18"/>
              </w:rPr>
              <w:t xml:space="preserve">Step 3</w:t>
            </w:r>
          </w:p>
        </w:tc>
        <w:tc>
          <w:tcPr>
            <w:tcW w:w="1682" w:type="dxa"/>
          </w:tcPr>
          <w:p>
            <w:r>
              <w:rPr>
                <w:rFonts w:ascii="Arial" w:hAnsi="Arial" w:cs="Arial"/>
                <w:sz w:val="18"/>
              </w:rPr>
              <w:t xml:space="preserve">Assets are bought at uncompetitive prices or from unvetted vendors</w:t>
            </w:r>
          </w:p>
        </w:tc>
        <w:tc>
          <w:tcPr>
            <w:tcW w:w="1682" w:type="dxa"/>
          </w:tcPr>
          <w:p>
            <w:r>
              <w:rPr>
                <w:rFonts w:ascii="Arial" w:hAnsi="Arial" w:cs="Arial"/>
                <w:sz w:val="18"/>
              </w:rPr>
              <w:t xml:space="preserve">The Procurement team issues the purchase order only after three vendor quotations have been compared.</w:t>
            </w:r>
          </w:p>
        </w:tc>
        <w:tc>
          <w:tcPr>
            <w:tcW w:w="1682" w:type="dxa"/>
          </w:tcPr>
          <w:p>
            <w:r>
              <w:rPr>
                <w:rFonts w:ascii="Arial" w:hAnsi="Arial" w:cs="Arial"/>
                <w:sz w:val="18"/>
              </w:rPr>
              <w:t xml:space="preserve">Procurement team</w:t>
            </w:r>
          </w:p>
        </w:tc>
        <w:tc>
          <w:tcPr>
            <w:tcW w:w="1682" w:type="dxa"/>
          </w:tcPr>
          <w:p>
            <w:r>
              <w:rPr>
                <w:rFonts w:ascii="Arial" w:hAnsi="Arial" w:cs="Arial"/>
                <w:sz w:val="18"/>
              </w:rPr>
              <w:t xml:space="preserve">Not specified</w:t>
            </w:r>
          </w:p>
        </w:tc>
        <w:tc>
          <w:tcPr>
            <w:tcW w:w="1682" w:type="dxa"/>
          </w:tcPr>
          <w:p>
            <w:r>
              <w:rPr>
                <w:rFonts w:ascii="Arial" w:hAnsi="Arial" w:cs="Arial"/>
                <w:sz w:val="18"/>
              </w:rPr>
              <w:t xml:space="preserve">Non-Key</w:t>
            </w:r>
          </w:p>
        </w:tc>
        <w:tc>
          <w:tcPr>
            <w:tcW w:w="1682" w:type="dxa"/>
          </w:tcPr>
          <w:p>
            <w:r>
              <w:rPr>
                <w:rFonts w:ascii="Arial" w:hAnsi="Arial" w:cs="Arial"/>
                <w:sz w:val="18"/>
              </w:rPr>
              <w:t xml:space="preserve">For a sample of capital purchase orders above the threshold, inspect the comparison of three quotations and confirm it is dated before the purchase order.</w:t>
            </w:r>
          </w:p>
        </w:tc>
        <w:tc>
          <w:tcPr>
            <w:tcW w:w="1682" w:type="dxa"/>
          </w:tcPr>
          <w:p>
            <w:r>
              <w:rPr>
                <w:rFonts w:ascii="Arial" w:hAnsi="Arial" w:cs="Arial"/>
                <w:sz w:val="18"/>
              </w:rPr>
              <w:t xml:space="preserve">Valuation</w:t>
            </w:r>
          </w:p>
        </w:tc>
      </w:tr>
      <w:tr>
        <w:trPr>
          <w:cantSplit/>
        </w:trPr>
        <w:tc>
          <w:tcPr>
            <w:tcW w:w="1682" w:type="dxa"/>
          </w:tcPr>
          <w:p>
            <w:r>
              <w:rPr>
                <w:rFonts w:ascii="Arial" w:hAnsi="Arial" w:cs="Arial"/>
                <w:sz w:val="18"/>
              </w:rPr>
              <w:t xml:space="preserve">3</w:t>
            </w:r>
          </w:p>
        </w:tc>
        <w:tc>
          <w:tcPr>
            <w:tcW w:w="1682" w:type="dxa"/>
          </w:tcPr>
          <w:p>
            <w:r>
              <w:rPr>
                <w:rFonts w:ascii="Arial" w:hAnsi="Arial" w:cs="Arial"/>
                <w:sz w:val="18"/>
              </w:rPr>
              <w:t xml:space="preserve">Step 4</w:t>
            </w:r>
          </w:p>
        </w:tc>
        <w:tc>
          <w:tcPr>
            <w:tcW w:w="1682" w:type="dxa"/>
          </w:tcPr>
          <w:p>
            <w:r>
              <w:rPr>
                <w:rFonts w:ascii="Arial" w:hAnsi="Arial" w:cs="Arial"/>
                <w:sz w:val="18"/>
              </w:rPr>
              <w:t xml:space="preserve">Assets received differ from what was ordered, or are incomplete</w:t>
            </w:r>
          </w:p>
        </w:tc>
        <w:tc>
          <w:tcPr>
            <w:tcW w:w="1682" w:type="dxa"/>
          </w:tcPr>
          <w:p>
            <w:r>
              <w:rPr>
                <w:rFonts w:ascii="Arial" w:hAnsi="Arial" w:cs="Arial"/>
                <w:sz w:val="18"/>
              </w:rPr>
              <w:t xml:space="preserve">The Stores team receives the asset and checks the delivery against the purchase order.</w:t>
            </w:r>
          </w:p>
        </w:tc>
        <w:tc>
          <w:tcPr>
            <w:tcW w:w="1682" w:type="dxa"/>
          </w:tcPr>
          <w:p>
            <w:r>
              <w:rPr>
                <w:rFonts w:ascii="Arial" w:hAnsi="Arial" w:cs="Arial"/>
                <w:sz w:val="18"/>
              </w:rPr>
              <w:t xml:space="preserve">Stores team</w:t>
            </w:r>
          </w:p>
        </w:tc>
        <w:tc>
          <w:tcPr>
            <w:tcW w:w="1682" w:type="dxa"/>
          </w:tcPr>
          <w:p>
            <w:r>
              <w:rPr>
                <w:rFonts w:ascii="Arial" w:hAnsi="Arial" w:cs="Arial"/>
                <w:sz w:val="18"/>
              </w:rPr>
              <w:t xml:space="preserve">Not specified</w:t>
            </w:r>
          </w:p>
        </w:tc>
        <w:tc>
          <w:tcPr>
            <w:tcW w:w="1682" w:type="dxa"/>
          </w:tcPr>
          <w:p>
            <w:r>
              <w:rPr>
                <w:rFonts w:ascii="Arial" w:hAnsi="Arial" w:cs="Arial"/>
                <w:sz w:val="18"/>
              </w:rPr>
              <w:t xml:space="preserve">Non-Key</w:t>
            </w:r>
          </w:p>
        </w:tc>
        <w:tc>
          <w:tcPr>
            <w:tcW w:w="1682" w:type="dxa"/>
          </w:tcPr>
          <w:p>
            <w:r>
              <w:rPr>
                <w:rFonts w:ascii="Arial" w:hAnsi="Arial" w:cs="Arial"/>
                <w:sz w:val="18"/>
              </w:rPr>
              <w:t xml:space="preserve">For a sample of goods receipt notes, agree description and quantity to the purchase order and inspect evidence of the Stores team check.</w:t>
            </w:r>
          </w:p>
        </w:tc>
        <w:tc>
          <w:tcPr>
            <w:tcW w:w="1682" w:type="dxa"/>
          </w:tcPr>
          <w:p>
            <w:r>
              <w:rPr>
                <w:rFonts w:ascii="Arial" w:hAnsi="Arial" w:cs="Arial"/>
                <w:sz w:val="18"/>
              </w:rPr>
              <w:t xml:space="preserve">Existence</w:t>
            </w:r>
          </w:p>
        </w:tc>
      </w:tr>
      <w:tr>
        <w:trPr>
          <w:cantSplit/>
        </w:trPr>
        <w:tc>
          <w:tcPr>
            <w:tcW w:w="1682" w:type="dxa"/>
          </w:tcPr>
          <w:p>
            <w:r>
              <w:rPr>
                <w:rFonts w:ascii="Arial" w:hAnsi="Arial" w:cs="Arial"/>
                <w:sz w:val="18"/>
              </w:rPr>
              <w:t xml:space="preserve">4</w:t>
            </w:r>
          </w:p>
        </w:tc>
        <w:tc>
          <w:tcPr>
            <w:tcW w:w="1682" w:type="dxa"/>
          </w:tcPr>
          <w:p>
            <w:r>
              <w:rPr>
                <w:rFonts w:ascii="Arial" w:hAnsi="Arial" w:cs="Arial"/>
                <w:sz w:val="18"/>
              </w:rPr>
              <w:t xml:space="preserve">Step 5</w:t>
            </w:r>
          </w:p>
        </w:tc>
        <w:tc>
          <w:tcPr>
            <w:tcW w:w="1682" w:type="dxa"/>
          </w:tcPr>
          <w:p>
            <w:r>
              <w:rPr>
                <w:rFonts w:ascii="Arial" w:hAnsi="Arial" w:cs="Arial"/>
                <w:sz w:val="18"/>
              </w:rPr>
              <w:t xml:space="preserve">Payment is released for assets not received or at incorrect amounts</w:t>
            </w:r>
          </w:p>
        </w:tc>
        <w:tc>
          <w:tcPr>
            <w:tcW w:w="1682" w:type="dxa"/>
          </w:tcPr>
          <w:p>
            <w:r>
              <w:rPr>
                <w:rFonts w:ascii="Arial" w:hAnsi="Arial" w:cs="Arial"/>
                <w:sz w:val="18"/>
              </w:rPr>
              <w:t xml:space="preserve">The Accounts Payable team performs a three-way match of purchase order, goods receipt and vendor invoice before payment is released.</w:t>
            </w:r>
          </w:p>
        </w:tc>
        <w:tc>
          <w:tcPr>
            <w:tcW w:w="1682" w:type="dxa"/>
          </w:tcPr>
          <w:p>
            <w:r>
              <w:rPr>
                <w:rFonts w:ascii="Arial" w:hAnsi="Arial" w:cs="Arial"/>
                <w:sz w:val="18"/>
              </w:rPr>
              <w:t xml:space="preserve">Accounts Payable team</w:t>
            </w:r>
          </w:p>
        </w:tc>
        <w:tc>
          <w:tcPr>
            <w:tcW w:w="1682" w:type="dxa"/>
          </w:tcPr>
          <w:p>
            <w:r>
              <w:rPr>
                <w:rFonts w:ascii="Arial" w:hAnsi="Arial" w:cs="Arial"/>
                <w:sz w:val="18"/>
              </w:rPr>
              <w:t xml:space="preserve">Per transaction</w:t>
            </w:r>
          </w:p>
        </w:tc>
        <w:tc>
          <w:tcPr>
            <w:tcW w:w="1682" w:type="dxa"/>
          </w:tcPr>
          <w:p>
            <w:r>
              <w:rPr>
                <w:rFonts w:ascii="Arial" w:hAnsi="Arial" w:cs="Arial"/>
                <w:sz w:val="18"/>
              </w:rPr>
              <w:t xml:space="preserve">Key</w:t>
            </w:r>
          </w:p>
        </w:tc>
        <w:tc>
          <w:tcPr>
            <w:tcW w:w="1682" w:type="dxa"/>
          </w:tcPr>
          <w:p>
            <w:r>
              <w:rPr>
                <w:rFonts w:ascii="Arial" w:hAnsi="Arial" w:cs="Arial"/>
                <w:sz w:val="18"/>
              </w:rPr>
              <w:t xml:space="preserve">Re-perform the three-way match for a sample of capital invoices and confirm that no payment was released with an unresolved mismatch.</w:t>
            </w:r>
          </w:p>
        </w:tc>
        <w:tc>
          <w:tcPr>
            <w:tcW w:w="1682" w:type="dxa"/>
          </w:tcPr>
          <w:p>
            <w:r>
              <w:rPr>
                <w:rFonts w:ascii="Arial" w:hAnsi="Arial" w:cs="Arial"/>
                <w:sz w:val="18"/>
              </w:rPr>
              <w:t xml:space="preserve">Accuracy</w:t>
            </w:r>
          </w:p>
        </w:tc>
      </w:tr>
      <w:tr>
        <w:trPr>
          <w:cantSplit/>
        </w:trPr>
        <w:tc>
          <w:tcPr>
            <w:tcW w:w="1682" w:type="dxa"/>
          </w:tcPr>
          <w:p>
            <w:r>
              <w:rPr>
                <w:rFonts w:ascii="Arial" w:hAnsi="Arial" w:cs="Arial"/>
                <w:sz w:val="18"/>
              </w:rPr>
              <w:t xml:space="preserve">5</w:t>
            </w:r>
          </w:p>
        </w:tc>
        <w:tc>
          <w:tcPr>
            <w:tcW w:w="1682" w:type="dxa"/>
          </w:tcPr>
          <w:p>
            <w:r>
              <w:rPr>
                <w:rFonts w:ascii="Arial" w:hAnsi="Arial" w:cs="Arial"/>
                <w:sz w:val="18"/>
              </w:rPr>
              <w:t xml:space="preserve">Step 8</w:t>
            </w:r>
          </w:p>
        </w:tc>
        <w:tc>
          <w:tcPr>
            <w:tcW w:w="1682" w:type="dxa"/>
          </w:tcPr>
          <w:p>
            <w:r>
              <w:rPr>
                <w:rFonts w:ascii="Arial" w:hAnsi="Arial" w:cs="Arial"/>
                <w:sz w:val="18"/>
              </w:rPr>
              <w:t xml:space="preserve">Depreciation errors are not detected before posting</w:t>
            </w:r>
          </w:p>
        </w:tc>
        <w:tc>
          <w:tcPr>
            <w:tcW w:w="1682" w:type="dxa"/>
          </w:tcPr>
          <w:p>
            <w:r>
              <w:rPr>
                <w:rFonts w:ascii="Arial" w:hAnsi="Arial" w:cs="Arial"/>
                <w:sz w:val="18"/>
              </w:rPr>
              <w:t xml:space="preserve">The Finance Controller reviews the depreciation run each month-end and signs off the journal.</w:t>
            </w:r>
          </w:p>
        </w:tc>
        <w:tc>
          <w:tcPr>
            <w:tcW w:w="1682" w:type="dxa"/>
          </w:tcPr>
          <w:p>
            <w:r>
              <w:rPr>
                <w:rFonts w:ascii="Arial" w:hAnsi="Arial" w:cs="Arial"/>
                <w:sz w:val="18"/>
              </w:rPr>
              <w:t xml:space="preserve">Finance Controller</w:t>
            </w:r>
          </w:p>
        </w:tc>
        <w:tc>
          <w:tcPr>
            <w:tcW w:w="1682" w:type="dxa"/>
          </w:tcPr>
          <w:p>
            <w:r>
              <w:rPr>
                <w:rFonts w:ascii="Arial" w:hAnsi="Arial" w:cs="Arial"/>
                <w:sz w:val="18"/>
              </w:rPr>
              <w:t xml:space="preserve">Monthly</w:t>
            </w:r>
          </w:p>
        </w:tc>
        <w:tc>
          <w:tcPr>
            <w:tcW w:w="1682" w:type="dxa"/>
          </w:tcPr>
          <w:p>
            <w:r>
              <w:rPr>
                <w:rFonts w:ascii="Arial" w:hAnsi="Arial" w:cs="Arial"/>
                <w:sz w:val="18"/>
              </w:rPr>
              <w:t xml:space="preserve">Key</w:t>
            </w:r>
          </w:p>
        </w:tc>
        <w:tc>
          <w:tcPr>
            <w:tcW w:w="1682" w:type="dxa"/>
          </w:tcPr>
          <w:p>
            <w:r>
              <w:rPr>
                <w:rFonts w:ascii="Arial" w:hAnsi="Arial" w:cs="Arial"/>
                <w:sz w:val="18"/>
              </w:rPr>
              <w:t xml:space="preserve">For a sample of months, inspect the depreciation run and journal for evidence of Finance Controller review and sign-off within the close timeline.</w:t>
            </w:r>
          </w:p>
        </w:tc>
        <w:tc>
          <w:tcPr>
            <w:tcW w:w="1682" w:type="dxa"/>
          </w:tcPr>
          <w:p>
            <w:r>
              <w:rPr>
                <w:rFonts w:ascii="Arial" w:hAnsi="Arial" w:cs="Arial"/>
                <w:sz w:val="18"/>
              </w:rPr>
              <w:t xml:space="preserve">Accuracy</w:t>
            </w:r>
          </w:p>
        </w:tc>
      </w:tr>
      <w:tr>
        <w:trPr>
          <w:cantSplit/>
        </w:trPr>
        <w:tc>
          <w:tcPr>
            <w:tcW w:w="1682" w:type="dxa"/>
          </w:tcPr>
          <w:p>
            <w:r>
              <w:rPr>
                <w:rFonts w:ascii="Arial" w:hAnsi="Arial" w:cs="Arial"/>
                <w:sz w:val="18"/>
              </w:rPr>
              <w:t xml:space="preserve">6</w:t>
            </w:r>
          </w:p>
        </w:tc>
        <w:tc>
          <w:tcPr>
            <w:tcW w:w="1682" w:type="dxa"/>
          </w:tcPr>
          <w:p>
            <w:r>
              <w:rPr>
                <w:rFonts w:ascii="Arial" w:hAnsi="Arial" w:cs="Arial"/>
                <w:sz w:val="18"/>
              </w:rPr>
              <w:t xml:space="preserve">Step 9</w:t>
            </w:r>
          </w:p>
        </w:tc>
        <w:tc>
          <w:tcPr>
            <w:tcW w:w="1682" w:type="dxa"/>
          </w:tcPr>
          <w:p>
            <w:r>
              <w:rPr>
                <w:rFonts w:ascii="Arial" w:hAnsi="Arial" w:cs="Arial"/>
                <w:sz w:val="18"/>
              </w:rPr>
              <w:t xml:space="preserve">Recorded assets do not exist or cannot be traced</w:t>
            </w:r>
          </w:p>
        </w:tc>
        <w:tc>
          <w:tcPr>
            <w:tcW w:w="1682" w:type="dxa"/>
          </w:tcPr>
          <w:p>
            <w:r>
              <w:rPr>
                <w:rFonts w:ascii="Arial" w:hAnsi="Arial" w:cs="Arial"/>
                <w:sz w:val="18"/>
              </w:rPr>
              <w:t xml:space="preserve">A physical verification of all fixed assets is carried out annually and differences are reconciled to the fixed asset register.</w:t>
            </w:r>
          </w:p>
        </w:tc>
        <w:tc>
          <w:tcPr>
            <w:tcW w:w="1682" w:type="dxa"/>
          </w:tcPr>
          <w:p>
            <w:r>
              <w:rPr>
                <w:rFonts w:ascii="Arial" w:hAnsi="Arial" w:cs="Arial"/>
                <w:sz w:val="18"/>
              </w:rPr>
              <w:t xml:space="preserve">Owner not specified in narrative</w:t>
            </w:r>
          </w:p>
        </w:tc>
        <w:tc>
          <w:tcPr>
            <w:tcW w:w="1682" w:type="dxa"/>
          </w:tcPr>
          <w:p>
            <w:r>
              <w:rPr>
                <w:rFonts w:ascii="Arial" w:hAnsi="Arial" w:cs="Arial"/>
                <w:sz w:val="18"/>
              </w:rPr>
              <w:t xml:space="preserve">Annual</w:t>
            </w:r>
          </w:p>
        </w:tc>
        <w:tc>
          <w:tcPr>
            <w:tcW w:w="1682" w:type="dxa"/>
          </w:tcPr>
          <w:p>
            <w:r>
              <w:rPr>
                <w:rFonts w:ascii="Arial" w:hAnsi="Arial" w:cs="Arial"/>
                <w:sz w:val="18"/>
              </w:rPr>
              <w:t xml:space="preserve">Key</w:t>
            </w:r>
          </w:p>
        </w:tc>
        <w:tc>
          <w:tcPr>
            <w:tcW w:w="1682" w:type="dxa"/>
          </w:tcPr>
          <w:p>
            <w:r>
              <w:rPr>
                <w:rFonts w:ascii="Arial" w:hAnsi="Arial" w:cs="Arial"/>
                <w:sz w:val="18"/>
              </w:rPr>
              <w:t xml:space="preserve">Inspect the latest physical verification report, test-count a sample from register to floor and floor to register, and confirm differences were reconciled and adjusted.</w:t>
            </w:r>
          </w:p>
        </w:tc>
        <w:tc>
          <w:tcPr>
            <w:tcW w:w="1682" w:type="dxa"/>
          </w:tcPr>
          <w:p>
            <w:r>
              <w:rPr>
                <w:rFonts w:ascii="Arial" w:hAnsi="Arial" w:cs="Arial"/>
                <w:sz w:val="18"/>
              </w:rPr>
              <w:t xml:space="preserve">Existence</w:t>
            </w:r>
          </w:p>
        </w:tc>
      </w:tr>
      <w:tr>
        <w:trPr>
          <w:cantSplit/>
        </w:trPr>
        <w:tc>
          <w:tcPr>
            <w:tcW w:w="1682" w:type="dxa"/>
          </w:tcPr>
          <w:p>
            <w:r>
              <w:rPr>
                <w:rFonts w:ascii="Arial" w:hAnsi="Arial" w:cs="Arial"/>
                <w:sz w:val="18"/>
              </w:rPr>
              <w:t xml:space="preserve">7</w:t>
            </w:r>
          </w:p>
        </w:tc>
        <w:tc>
          <w:tcPr>
            <w:tcW w:w="1682" w:type="dxa"/>
          </w:tcPr>
          <w:p>
            <w:r>
              <w:rPr>
                <w:rFonts w:ascii="Arial" w:hAnsi="Arial" w:cs="Arial"/>
                <w:sz w:val="18"/>
              </w:rPr>
              <w:t xml:space="preserve">Step 10</w:t>
            </w:r>
          </w:p>
        </w:tc>
        <w:tc>
          <w:tcPr>
            <w:tcW w:w="1682" w:type="dxa"/>
          </w:tcPr>
          <w:p>
            <w:r>
              <w:rPr>
                <w:rFonts w:ascii="Arial" w:hAnsi="Arial" w:cs="Arial"/>
                <w:sz w:val="18"/>
              </w:rPr>
              <w:t xml:space="preserve">Assets are disposed of or removed without authorisation</w:t>
            </w:r>
          </w:p>
        </w:tc>
        <w:tc>
          <w:tcPr>
            <w:tcW w:w="1682" w:type="dxa"/>
          </w:tcPr>
          <w:p>
            <w:r>
              <w:rPr>
                <w:rFonts w:ascii="Arial" w:hAnsi="Arial" w:cs="Arial"/>
                <w:sz w:val="18"/>
              </w:rPr>
              <w:t xml:space="preserve">Asset disposals are approved by the Plant Head before the asset is removed from the register.</w:t>
            </w:r>
          </w:p>
        </w:tc>
        <w:tc>
          <w:tcPr>
            <w:tcW w:w="1682" w:type="dxa"/>
          </w:tcPr>
          <w:p>
            <w:r>
              <w:rPr>
                <w:rFonts w:ascii="Arial" w:hAnsi="Arial" w:cs="Arial"/>
                <w:sz w:val="18"/>
              </w:rPr>
              <w:t xml:space="preserve">Plant Head</w:t>
            </w:r>
          </w:p>
        </w:tc>
        <w:tc>
          <w:tcPr>
            <w:tcW w:w="1682" w:type="dxa"/>
          </w:tcPr>
          <w:p>
            <w:r>
              <w:rPr>
                <w:rFonts w:ascii="Arial" w:hAnsi="Arial" w:cs="Arial"/>
                <w:sz w:val="18"/>
              </w:rPr>
              <w:t xml:space="preserve">Per transaction</w:t>
            </w:r>
          </w:p>
        </w:tc>
        <w:tc>
          <w:tcPr>
            <w:tcW w:w="1682" w:type="dxa"/>
          </w:tcPr>
          <w:p>
            <w:r>
              <w:rPr>
                <w:rFonts w:ascii="Arial" w:hAnsi="Arial" w:cs="Arial"/>
                <w:sz w:val="18"/>
              </w:rPr>
              <w:t xml:space="preserve">Key</w:t>
            </w:r>
          </w:p>
        </w:tc>
        <w:tc>
          <w:tcPr>
            <w:tcW w:w="1682" w:type="dxa"/>
          </w:tcPr>
          <w:p>
            <w:r>
              <w:rPr>
                <w:rFonts w:ascii="Arial" w:hAnsi="Arial" w:cs="Arial"/>
                <w:sz w:val="18"/>
              </w:rPr>
              <w:t xml:space="preserve">For a sample of disposals, inspect Plant Head approval dated before the removal entry in the fixed asset register.</w:t>
            </w:r>
          </w:p>
        </w:tc>
        <w:tc>
          <w:tcPr>
            <w:tcW w:w="1682" w:type="dxa"/>
          </w:tcPr>
          <w:p>
            <w:r>
              <w:rPr>
                <w:rFonts w:ascii="Arial" w:hAnsi="Arial" w:cs="Arial"/>
                <w:sz w:val="18"/>
              </w:rPr>
              <w:t xml:space="preserve">Occurrence</w:t>
            </w:r>
          </w:p>
        </w:tc>
      </w:tr>
      <w:tr>
        <w:trPr>
          <w:cantSplit/>
        </w:trPr>
        <w:tc>
          <w:tcPr>
            <w:tcW w:w="1682" w:type="dxa"/>
          </w:tcPr>
          <w:p>
            <w:r>
              <w:rPr>
                <w:rFonts w:ascii="Arial" w:hAnsi="Arial" w:cs="Arial"/>
                <w:sz w:val="18"/>
              </w:rPr>
              <w:t xml:space="preserve">8</w:t>
            </w:r>
          </w:p>
        </w:tc>
        <w:tc>
          <w:tcPr>
            <w:tcW w:w="1682" w:type="dxa"/>
          </w:tcPr>
          <w:p>
            <w:r>
              <w:rPr>
                <w:rFonts w:ascii="Arial" w:hAnsi="Arial" w:cs="Arial"/>
                <w:sz w:val="18"/>
              </w:rPr>
              <w:t xml:space="preserve">Step 11</w:t>
            </w:r>
          </w:p>
        </w:tc>
        <w:tc>
          <w:tcPr>
            <w:tcW w:w="1682" w:type="dxa"/>
          </w:tcPr>
          <w:p>
            <w:r>
              <w:rPr>
                <w:rFonts w:ascii="Arial" w:hAnsi="Arial" w:cs="Arial"/>
                <w:sz w:val="18"/>
              </w:rPr>
              <w:t xml:space="preserve">Fixed asset balances in the sub-ledger and general ledger do not agree</w:t>
            </w:r>
          </w:p>
        </w:tc>
        <w:tc>
          <w:tcPr>
            <w:tcW w:w="1682" w:type="dxa"/>
          </w:tcPr>
          <w:p>
            <w:r>
              <w:rPr>
                <w:rFonts w:ascii="Arial" w:hAnsi="Arial" w:cs="Arial"/>
                <w:sz w:val="18"/>
              </w:rPr>
              <w:t xml:space="preserve">The fixed asset sub-ledger is reconciled to the general ledger every month-end.</w:t>
            </w:r>
          </w:p>
        </w:tc>
        <w:tc>
          <w:tcPr>
            <w:tcW w:w="1682" w:type="dxa"/>
          </w:tcPr>
          <w:p>
            <w:r>
              <w:rPr>
                <w:rFonts w:ascii="Arial" w:hAnsi="Arial" w:cs="Arial"/>
                <w:sz w:val="18"/>
              </w:rPr>
              <w:t xml:space="preserve">Owner not specified in narrative</w:t>
            </w:r>
          </w:p>
        </w:tc>
        <w:tc>
          <w:tcPr>
            <w:tcW w:w="1682" w:type="dxa"/>
          </w:tcPr>
          <w:p>
            <w:r>
              <w:rPr>
                <w:rFonts w:ascii="Arial" w:hAnsi="Arial" w:cs="Arial"/>
                <w:sz w:val="18"/>
              </w:rPr>
              <w:t xml:space="preserve">Monthly</w:t>
            </w:r>
          </w:p>
        </w:tc>
        <w:tc>
          <w:tcPr>
            <w:tcW w:w="1682" w:type="dxa"/>
          </w:tcPr>
          <w:p>
            <w:r>
              <w:rPr>
                <w:rFonts w:ascii="Arial" w:hAnsi="Arial" w:cs="Arial"/>
                <w:sz w:val="18"/>
              </w:rPr>
              <w:t xml:space="preserve">Key</w:t>
            </w:r>
          </w:p>
        </w:tc>
        <w:tc>
          <w:tcPr>
            <w:tcW w:w="1682" w:type="dxa"/>
          </w:tcPr>
          <w:p>
            <w:r>
              <w:rPr>
                <w:rFonts w:ascii="Arial" w:hAnsi="Arial" w:cs="Arial"/>
                <w:sz w:val="18"/>
              </w:rPr>
              <w:t xml:space="preserve">For a sample of months, inspect the reconciliation, agree balances to the ledger and sub-ledger, and confirm reconciling items are cleared.</w:t>
            </w:r>
          </w:p>
        </w:tc>
        <w:tc>
          <w:tcPr>
            <w:tcW w:w="1682" w:type="dxa"/>
          </w:tcPr>
          <w:p>
            <w:r>
              <w:rPr>
                <w:rFonts w:ascii="Arial" w:hAnsi="Arial" w:cs="Arial"/>
                <w:sz w:val="18"/>
              </w:rPr>
              <w:t xml:space="preserve">Completeness</w:t>
            </w:r>
          </w:p>
        </w:tc>
      </w:tr>
      <w:tr>
        <w:trPr>
          <w:cantSplit/>
        </w:trPr>
        <w:tc>
          <w:tcPr>
            <w:tcW w:w="1682" w:type="dxa"/>
          </w:tcPr>
          <w:p>
            <w:r>
              <w:rPr>
                <w:rFonts w:ascii="Arial" w:hAnsi="Arial" w:cs="Arial"/>
                <w:sz w:val="18"/>
              </w:rPr>
              <w:t xml:space="preserve">9</w:t>
            </w:r>
          </w:p>
        </w:tc>
        <w:tc>
          <w:tcPr>
            <w:tcW w:w="1682" w:type="dxa"/>
          </w:tcPr>
          <w:p>
            <w:r>
              <w:rPr>
                <w:rFonts w:ascii="Arial" w:hAnsi="Arial" w:cs="Arial"/>
                <w:sz w:val="18"/>
              </w:rPr>
              <w:t xml:space="preserve">Step 7</w:t>
            </w:r>
          </w:p>
        </w:tc>
        <w:tc>
          <w:tcPr>
            <w:tcW w:w="1682" w:type="dxa"/>
          </w:tcPr>
          <w:p>
            <w:r>
              <w:rPr>
                <w:rFonts w:ascii="Arial" w:hAnsi="Arial" w:cs="Arial"/>
                <w:sz w:val="18"/>
              </w:rPr>
              <w:t xml:space="preserve">Depreciation is calculated using incorrect useful lives</w:t>
            </w:r>
          </w:p>
        </w:tc>
        <w:tc>
          <w:tcPr>
            <w:tcW w:w="1682" w:type="dxa"/>
          </w:tcPr>
          <w:p>
            <w:r>
              <w:rPr>
                <w:rFonts w:ascii="Arial" w:hAnsi="Arial" w:cs="Arial"/>
                <w:sz w:val="18"/>
              </w:rPr>
              <w:t xml:space="preserve">Depreciation is calculated by the ERP system using the useful lives set in the asset master.</w:t>
            </w:r>
          </w:p>
        </w:tc>
        <w:tc>
          <w:tcPr>
            <w:tcW w:w="1682" w:type="dxa"/>
          </w:tcPr>
          <w:p>
            <w:r>
              <w:rPr>
                <w:rFonts w:ascii="Arial" w:hAnsi="Arial" w:cs="Arial"/>
                <w:sz w:val="18"/>
              </w:rPr>
              <w:t xml:space="preserve">ERP system (automated)</w:t>
            </w:r>
          </w:p>
        </w:tc>
        <w:tc>
          <w:tcPr>
            <w:tcW w:w="1682" w:type="dxa"/>
          </w:tcPr>
          <w:p>
            <w:r>
              <w:rPr>
                <w:rFonts w:ascii="Arial" w:hAnsi="Arial" w:cs="Arial"/>
                <w:sz w:val="18"/>
              </w:rPr>
              <w:t xml:space="preserve">Not specified</w:t>
            </w:r>
          </w:p>
        </w:tc>
        <w:tc>
          <w:tcPr>
            <w:tcW w:w="1682" w:type="dxa"/>
          </w:tcPr>
          <w:p>
            <w:r>
              <w:rPr>
                <w:rFonts w:ascii="Arial" w:hAnsi="Arial" w:cs="Arial"/>
                <w:sz w:val="18"/>
              </w:rPr>
              <w:t xml:space="preserve">Key</w:t>
            </w:r>
          </w:p>
        </w:tc>
        <w:tc>
          <w:tcPr>
            <w:tcW w:w="1682" w:type="dxa"/>
          </w:tcPr>
          <w:p>
            <w:r>
              <w:rPr>
                <w:rFonts w:ascii="Arial" w:hAnsi="Arial" w:cs="Arial"/>
                <w:sz w:val="18"/>
              </w:rPr>
              <w:t xml:space="preserve">Agree useful lives in the asset master to the depreciation policy and recompute depreciation for a sample of assets against the ERP depreciation run.</w:t>
            </w:r>
          </w:p>
        </w:tc>
        <w:tc>
          <w:tcPr>
            <w:tcW w:w="1682" w:type="dxa"/>
          </w:tcPr>
          <w:p>
            <w:r>
              <w:rPr>
                <w:rFonts w:ascii="Arial" w:hAnsi="Arial" w:cs="Arial"/>
                <w:sz w:val="18"/>
              </w:rPr>
              <w:t xml:space="preserve">Valuation</w:t>
            </w:r>
          </w:p>
        </w:tc>
      </w:tr>
    </w:tbl>
    <w:p>
      <w:r>
        <w:rPr>
          <w:rFonts w:ascii="Arial" w:hAnsi="Arial" w:cs="Arial"/>
          <w:b/>
          <w:sz w:val="20"/>
        </w:rPr>
        <w:t xml:space="preserve">Total controls: 9 (Key: 7, Non-Key: 2)</w:t>
      </w:r>
    </w:p>
    <w:p>
      <w:r>
        <w:rPr>
          <w:rFonts w:ascii="Arial" w:hAnsi="Arial" w:cs="Arial"/>
          <w:sz w:val="20"/>
        </w:rPr>
        <w:t xml:space="preserve">Format validation: 9 of 9 rows pass (checks form only; substance needs reviewer judgement).</w:t>
      </w:r>
    </w:p>
    <w:p>
      <w:r>
        <w:rPr>
          <w:rFonts w:ascii="Arial" w:hAnsi="Arial" w:cs="Arial"/>
          <w:sz w:val="18"/>
        </w:rPr>
        <w:t xml:space="preserve">Draft for professional review.</w:t>
      </w:r>
    </w:p>
    <w:sectPr>
      <w:pgSz w:w="16838" w:h="11906" w:orient="landscape"/>
      <w:pgMar w:top="850" w:right="850" w:bottom="850" w:left="850" w:header="400" w:footer="400" w:gutter="0"/>
    </w:sectPr>
  </w:body>
</w:document>
</file>