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val="0"/>
      </w:pPr>
      <w:r>
        <w:rPr>
          <w:b/>
          <w:bCs/>
          <w:rtl w:val="0"/>
        </w:rPr>
        <w:t xml:space="preserve">Getting started: </w:t>
      </w:r>
      <w:r>
        <w:rPr>
          <w:rtl w:val="0"/>
        </w:rPr>
        <w:t>Select one graphic to evaluate (you can do both if you like, but make sure to fill out a separate document for each!)</w:t>
      </w:r>
    </w:p>
    <w:p w14:paraId="00000002">
      <w:pPr>
        <w:widowControl w:val="0"/>
      </w:pPr>
    </w:p>
    <w:p w14:paraId="00000003">
      <w:pPr>
        <w:pStyle w:val="4"/>
        <w:widowControl w:val="0"/>
      </w:pPr>
      <w:bookmarkStart w:id="0" w:name="_1pdbe7flosy" w:colFirst="0" w:colLast="0"/>
      <w:bookmarkEnd w:id="0"/>
      <w:r>
        <w:rPr>
          <w:rtl w:val="0"/>
        </w:rPr>
        <w:t>Graphic #1</w:t>
      </w:r>
    </w:p>
    <w:p w14:paraId="00000004">
      <w:pPr>
        <w:widowControl w:val="0"/>
        <w:spacing w:line="240" w:lineRule="auto"/>
      </w:pPr>
    </w:p>
    <w:p w14:paraId="00000005">
      <w:pPr>
        <w:widowControl w:val="0"/>
        <w:spacing w:line="240" w:lineRule="auto"/>
      </w:pPr>
      <w:r>
        <w:drawing>
          <wp:inline distT="114300" distB="114300" distL="114300" distR="114300">
            <wp:extent cx="5943600" cy="4114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6"/>
                    <a:srcRect/>
                    <a:stretch>
                      <a:fillRect/>
                    </a:stretch>
                  </pic:blipFill>
                  <pic:spPr>
                    <a:xfrm>
                      <a:off x="0" y="0"/>
                      <a:ext cx="5943600" cy="4114800"/>
                    </a:xfrm>
                    <a:prstGeom prst="rect">
                      <a:avLst/>
                    </a:prstGeom>
                  </pic:spPr>
                </pic:pic>
              </a:graphicData>
            </a:graphic>
          </wp:inline>
        </w:drawing>
      </w:r>
    </w:p>
    <w:p w14:paraId="00000006"/>
    <w:p w14:paraId="00000007">
      <w:r>
        <w:fldChar w:fldCharType="begin"/>
      </w:r>
      <w:r>
        <w:instrText xml:space="preserve"> HYPERLINK "https://blogs.loc.gov/maps/2022/12/gannett-and-hewes-visualizations-of-the-1880-census/" \h </w:instrText>
      </w:r>
      <w:r>
        <w:fldChar w:fldCharType="separate"/>
      </w:r>
      <w:r>
        <w:rPr>
          <w:color w:val="1155CC"/>
          <w:u w:val="single"/>
          <w:rtl w:val="0"/>
        </w:rPr>
        <w:t>Article / image source</w:t>
      </w:r>
      <w:r>
        <w:rPr>
          <w:color w:val="1155CC"/>
          <w:u w:val="single"/>
          <w:rtl w:val="0"/>
        </w:rPr>
        <w:fldChar w:fldCharType="end"/>
      </w:r>
    </w:p>
    <w:p w14:paraId="00000008">
      <w:r>
        <w:fldChar w:fldCharType="begin"/>
      </w:r>
      <w:r>
        <w:instrText xml:space="preserve"> HYPERLINK "https://makeovermonday.vercel.app/dataset/the-first-century-of-the-u-s-census" \h </w:instrText>
      </w:r>
      <w:r>
        <w:fldChar w:fldCharType="separate"/>
      </w:r>
      <w:r>
        <w:rPr>
          <w:color w:val="1155CC"/>
          <w:u w:val="single"/>
          <w:rtl w:val="0"/>
        </w:rPr>
        <w:t>Makeover Monday reference</w:t>
      </w:r>
      <w:r>
        <w:rPr>
          <w:color w:val="1155CC"/>
          <w:u w:val="single"/>
          <w:rtl w:val="0"/>
        </w:rPr>
        <w:fldChar w:fldCharType="end"/>
      </w:r>
    </w:p>
    <w:p w14:paraId="00000009"/>
    <w:p w14:paraId="0000000A">
      <w:pPr>
        <w:pStyle w:val="4"/>
        <w:widowControl w:val="0"/>
      </w:pPr>
      <w:bookmarkStart w:id="1" w:name="_1vkotyuj9az5" w:colFirst="0" w:colLast="0"/>
      <w:bookmarkEnd w:id="1"/>
      <w:r>
        <w:rPr>
          <w:rtl w:val="0"/>
        </w:rPr>
        <w:t>Graphic #2</w:t>
      </w:r>
    </w:p>
    <w:p w14:paraId="0000000B">
      <w:r>
        <w:drawing>
          <wp:inline distT="114300" distB="114300" distL="114300" distR="114300">
            <wp:extent cx="5943600" cy="50927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2" name="image4.png"/>
                    <pic:cNvPicPr preferRelativeResize="0"/>
                  </pic:nvPicPr>
                  <pic:blipFill>
                    <a:blip r:embed="rId7"/>
                    <a:srcRect/>
                    <a:stretch>
                      <a:fillRect/>
                    </a:stretch>
                  </pic:blipFill>
                  <pic:spPr>
                    <a:xfrm>
                      <a:off x="0" y="0"/>
                      <a:ext cx="5943600" cy="5092700"/>
                    </a:xfrm>
                    <a:prstGeom prst="rect">
                      <a:avLst/>
                    </a:prstGeom>
                  </pic:spPr>
                </pic:pic>
              </a:graphicData>
            </a:graphic>
          </wp:inline>
        </w:drawing>
      </w:r>
    </w:p>
    <w:p w14:paraId="0000000C">
      <w:r>
        <w:rPr>
          <w:rtl w:val="0"/>
        </w:rPr>
        <w:t>Source: “Map Monday: Written in 1839, Still the Law Today: Married Women’s Property Act.” Accessed August 3, 2026.</w:t>
      </w:r>
      <w:r>
        <w:fldChar w:fldCharType="begin"/>
      </w:r>
      <w:r>
        <w:instrText xml:space="preserve"> HYPERLINK "https://www.ncsl.org/resources/map-monday-married-women-granted-right-to-control-their-property#37759" \h </w:instrText>
      </w:r>
      <w:r>
        <w:fldChar w:fldCharType="separate"/>
      </w:r>
      <w:r>
        <w:rPr>
          <w:rtl w:val="0"/>
        </w:rPr>
        <w:t xml:space="preserve"> </w:t>
      </w:r>
      <w:r>
        <w:rPr>
          <w:rtl w:val="0"/>
        </w:rPr>
        <w:fldChar w:fldCharType="end"/>
      </w:r>
      <w:r>
        <w:fldChar w:fldCharType="begin"/>
      </w:r>
      <w:r>
        <w:instrText xml:space="preserve"> HYPERLINK "https://www.ncsl.org/resources/map-monday-married-women-granted-right-to-control-their-property#37759" \h </w:instrText>
      </w:r>
      <w:r>
        <w:fldChar w:fldCharType="separate"/>
      </w:r>
      <w:r>
        <w:rPr>
          <w:color w:val="1155CC"/>
          <w:u w:val="single"/>
          <w:rtl w:val="0"/>
        </w:rPr>
        <w:t>Link</w:t>
      </w:r>
      <w:r>
        <w:rPr>
          <w:color w:val="1155CC"/>
          <w:u w:val="single"/>
          <w:rtl w:val="0"/>
        </w:rPr>
        <w:fldChar w:fldCharType="end"/>
      </w:r>
      <w:r>
        <w:rPr>
          <w:rtl w:val="0"/>
        </w:rPr>
        <w:t xml:space="preserve">. </w:t>
      </w:r>
    </w:p>
    <w:p w14:paraId="0000000D"/>
    <w:p w14:paraId="0000000E"/>
    <w:p w14:paraId="0000000F">
      <w:pPr>
        <w:rPr>
          <w:sz w:val="24"/>
          <w:szCs w:val="24"/>
          <w:highlight w:val="white"/>
        </w:rPr>
      </w:pPr>
      <w:r>
        <w:rPr>
          <w:b/>
          <w:bCs/>
          <w:rtl w:val="0"/>
        </w:rPr>
        <w:t>Key:</w:t>
      </w:r>
      <w:r>
        <w:rPr>
          <w:rtl w:val="0"/>
        </w:rPr>
        <w:t xml:space="preserve"> </w:t>
      </w:r>
      <w:r>
        <w:rPr>
          <w:sz w:val="24"/>
          <w:szCs w:val="24"/>
          <w:shd w:val="clear" w:fill="D9EAD3"/>
          <w:rtl w:val="0"/>
        </w:rPr>
        <w:t>_____</w:t>
      </w:r>
      <w:r>
        <w:rPr>
          <w:sz w:val="24"/>
          <w:szCs w:val="24"/>
          <w:highlight w:val="white"/>
          <w:rtl w:val="0"/>
        </w:rPr>
        <w:t xml:space="preserve"> = You  </w:t>
      </w:r>
      <w:r>
        <w:rPr>
          <w:sz w:val="24"/>
          <w:szCs w:val="24"/>
          <w:shd w:val="clear" w:fill="ECCAFA"/>
          <w:rtl w:val="0"/>
        </w:rPr>
        <w:t>_____</w:t>
      </w:r>
      <w:r>
        <w:rPr>
          <w:sz w:val="24"/>
          <w:szCs w:val="24"/>
          <w:highlight w:val="white"/>
          <w:rtl w:val="0"/>
        </w:rPr>
        <w:t xml:space="preserve"> = Copilot  </w:t>
      </w:r>
      <w:r>
        <w:rPr>
          <w:sz w:val="24"/>
          <w:szCs w:val="24"/>
          <w:shd w:val="clear" w:fill="EFEFEF"/>
          <w:rtl w:val="0"/>
        </w:rPr>
        <w:t>_____</w:t>
      </w:r>
      <w:r>
        <w:rPr>
          <w:sz w:val="24"/>
          <w:szCs w:val="24"/>
          <w:highlight w:val="white"/>
          <w:rtl w:val="0"/>
        </w:rPr>
        <w:t xml:space="preserve"> = Synthesis (you + Copilot)</w:t>
      </w:r>
    </w:p>
    <w:p w14:paraId="00000010"/>
    <w:tbl>
      <w:tblPr>
        <w:tblStyle w:val="14"/>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0"/>
        <w:gridCol w:w="6600"/>
      </w:tblGrid>
      <w:tr w14:paraId="0CC3C8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288" w:type="dxa"/>
              <w:left w:w="288" w:type="dxa"/>
              <w:bottom w:w="288" w:type="dxa"/>
              <w:right w:w="288" w:type="dxa"/>
            </w:tcMar>
            <w:vAlign w:val="top"/>
          </w:tcPr>
          <w:p w14:paraId="0000001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Your name</w:t>
            </w:r>
          </w:p>
        </w:tc>
        <w:tc>
          <w:tcPr>
            <w:tcBorders>
              <w:top w:val="single" w:color="FFFFFF" w:sz="48" w:space="0"/>
              <w:left w:val="single" w:color="FFFFFF" w:sz="48" w:space="0"/>
              <w:bottom w:val="single" w:color="FFFFFF" w:sz="48" w:space="0"/>
              <w:right w:val="single" w:color="FFFFFF" w:sz="48" w:space="0"/>
            </w:tcBorders>
            <w:shd w:val="clear" w:color="auto" w:fill="D9EAD3"/>
            <w:tcMar>
              <w:top w:w="288" w:type="dxa"/>
              <w:left w:w="288" w:type="dxa"/>
              <w:bottom w:w="288" w:type="dxa"/>
              <w:right w:w="288" w:type="dxa"/>
            </w:tcMar>
            <w:vAlign w:val="top"/>
          </w:tcPr>
          <w:p w14:paraId="0000001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t>Junhao Huang (Andrew ID: junhaohu)</w:t>
            </w:r>
          </w:p>
        </w:tc>
      </w:tr>
      <w:tr w14:paraId="5F77B4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288" w:type="dxa"/>
              <w:left w:w="288" w:type="dxa"/>
              <w:bottom w:w="288" w:type="dxa"/>
              <w:right w:w="288" w:type="dxa"/>
            </w:tcMar>
            <w:vAlign w:val="top"/>
          </w:tcPr>
          <w:p w14:paraId="0000001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Graphic (pick one)</w:t>
            </w:r>
          </w:p>
        </w:tc>
        <w:tc>
          <w:tcPr>
            <w:tcBorders>
              <w:top w:val="single" w:color="FFFFFF" w:sz="48" w:space="0"/>
              <w:left w:val="single" w:color="FFFFFF" w:sz="48" w:space="0"/>
              <w:bottom w:val="single" w:color="FFFFFF" w:sz="48" w:space="0"/>
              <w:right w:val="single" w:color="FFFFFF" w:sz="48" w:space="0"/>
            </w:tcBorders>
            <w:shd w:val="clear" w:color="auto" w:fill="D9EAD3"/>
            <w:tcMar>
              <w:top w:w="288" w:type="dxa"/>
              <w:left w:w="288" w:type="dxa"/>
              <w:bottom w:w="288" w:type="dxa"/>
              <w:right w:w="288"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t>Graphic #2</w:t>
            </w:r>
          </w:p>
        </w:tc>
      </w:tr>
      <w:tr w14:paraId="2FB74B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288" w:type="dxa"/>
              <w:left w:w="288" w:type="dxa"/>
              <w:bottom w:w="288" w:type="dxa"/>
              <w:right w:w="288"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 xml:space="preserve">For this graphic, what do you see first?  Make a note of the first idea that forms in your mind and then search for more. </w:t>
            </w:r>
          </w:p>
        </w:tc>
        <w:tc>
          <w:tcPr>
            <w:tcBorders>
              <w:top w:val="single" w:color="FFFFFF" w:sz="48" w:space="0"/>
              <w:left w:val="single" w:color="FFFFFF" w:sz="48" w:space="0"/>
              <w:bottom w:val="single" w:color="FFFFFF" w:sz="48" w:space="0"/>
              <w:right w:val="single" w:color="FFFFFF" w:sz="48" w:space="0"/>
            </w:tcBorders>
            <w:shd w:val="clear" w:color="auto" w:fill="D9EAD3"/>
            <w:tcMar>
              <w:top w:w="288" w:type="dxa"/>
              <w:left w:w="288" w:type="dxa"/>
              <w:bottom w:w="288" w:type="dxa"/>
              <w:right w:w="288" w:type="dxa"/>
            </w:tcMar>
            <w:vAlign w:val="top"/>
          </w:tcPr>
          <w:p w14:paraId="0000001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t>First idea that forms: this is a dark U.S. choropleth where each state is shaded by the year it adopted a law giving women the right to own property</w:t>
            </w:r>
            <w:r>
              <w:rPr>
                <w:rFonts w:hint="eastAsia" w:eastAsia="宋体"/>
                <w:lang w:val="en-US" w:eastAsia="zh-CN"/>
              </w:rPr>
              <w:t>.</w:t>
            </w:r>
            <w:r>
              <w:t xml:space="preserve"> </w:t>
            </w:r>
            <w:r>
              <w:rPr>
                <w:rFonts w:hint="eastAsia" w:eastAsia="宋体"/>
                <w:lang w:val="en-US" w:eastAsia="zh-CN"/>
              </w:rPr>
              <w:t>M</w:t>
            </w:r>
            <w:r>
              <w:t>y first read was that the mint-teal cluster in the Northeast</w:t>
            </w:r>
            <w:r>
              <w:rPr>
                <w:rFonts w:hint="eastAsia" w:eastAsia="宋体"/>
                <w:lang w:val="en-US" w:eastAsia="zh-CN"/>
              </w:rPr>
              <w:t xml:space="preserve"> </w:t>
            </w:r>
            <w:r>
              <w:t>and the large dark-blue block across the West show an east-to-west spread of the law over time, with the South and Florida adopting later.</w:t>
            </w:r>
          </w:p>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t>Searching for more, I noticed</w:t>
            </w:r>
            <w:r>
              <w:rPr>
                <w:rFonts w:hint="eastAsia" w:eastAsia="宋体"/>
                <w:lang w:val="en-US" w:eastAsia="zh-CN"/>
              </w:rPr>
              <w:t xml:space="preserve"> several features of the graph. First there are</w:t>
            </w:r>
            <w:r>
              <w:t xml:space="preserve"> seven unrelated fills that do not visually progress from early to late</w:t>
            </w:r>
            <w:r>
              <w:rPr>
                <w:rFonts w:hint="eastAsia" w:eastAsia="宋体"/>
                <w:lang w:val="en-US" w:eastAsia="zh-CN"/>
              </w:rPr>
              <w:t>. Second,</w:t>
            </w:r>
            <w:r>
              <w:t xml:space="preserve"> a solid black background that fills most of the frame</w:t>
            </w:r>
            <w:r>
              <w:rPr>
                <w:rFonts w:hint="eastAsia" w:eastAsia="宋体"/>
                <w:lang w:val="en-US" w:eastAsia="zh-CN"/>
              </w:rPr>
              <w:t>.</w:t>
            </w:r>
            <w:r>
              <w:t xml:space="preserve"> </w:t>
            </w:r>
            <w:r>
              <w:rPr>
                <w:rFonts w:hint="eastAsia" w:eastAsia="宋体"/>
                <w:lang w:val="en-US" w:eastAsia="zh-CN"/>
              </w:rPr>
              <w:t>There are</w:t>
            </w:r>
            <w:r>
              <w:t xml:space="preserve"> white and faint-outlined shapes in the bottom-right inset </w:t>
            </w:r>
            <w:r>
              <w:rPr>
                <w:rFonts w:hint="eastAsia" w:eastAsia="宋体"/>
                <w:lang w:val="en-US" w:eastAsia="zh-CN"/>
              </w:rPr>
              <w:t xml:space="preserve">maybe is </w:t>
            </w:r>
            <w:r>
              <w:t>Puerto Rico and other island territorie</w:t>
            </w:r>
            <w:r>
              <w:rPr>
                <w:rFonts w:hint="eastAsia" w:eastAsia="宋体"/>
                <w:lang w:val="en-US" w:eastAsia="zh-CN"/>
              </w:rPr>
              <w:t>s based on my knowledge</w:t>
            </w:r>
            <w:r>
              <w:t xml:space="preserve"> that the legend never defines</w:t>
            </w:r>
            <w:r>
              <w:rPr>
                <w:rFonts w:hint="eastAsia" w:eastAsia="宋体"/>
                <w:lang w:val="en-US" w:eastAsia="zh-CN"/>
              </w:rPr>
              <w:t>. Moreover,</w:t>
            </w:r>
            <w:r>
              <w:t xml:space="preserve"> uneven year bands - 1848-1859 (12 years), four 10-year bands, then 1900-1919 and 1940-1959 (20 years each) - with 1920-1939 missing entirely</w:t>
            </w:r>
            <w:r>
              <w:rPr>
                <w:rFonts w:hint="eastAsia" w:eastAsia="宋体"/>
                <w:lang w:val="en-US" w:eastAsia="zh-CN"/>
              </w:rPr>
              <w:t>. This reminds me the content of misleading graph video class.</w:t>
            </w:r>
            <w:r>
              <w:t xml:space="preserve"> </w:t>
            </w:r>
            <w:r>
              <w:rPr>
                <w:rFonts w:hint="eastAsia" w:eastAsia="宋体"/>
                <w:lang w:val="en-US" w:eastAsia="zh-CN"/>
              </w:rPr>
              <w:t>There also</w:t>
            </w:r>
            <w:r>
              <w:t xml:space="preserve"> no state labels, data source, or as-of date printed on the figure, and a leftover "Switch View" button from the interactive tool.</w:t>
            </w:r>
          </w:p>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t>Open question after first look: are the white territories places that never adopted a comparable law, places that were not U.S. states at the time, or simply missing data? The graphic does not say.</w:t>
            </w:r>
          </w:p>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01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p w14:paraId="0000001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p>
        </w:tc>
      </w:tr>
    </w:tbl>
    <w:p w14:paraId="0000001D">
      <w:r>
        <w:rPr>
          <w:rtl w:val="0"/>
        </w:rPr>
        <w:t xml:space="preserve">Evaluate the image, and document what you like, what you dislike, and what you wish you saw here. </w:t>
      </w:r>
    </w:p>
    <w:tbl>
      <w:tblPr>
        <w:tblStyle w:val="15"/>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0"/>
        <w:gridCol w:w="6600"/>
      </w:tblGrid>
      <w:tr w14:paraId="7F78F7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288" w:type="dxa"/>
              <w:left w:w="288" w:type="dxa"/>
              <w:bottom w:w="288" w:type="dxa"/>
              <w:right w:w="288" w:type="dxa"/>
            </w:tcMar>
            <w:vAlign w:val="top"/>
          </w:tcPr>
          <w:p w14:paraId="0000001E">
            <w:pPr>
              <w:widowControl w:val="0"/>
              <w:spacing w:line="240" w:lineRule="auto"/>
            </w:pPr>
            <w:r>
              <w:rPr>
                <w:rtl w:val="0"/>
              </w:rPr>
              <w:t>What I like</w:t>
            </w:r>
          </w:p>
        </w:tc>
        <w:tc>
          <w:tcPr>
            <w:tcBorders>
              <w:top w:val="single" w:color="FFFFFF" w:sz="48" w:space="0"/>
              <w:left w:val="single" w:color="FFFFFF" w:sz="48" w:space="0"/>
              <w:bottom w:val="single" w:color="FFFFFF" w:sz="48" w:space="0"/>
              <w:right w:val="single" w:color="FFFFFF" w:sz="48" w:space="0"/>
            </w:tcBorders>
            <w:shd w:val="clear" w:color="auto" w:fill="D9EAD3"/>
            <w:tcMar>
              <w:top w:w="288" w:type="dxa"/>
              <w:left w:w="288" w:type="dxa"/>
              <w:bottom w:w="288" w:type="dxa"/>
              <w:right w:w="288" w:type="dxa"/>
            </w:tcMar>
            <w:vAlign w:val="top"/>
          </w:tcPr>
          <w:p w14:paraId="0000001F">
            <w:pPr>
              <w:widowControl w:val="0"/>
              <w:spacing w:line="240" w:lineRule="auto"/>
            </w:pPr>
            <w:r>
              <w:rPr>
                <w:rFonts w:hint="eastAsia" w:eastAsia="宋体"/>
                <w:lang w:val="en-US" w:eastAsia="zh-CN"/>
              </w:rPr>
              <w:t>I like the v</w:t>
            </w:r>
            <w:r>
              <w:t>isualization type</w:t>
            </w:r>
            <w:r>
              <w:rPr>
                <w:rFonts w:hint="eastAsia" w:eastAsia="宋体"/>
                <w:lang w:val="en-US" w:eastAsia="zh-CN"/>
              </w:rPr>
              <w:t>. It is</w:t>
            </w:r>
            <w:r>
              <w:t xml:space="preserve"> a choropleth map is the right chart for a geographic diffusion question. The reader can immediately see that the earliest adopters cluster in the Northeast while the Mountain West, South, Florida, Alaska and Hawaii adopted later, which is exactly the regional pattern this topic calls for.</w:t>
            </w:r>
          </w:p>
          <w:p w14:paraId="00000020">
            <w:pPr>
              <w:widowControl w:val="0"/>
              <w:spacing w:line="240" w:lineRule="auto"/>
            </w:pPr>
            <w:r>
              <w:t>Typography</w:t>
            </w:r>
            <w:r>
              <w:rPr>
                <w:rFonts w:hint="eastAsia" w:eastAsia="宋体"/>
                <w:lang w:val="en-US" w:eastAsia="zh-CN"/>
              </w:rPr>
              <w:t xml:space="preserve"> and </w:t>
            </w:r>
            <w:r>
              <w:t>structure</w:t>
            </w:r>
            <w:r>
              <w:rPr>
                <w:rFonts w:hint="eastAsia" w:eastAsia="宋体"/>
                <w:lang w:val="en-US" w:eastAsia="zh-CN"/>
              </w:rPr>
              <w:t xml:space="preserve"> are also good. T</w:t>
            </w:r>
            <w:r>
              <w:t>he title states the topic plainly "Year States Adopted Laws Giving Women the Right to Own Property" and a legend with year ranges is provided</w:t>
            </w:r>
            <w:r>
              <w:rPr>
                <w:rFonts w:hint="eastAsia" w:eastAsia="宋体"/>
                <w:lang w:val="en-US" w:eastAsia="zh-CN"/>
              </w:rPr>
              <w:t>.</w:t>
            </w:r>
            <w:r>
              <w:t xml:space="preserve"> Alaska and Hawaii are moved to insets so their small size does not distort the scale of the contiguous states.</w:t>
            </w:r>
          </w:p>
          <w:p w14:paraId="00000021">
            <w:pPr>
              <w:widowControl w:val="0"/>
              <w:spacing w:line="240" w:lineRule="auto"/>
            </w:pPr>
            <w:r>
              <w:t xml:space="preserve">The early-adopter Northeast cluster stands out enough to give a rough sense of regional pattern at a coarse glance, and the source (Married Women's Property Act of 1839) is documented in </w:t>
            </w:r>
            <w:r>
              <w:rPr>
                <w:rFonts w:hint="eastAsia" w:eastAsia="宋体"/>
                <w:lang w:val="en-US" w:eastAsia="zh-CN"/>
              </w:rPr>
              <w:t>for further reference</w:t>
            </w:r>
            <w:r>
              <w:t>.</w:t>
            </w:r>
          </w:p>
          <w:p w14:paraId="00000022">
            <w:pPr>
              <w:widowControl w:val="0"/>
              <w:spacing w:line="240" w:lineRule="auto"/>
            </w:pPr>
          </w:p>
          <w:p w14:paraId="00000023">
            <w:pPr>
              <w:widowControl w:val="0"/>
              <w:spacing w:line="240" w:lineRule="auto"/>
            </w:pPr>
          </w:p>
          <w:p w14:paraId="00000024">
            <w:pPr>
              <w:widowControl w:val="0"/>
              <w:spacing w:line="240" w:lineRule="auto"/>
            </w:pPr>
          </w:p>
          <w:p w14:paraId="00000025">
            <w:pPr>
              <w:widowControl w:val="0"/>
              <w:spacing w:line="240" w:lineRule="auto"/>
            </w:pPr>
          </w:p>
        </w:tc>
      </w:tr>
      <w:tr w14:paraId="5E4D6B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288" w:type="dxa"/>
              <w:left w:w="288" w:type="dxa"/>
              <w:bottom w:w="288" w:type="dxa"/>
              <w:right w:w="288" w:type="dxa"/>
            </w:tcMar>
            <w:vAlign w:val="top"/>
          </w:tcPr>
          <w:p w14:paraId="00000026">
            <w:pPr>
              <w:widowControl w:val="0"/>
              <w:spacing w:line="240" w:lineRule="auto"/>
            </w:pPr>
            <w:r>
              <w:rPr>
                <w:rtl w:val="0"/>
              </w:rPr>
              <w:t>What I dislike</w:t>
            </w:r>
          </w:p>
        </w:tc>
        <w:tc>
          <w:tcPr>
            <w:tcBorders>
              <w:top w:val="single" w:color="FFFFFF" w:sz="48" w:space="0"/>
              <w:left w:val="single" w:color="FFFFFF" w:sz="48" w:space="0"/>
              <w:bottom w:val="single" w:color="FFFFFF" w:sz="48" w:space="0"/>
              <w:right w:val="single" w:color="FFFFFF" w:sz="48" w:space="0"/>
            </w:tcBorders>
            <w:shd w:val="clear" w:color="auto" w:fill="D9EAD3"/>
            <w:tcMar>
              <w:top w:w="288" w:type="dxa"/>
              <w:left w:w="288" w:type="dxa"/>
              <w:bottom w:w="288" w:type="dxa"/>
              <w:right w:w="288" w:type="dxa"/>
            </w:tcMar>
            <w:vAlign w:val="top"/>
          </w:tcPr>
          <w:p w14:paraId="00000027">
            <w:pPr>
              <w:widowControl w:val="0"/>
              <w:spacing w:line="240" w:lineRule="auto"/>
            </w:pPr>
            <w:r>
              <w:t>Color: the seven fills are unrelated categorical hues rather than an ordered scale. There is no light-to-dark or single-hue progression, so a viewer cannot read chronology at a glance and must decode every legend entry. Good Charts (Berinato) notes we expect color saturation/lightness to indicate higher vs. lower values and expect like colors to belong together; the Misleading Data Visualizations video treats darker = higher/later as the standing convention and warns that arbitrary or reversed color scales lead to wrong conclusions. The red/green and mauve/olive pairs are also hard to separate for red-green color-blind viewers (Good Charts Workbook, Ch. 1 Controlling Color: check color-blind safety).</w:t>
            </w:r>
          </w:p>
          <w:p w14:paraId="00000028">
            <w:pPr>
              <w:widowControl w:val="0"/>
              <w:spacing w:line="240" w:lineRule="auto"/>
            </w:pPr>
            <w:r>
              <w:t>Background: a solid black canvas fills most of the frame, creates heavy contrast and glare, competes with the state fills, and prints poorly. Workbook Ch. 1 defaults to a white/light canvas, uses gray for background context, and limits color to what actually carries the data.</w:t>
            </w:r>
          </w:p>
          <w:p w14:paraId="00000029">
            <w:pPr>
              <w:widowControl w:val="0"/>
              <w:spacing w:line="240" w:lineRule="auto"/>
            </w:pPr>
            <w:r>
              <w:t>Missing / excluded data: the white (and some outline-only) territories in the inset have no legend entry, so it is unclear whether they never adopted a comparable law, were not U.S. states at the time, or are missing data. The Week 1 critique checklist flags exactly this as a red flag: "missing or intentionally excluded data." The treatment is also inconsistent - some islands are white-filled, others only faint outlines on black.</w:t>
            </w:r>
          </w:p>
          <w:p w14:paraId="0000002A">
            <w:pPr>
              <w:widowControl w:val="0"/>
              <w:spacing w:line="240" w:lineRule="auto"/>
            </w:pPr>
            <w:r>
              <w:t>Scale: the year bins are unequal (12 / 10 / 10 / 10 / 10 / 20 / 20 years) with a silent 1920-1939 gap, yet the legend swatches are equal size, implying equal intervals. This mirrors the "improper binning" tactic in the Misleading Data Visualizations video, where unequal bins lump periods and distort perception; a 20-year band should not carry the same visual weight as a 10-year band.</w:t>
            </w:r>
          </w:p>
          <w:p w14:paraId="0000002B">
            <w:pPr>
              <w:widowControl w:val="0"/>
              <w:spacing w:line="240" w:lineRule="auto"/>
            </w:pPr>
            <w:r>
              <w:t>Cognition / Typography: with no direct state labels, the reader makes repeated eye trips between map and small legend text; no data source or as-of date appears on the figure; the floating "Switch View" button is leftover software UI that signals an unpolished export. Per Storytelling with Data (Knaflic, Introduction), labels and context should reduce cognitive load, and color should be a strategic cue rather than decoration.</w:t>
            </w:r>
          </w:p>
          <w:p w14:paraId="0000002C">
            <w:pPr>
              <w:widowControl w:val="0"/>
              <w:spacing w:line="240" w:lineRule="auto"/>
            </w:pPr>
          </w:p>
          <w:p w14:paraId="0000002D">
            <w:pPr>
              <w:widowControl w:val="0"/>
              <w:spacing w:line="240" w:lineRule="auto"/>
            </w:pPr>
          </w:p>
        </w:tc>
      </w:tr>
      <w:tr w14:paraId="47426C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288" w:type="dxa"/>
              <w:left w:w="288" w:type="dxa"/>
              <w:bottom w:w="288" w:type="dxa"/>
              <w:right w:w="288" w:type="dxa"/>
            </w:tcMar>
            <w:vAlign w:val="top"/>
          </w:tcPr>
          <w:p w14:paraId="0000002E">
            <w:pPr>
              <w:widowControl w:val="0"/>
              <w:spacing w:line="240" w:lineRule="auto"/>
            </w:pPr>
            <w:r>
              <w:rPr>
                <w:rtl w:val="0"/>
              </w:rPr>
              <w:t>What I wish I saw</w:t>
            </w:r>
          </w:p>
        </w:tc>
        <w:tc>
          <w:tcPr>
            <w:tcBorders>
              <w:top w:val="single" w:color="FFFFFF" w:sz="48" w:space="0"/>
              <w:left w:val="single" w:color="FFFFFF" w:sz="48" w:space="0"/>
              <w:bottom w:val="single" w:color="FFFFFF" w:sz="48" w:space="0"/>
              <w:right w:val="single" w:color="FFFFFF" w:sz="48" w:space="0"/>
            </w:tcBorders>
            <w:shd w:val="clear" w:color="auto" w:fill="D9EAD3"/>
            <w:tcMar>
              <w:top w:w="288" w:type="dxa"/>
              <w:left w:w="288" w:type="dxa"/>
              <w:bottom w:w="288" w:type="dxa"/>
              <w:right w:w="288" w:type="dxa"/>
            </w:tcMar>
            <w:vAlign w:val="top"/>
          </w:tcPr>
          <w:p w14:paraId="0000002F">
            <w:pPr>
              <w:widowControl w:val="0"/>
              <w:spacing w:line="240" w:lineRule="auto"/>
            </w:pPr>
            <w:r>
              <w:t>A sequential single-hue ramp (light = earliest, dark = latest, or the reverse with an explicit key) that is color-blind safe, drawn on a white or light-gray background.</w:t>
            </w:r>
          </w:p>
          <w:p w14:paraId="00000030">
            <w:pPr>
              <w:widowControl w:val="0"/>
              <w:spacing w:line="240" w:lineRule="auto"/>
            </w:pPr>
            <w:r>
              <w:t>Equal-width 10-year bins or a continuous sequential color scale mapped to exact adoption year, with the 1920-1939 gap shown or explained rather than skipped.</w:t>
            </w:r>
          </w:p>
          <w:p w14:paraId="00000031">
            <w:pPr>
              <w:widowControl w:val="0"/>
              <w:spacing w:line="240" w:lineRule="auto"/>
            </w:pPr>
            <w:r>
              <w:t>An explicit legend category for "Territory / no comparable property law / not a U.S. state in this period," applied consistently as a neutral gray or hatch instead of mixed white and outline-only fills.</w:t>
            </w:r>
          </w:p>
          <w:p w14:paraId="00000032">
            <w:pPr>
              <w:widowControl w:val="0"/>
              <w:spacing w:line="240" w:lineRule="auto"/>
            </w:pPr>
            <w:r>
              <w:t>Direct labels for a few noteworthy states (e.g., the earliest adopter) or a sorted companion list; the data source and as-of date printed on the figure; and removal of the "Switch View" widget.</w:t>
            </w:r>
          </w:p>
          <w:p w14:paraId="00000033">
            <w:pPr>
              <w:widowControl w:val="0"/>
              <w:spacing w:line="240" w:lineRule="auto"/>
            </w:pPr>
          </w:p>
          <w:p w14:paraId="00000034">
            <w:pPr>
              <w:widowControl w:val="0"/>
              <w:spacing w:line="240" w:lineRule="auto"/>
            </w:pPr>
          </w:p>
          <w:p w14:paraId="00000035">
            <w:pPr>
              <w:widowControl w:val="0"/>
              <w:spacing w:line="240" w:lineRule="auto"/>
            </w:pPr>
          </w:p>
        </w:tc>
      </w:tr>
    </w:tbl>
    <w:p w14:paraId="00000036">
      <w:r>
        <w:rPr>
          <w:rtl w:val="0"/>
        </w:rPr>
        <w:t>What are three things you would change, and why?</w:t>
      </w: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7E6DFC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100" w:type="dxa"/>
              <w:left w:w="100" w:type="dxa"/>
              <w:bottom w:w="100" w:type="dxa"/>
              <w:right w:w="100" w:type="dxa"/>
            </w:tcMar>
            <w:vAlign w:val="top"/>
          </w:tcPr>
          <w:p w14:paraId="0000003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I would change…</w:t>
            </w:r>
          </w:p>
        </w:tc>
        <w:tc>
          <w:tcPr>
            <w:tcBorders>
              <w:top w:val="single" w:color="FFFFFF" w:sz="48" w:space="0"/>
              <w:left w:val="single" w:color="FFFFFF" w:sz="48" w:space="0"/>
              <w:bottom w:val="single" w:color="FFFFFF" w:sz="48" w:space="0"/>
              <w:right w:val="single" w:color="FFFFFF" w:sz="48" w:space="0"/>
            </w:tcBorders>
            <w:shd w:val="clear" w:color="auto" w:fill="auto"/>
            <w:tcMar>
              <w:top w:w="100" w:type="dxa"/>
              <w:left w:w="100" w:type="dxa"/>
              <w:bottom w:w="100" w:type="dxa"/>
              <w:right w:w="100" w:type="dxa"/>
            </w:tcMar>
            <w:vAlign w:val="top"/>
          </w:tcPr>
          <w:p w14:paraId="000000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
              <w:rPr>
                <w:rtl w:val="0"/>
              </w:rPr>
              <w:t>because…</w:t>
            </w:r>
          </w:p>
        </w:tc>
      </w:tr>
      <w:tr w14:paraId="63D85F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3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r>
              <w:t>I would change the seven unrelated categorical hues for one sequential color family that progresses in lightness/saturation across adoption years - for example a light-to-dark single-hue ramp such as ColorBrewer sequential blues, lightest for 1848 and darkest for 1959 - and move the canvas from black to a white or very light gray background, verifying the scheme with a color-blind simulator.</w:t>
            </w:r>
          </w:p>
          <w:p w14:paraId="0000003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3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3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tc>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r>
              <w:t>Good Charts (Berinato, Part 1) states that viewers expect saturation/lightness to indicate higher vs. lower values and expect like colors to mean like items; the Misleading Data Visualizations video treats darker = higher/later as convention and warns arbitrary or reversed color scales mislead; Workbook Ch. 1 says use the minimum number of colors, put context in gray on a white background, and check color-blind safety. On the black background the current hues fight each other and no order is visible; an ordered ramp lets readers rank states chronologically in seconds instead of decoding seven legend entries, and a light canvas makes the ramp legible in print.</w:t>
            </w:r>
          </w:p>
        </w:tc>
      </w:tr>
      <w:tr w14:paraId="1346DD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r>
              <w:t>I would rebuild the year encoding with equal-width bins - for example ten-year bands for the 1840s through the 1950s - or use a continuous sequential color scale mapped to the exact adoption year; show or explicitly explain the 1920-1939 gap instead of jumping from 1900-1919 to 1940-1959, and make legend swatch size/band width reflect the time span each represents.</w:t>
            </w:r>
          </w:p>
          <w:p w14:paraId="0000004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4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4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4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tc>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4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r>
              <w:t>The current bins span 12, 10, 10, 10, 10, 20 and 20 years with a missing 1920-1939 decade, yet equal swatches imply equal intervals - the "improper binning" misleading tactic shown in the video and a scale red flag in the Week 1 checklist (unequal bins that lump periods distort perception). Equal intervals make color differences correspond to equal time differences, so a 20-year band no longer looks identical to a 10-year band and the silent decade gap no longer disappears.</w:t>
            </w:r>
          </w:p>
        </w:tc>
      </w:tr>
      <w:tr w14:paraId="2585C4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r>
              <w:t>I would define the uncolored inset territories explicitly: add a legend entry such as "Territory / no comparable property law / not a U.S. state in this period" and give every non-adopting or unavailable area the same neutral encoding (light gray or hatched white) instead of mixing white fills with faint black outlines; also print the data source and as-of date on the figure and remove the leftover "Switch View" button.</w:t>
            </w:r>
          </w:p>
          <w:p w14:paraId="000000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4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4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p>
        </w:tc>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4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shd w:val="clear" w:fill="BFEDD2"/>
              </w:rPr>
            </w:pPr>
            <w:r>
              <w:t>Right now the white island shapes leave the reader guessing whether they never adopted a comparable law, were not states at the time, or are missing data - which the Week 1 critique checklist flags as "missing or intentionally excluded data," and the inconsistent fills (some white, some outline-only) worsen the ambiguity. Storytelling with Data (Knaflic, Introduction) emphasizes setting context for the audience - who, what, source, as-of date - and a finished figure should not carry exported software widgets.</w:t>
            </w:r>
          </w:p>
        </w:tc>
      </w:tr>
    </w:tbl>
    <w:p w14:paraId="0000004B"/>
    <w:p w14:paraId="0000004C">
      <w:r>
        <w:rPr>
          <w:rtl w:val="0"/>
        </w:rPr>
        <w:t xml:space="preserve">Share the image you selected above with Copilot, </w:t>
      </w:r>
      <w:r>
        <w:rPr>
          <w:b/>
          <w:bCs/>
          <w:rtl w:val="0"/>
        </w:rPr>
        <w:t>along with your three design recommendations above.</w:t>
      </w:r>
      <w:r>
        <w:rPr>
          <w:rtl w:val="0"/>
        </w:rPr>
        <w:t xml:space="preserve"> Ask Copilot to critique your recommendations, and come up with three design recommendations (these can be the same or different from your original recommendations).</w:t>
      </w:r>
      <w:r>
        <w:rPr>
          <w:b/>
          <w:bCs/>
          <w:rtl w:val="0"/>
        </w:rPr>
        <w:t xml:space="preserve"> </w:t>
      </w:r>
    </w:p>
    <w:p w14:paraId="0000004D"/>
    <w:p w14:paraId="0000004E">
      <w:r>
        <w:rPr>
          <w:rtl w:val="0"/>
        </w:rPr>
        <w:t xml:space="preserve">Document the critique for each observation above by Copilot below. </w:t>
      </w:r>
    </w:p>
    <w:tbl>
      <w:tblPr>
        <w:tblStyle w:val="17"/>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7EEDF1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auto"/>
            <w:tcMar>
              <w:top w:w="100" w:type="dxa"/>
              <w:left w:w="100" w:type="dxa"/>
              <w:bottom w:w="100" w:type="dxa"/>
              <w:right w:w="100" w:type="dxa"/>
            </w:tcMar>
            <w:vAlign w:val="top"/>
          </w:tcPr>
          <w:p w14:paraId="0000004F">
            <w:pPr>
              <w:widowControl w:val="0"/>
              <w:spacing w:line="240" w:lineRule="auto"/>
            </w:pPr>
            <w:r>
              <w:rPr>
                <w:rtl w:val="0"/>
              </w:rPr>
              <w:t>Copilot recommends</w:t>
            </w:r>
          </w:p>
        </w:tc>
        <w:tc>
          <w:tcPr>
            <w:tcBorders>
              <w:top w:val="single" w:color="FFFFFF" w:sz="48" w:space="0"/>
              <w:left w:val="single" w:color="FFFFFF" w:sz="48" w:space="0"/>
              <w:bottom w:val="single" w:color="FFFFFF" w:sz="48" w:space="0"/>
              <w:right w:val="single" w:color="FFFFFF" w:sz="48" w:space="0"/>
            </w:tcBorders>
            <w:shd w:val="clear" w:color="auto" w:fill="auto"/>
            <w:tcMar>
              <w:top w:w="100" w:type="dxa"/>
              <w:left w:w="100" w:type="dxa"/>
              <w:bottom w:w="100" w:type="dxa"/>
              <w:right w:w="100" w:type="dxa"/>
            </w:tcMar>
            <w:vAlign w:val="top"/>
          </w:tcPr>
          <w:p w14:paraId="00000050">
            <w:pPr>
              <w:widowControl w:val="0"/>
              <w:spacing w:line="240" w:lineRule="auto"/>
            </w:pPr>
            <w:r>
              <w:rPr>
                <w:rtl w:val="0"/>
              </w:rPr>
              <w:t>because…</w:t>
            </w:r>
          </w:p>
        </w:tc>
      </w:tr>
      <w:tr w14:paraId="1CD4DC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D2E9"/>
            <w:tcMar>
              <w:top w:w="100" w:type="dxa"/>
              <w:left w:w="100" w:type="dxa"/>
              <w:bottom w:w="100" w:type="dxa"/>
              <w:right w:w="100" w:type="dxa"/>
            </w:tcMar>
            <w:vAlign w:val="top"/>
          </w:tcPr>
          <w:p w14:paraId="00000051">
            <w:pPr>
              <w:widowControl w:val="0"/>
              <w:spacing w:line="240" w:lineRule="auto"/>
              <w:rPr>
                <w:shd w:val="clear" w:fill="ECCAFA"/>
              </w:rPr>
            </w:pPr>
            <w:r>
              <w:t>Encode time with a perceptually ordered sequential palette: use one light-to-dark blue ramp, very light blue for the earliest adoption and dark blue for the latest, order the legend from earliest at top to latest at bottom, add thin white or medium-gray state borders, and reserve a separate neutral gray (#D9D9D9) for non-data or missing territories.</w:t>
            </w:r>
          </w:p>
          <w:p w14:paraId="00000052">
            <w:pPr>
              <w:widowControl w:val="0"/>
              <w:spacing w:line="240" w:lineRule="auto"/>
              <w:rPr>
                <w:shd w:val="clear" w:fill="ECCAFA"/>
              </w:rPr>
            </w:pPr>
          </w:p>
          <w:p w14:paraId="00000053">
            <w:pPr>
              <w:widowControl w:val="0"/>
              <w:spacing w:line="240" w:lineRule="auto"/>
              <w:rPr>
                <w:shd w:val="clear" w:fill="ECCAFA"/>
              </w:rPr>
            </w:pPr>
          </w:p>
          <w:p w14:paraId="00000054">
            <w:pPr>
              <w:widowControl w:val="0"/>
              <w:spacing w:line="240" w:lineRule="auto"/>
              <w:rPr>
                <w:shd w:val="clear" w:fill="ECCAFA"/>
              </w:rPr>
            </w:pPr>
          </w:p>
          <w:p w14:paraId="00000055">
            <w:pPr>
              <w:widowControl w:val="0"/>
              <w:spacing w:line="240" w:lineRule="auto"/>
              <w:rPr>
                <w:shd w:val="clear" w:fill="ECCAFA"/>
              </w:rPr>
            </w:pPr>
          </w:p>
        </w:tc>
        <w:tc>
          <w:tcPr>
            <w:tcBorders>
              <w:top w:val="single" w:color="FFFFFF" w:sz="48" w:space="0"/>
              <w:left w:val="single" w:color="FFFFFF" w:sz="48" w:space="0"/>
              <w:bottom w:val="single" w:color="FFFFFF" w:sz="48" w:space="0"/>
              <w:right w:val="single" w:color="FFFFFF" w:sz="48" w:space="0"/>
            </w:tcBorders>
            <w:shd w:val="clear" w:color="auto" w:fill="D9D2E9"/>
            <w:tcMar>
              <w:top w:w="100" w:type="dxa"/>
              <w:left w:w="100" w:type="dxa"/>
              <w:bottom w:w="100" w:type="dxa"/>
              <w:right w:w="100" w:type="dxa"/>
            </w:tcMar>
            <w:vAlign w:val="top"/>
          </w:tcPr>
          <w:p w14:paraId="00000056">
            <w:pPr>
              <w:widowControl w:val="0"/>
              <w:spacing w:line="240" w:lineRule="auto"/>
              <w:rPr>
                <w:shd w:val="clear" w:fill="ECCAFA"/>
              </w:rPr>
            </w:pPr>
            <w:r>
              <w:t>Because readers should be able to tell earlier from later adoption without going back to the legend again and again; a neutral gray that is clearly different from the lightest data color keeps missing territory data from being read as a real value.</w:t>
            </w:r>
          </w:p>
        </w:tc>
      </w:tr>
      <w:tr w14:paraId="4E1924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D2E9"/>
            <w:tcMar>
              <w:top w:w="100" w:type="dxa"/>
              <w:left w:w="100" w:type="dxa"/>
              <w:bottom w:w="100" w:type="dxa"/>
              <w:right w:w="100" w:type="dxa"/>
            </w:tcMar>
            <w:vAlign w:val="top"/>
          </w:tcPr>
          <w:p w14:paraId="00000057">
            <w:pPr>
              <w:widowControl w:val="0"/>
              <w:spacing w:line="240" w:lineRule="auto"/>
              <w:rPr>
                <w:shd w:val="clear" w:fill="ECCAFA"/>
              </w:rPr>
            </w:pPr>
            <w:r>
              <w:t>Replace the irregular class structure with either exact adoption year on a continuous scale or uniform decade bins, and explicitly show the empty 1920-1939 period with a note under the legend such as "No state adoptions recorded for 1920-1939"; keep all legend swatches the same size and give equal time spans equal visual weight.</w:t>
            </w:r>
          </w:p>
          <w:p w14:paraId="00000058">
            <w:pPr>
              <w:widowControl w:val="0"/>
              <w:spacing w:line="240" w:lineRule="auto"/>
              <w:rPr>
                <w:shd w:val="clear" w:fill="ECCAFA"/>
              </w:rPr>
            </w:pPr>
          </w:p>
          <w:p w14:paraId="00000059">
            <w:pPr>
              <w:widowControl w:val="0"/>
              <w:spacing w:line="240" w:lineRule="auto"/>
              <w:rPr>
                <w:shd w:val="clear" w:fill="ECCAFA"/>
              </w:rPr>
            </w:pPr>
          </w:p>
          <w:p w14:paraId="0000005A">
            <w:pPr>
              <w:widowControl w:val="0"/>
              <w:spacing w:line="240" w:lineRule="auto"/>
              <w:rPr>
                <w:shd w:val="clear" w:fill="ECCAFA"/>
              </w:rPr>
            </w:pPr>
          </w:p>
          <w:p w14:paraId="0000005B">
            <w:pPr>
              <w:widowControl w:val="0"/>
              <w:spacing w:line="240" w:lineRule="auto"/>
              <w:rPr>
                <w:shd w:val="clear" w:fill="ECCAFA"/>
              </w:rPr>
            </w:pPr>
          </w:p>
        </w:tc>
        <w:tc>
          <w:tcPr>
            <w:tcBorders>
              <w:top w:val="single" w:color="FFFFFF" w:sz="48" w:space="0"/>
              <w:left w:val="single" w:color="FFFFFF" w:sz="48" w:space="0"/>
              <w:bottom w:val="single" w:color="FFFFFF" w:sz="48" w:space="0"/>
              <w:right w:val="single" w:color="FFFFFF" w:sz="48" w:space="0"/>
            </w:tcBorders>
            <w:shd w:val="clear" w:color="auto" w:fill="D9D2E9"/>
            <w:tcMar>
              <w:top w:w="100" w:type="dxa"/>
              <w:left w:w="100" w:type="dxa"/>
              <w:bottom w:w="100" w:type="dxa"/>
              <w:right w:w="100" w:type="dxa"/>
            </w:tcMar>
            <w:vAlign w:val="top"/>
          </w:tcPr>
          <w:p w14:paraId="0000005C">
            <w:pPr>
              <w:widowControl w:val="0"/>
              <w:spacing w:line="240" w:lineRule="auto"/>
              <w:rPr>
                <w:shd w:val="clear" w:fill="ECCAFA"/>
              </w:rPr>
            </w:pPr>
            <w:r>
              <w:t>Because the current legend mixes 10-year and 20-year bands and skips 1920-1939 without explanation, so the colors imply a chronology that was not measured consistently and make comparisons misleading.</w:t>
            </w:r>
          </w:p>
        </w:tc>
      </w:tr>
      <w:tr w14:paraId="735B4C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D2E9"/>
            <w:tcMar>
              <w:top w:w="100" w:type="dxa"/>
              <w:left w:w="100" w:type="dxa"/>
              <w:bottom w:w="100" w:type="dxa"/>
              <w:right w:w="100" w:type="dxa"/>
            </w:tcMar>
            <w:vAlign w:val="top"/>
          </w:tcPr>
          <w:p w14:paraId="0000005D">
            <w:pPr>
              <w:widowControl w:val="0"/>
              <w:spacing w:line="240" w:lineRule="auto"/>
              <w:rPr>
                <w:shd w:val="clear" w:fill="ECCAFA"/>
              </w:rPr>
            </w:pPr>
            <w:r>
              <w:t>Add a narrow companion chart below the map: a horizontal decade histogram showing how many states adopted a law in each decade, using the same color scale as the map.</w:t>
            </w:r>
          </w:p>
          <w:p w14:paraId="0000005E">
            <w:pPr>
              <w:widowControl w:val="0"/>
              <w:spacing w:line="240" w:lineRule="auto"/>
              <w:rPr>
                <w:shd w:val="clear" w:fill="ECCAFA"/>
              </w:rPr>
            </w:pPr>
          </w:p>
          <w:p w14:paraId="0000005F">
            <w:pPr>
              <w:widowControl w:val="0"/>
              <w:spacing w:line="240" w:lineRule="auto"/>
              <w:rPr>
                <w:shd w:val="clear" w:fill="ECCAFA"/>
              </w:rPr>
            </w:pPr>
          </w:p>
          <w:p w14:paraId="00000060">
            <w:pPr>
              <w:widowControl w:val="0"/>
              <w:spacing w:line="240" w:lineRule="auto"/>
              <w:rPr>
                <w:shd w:val="clear" w:fill="ECCAFA"/>
              </w:rPr>
            </w:pPr>
          </w:p>
          <w:p w14:paraId="00000061">
            <w:pPr>
              <w:widowControl w:val="0"/>
              <w:spacing w:line="240" w:lineRule="auto"/>
              <w:rPr>
                <w:shd w:val="clear" w:fill="ECCAFA"/>
              </w:rPr>
            </w:pPr>
          </w:p>
        </w:tc>
        <w:tc>
          <w:tcPr>
            <w:tcBorders>
              <w:top w:val="single" w:color="FFFFFF" w:sz="48" w:space="0"/>
              <w:left w:val="single" w:color="FFFFFF" w:sz="48" w:space="0"/>
              <w:bottom w:val="single" w:color="FFFFFF" w:sz="48" w:space="0"/>
              <w:right w:val="single" w:color="FFFFFF" w:sz="48" w:space="0"/>
            </w:tcBorders>
            <w:shd w:val="clear" w:color="auto" w:fill="D9D2E9"/>
            <w:tcMar>
              <w:top w:w="100" w:type="dxa"/>
              <w:left w:w="100" w:type="dxa"/>
              <w:bottom w:w="100" w:type="dxa"/>
              <w:right w:w="100" w:type="dxa"/>
            </w:tcMar>
            <w:vAlign w:val="top"/>
          </w:tcPr>
          <w:p w14:paraId="00000062">
            <w:pPr>
              <w:widowControl w:val="0"/>
              <w:spacing w:line="240" w:lineRule="auto"/>
              <w:rPr>
                <w:shd w:val="clear" w:fill="ECCAFA"/>
              </w:rPr>
            </w:pPr>
            <w:r>
              <w:t>Because a map shows geography well but hides the time pattern; the underlying variable is year, and this addition answers whether adoptions were concentrated in a few periods or spread out over time.</w:t>
            </w:r>
          </w:p>
        </w:tc>
      </w:tr>
    </w:tbl>
    <w:p w14:paraId="00000063">
      <w:pPr>
        <w:rPr>
          <w:b/>
          <w:bCs/>
        </w:rPr>
      </w:pPr>
    </w:p>
    <w:p w14:paraId="00000064">
      <w:pPr>
        <w:rPr>
          <w:b/>
          <w:bCs/>
        </w:rPr>
      </w:pPr>
    </w:p>
    <w:p w14:paraId="00000065">
      <w:pPr>
        <w:rPr>
          <w:sz w:val="24"/>
          <w:szCs w:val="24"/>
        </w:rPr>
      </w:pPr>
      <w:r>
        <w:rPr>
          <w:b/>
          <w:bCs/>
          <w:rtl w:val="0"/>
        </w:rPr>
        <w:t>S</w:t>
      </w:r>
      <w:r>
        <w:rPr>
          <w:b/>
          <w:bCs/>
          <w:sz w:val="24"/>
          <w:szCs w:val="24"/>
          <w:rtl w:val="0"/>
        </w:rPr>
        <w:t xml:space="preserve">ynthesis: </w:t>
      </w:r>
      <w:r>
        <w:rPr>
          <w:sz w:val="24"/>
          <w:szCs w:val="24"/>
          <w:rtl w:val="0"/>
        </w:rPr>
        <w:t>Look across both sets of recommendations.  What do you think are the three most impactful recommendations to improve this graphic?  You can select from the ones above, synthesize (combine) design recommendations together, or come up with entirely new ones. Highlight the text based on whether the recommendation came from GenAI, or came from you.</w:t>
      </w:r>
    </w:p>
    <w:p w14:paraId="00000066">
      <w:pPr>
        <w:shd w:val="clear" w:fill="FFFFFF"/>
        <w:spacing w:before="180" w:after="180"/>
        <w:rPr>
          <w:sz w:val="24"/>
          <w:szCs w:val="24"/>
          <w:highlight w:val="white"/>
        </w:rPr>
      </w:pPr>
      <w:r>
        <w:rPr>
          <w:sz w:val="24"/>
          <w:szCs w:val="24"/>
          <w:highlight w:val="white"/>
          <w:rtl w:val="0"/>
        </w:rPr>
        <w:t xml:space="preserve">Example: </w:t>
      </w:r>
    </w:p>
    <w:p w14:paraId="00000067">
      <w:pPr>
        <w:shd w:val="clear" w:fill="FFFFFF"/>
        <w:spacing w:before="180" w:after="180"/>
        <w:rPr>
          <w:sz w:val="24"/>
          <w:szCs w:val="24"/>
          <w:highlight w:val="white"/>
        </w:rPr>
      </w:pPr>
      <w:r>
        <w:rPr>
          <w:sz w:val="24"/>
          <w:szCs w:val="24"/>
          <w:shd w:val="clear" w:fill="BFEDD2"/>
          <w:rtl w:val="0"/>
        </w:rPr>
        <w:t>_____</w:t>
      </w:r>
      <w:r>
        <w:rPr>
          <w:sz w:val="24"/>
          <w:szCs w:val="24"/>
          <w:highlight w:val="white"/>
          <w:rtl w:val="0"/>
        </w:rPr>
        <w:t xml:space="preserve"> = me</w:t>
      </w:r>
    </w:p>
    <w:p w14:paraId="00000068">
      <w:pPr>
        <w:shd w:val="clear" w:fill="FFFFFF"/>
        <w:spacing w:before="180" w:after="180"/>
        <w:rPr>
          <w:sz w:val="24"/>
          <w:szCs w:val="24"/>
          <w:highlight w:val="white"/>
        </w:rPr>
      </w:pPr>
      <w:r>
        <w:rPr>
          <w:sz w:val="24"/>
          <w:szCs w:val="24"/>
          <w:shd w:val="clear" w:fill="ECCAFA"/>
          <w:rtl w:val="0"/>
        </w:rPr>
        <w:t>_____</w:t>
      </w:r>
      <w:r>
        <w:rPr>
          <w:sz w:val="24"/>
          <w:szCs w:val="24"/>
          <w:highlight w:val="white"/>
          <w:rtl w:val="0"/>
        </w:rPr>
        <w:t xml:space="preserve"> = Copilot</w:t>
      </w:r>
    </w:p>
    <w:p w14:paraId="00000069">
      <w:pPr>
        <w:shd w:val="clear" w:fill="FFFFFF"/>
        <w:spacing w:before="180" w:after="180"/>
      </w:pPr>
      <w:r>
        <w:rPr>
          <w:sz w:val="24"/>
          <w:szCs w:val="24"/>
          <w:shd w:val="clear" w:fill="ECCAFA"/>
          <w:rtl w:val="0"/>
        </w:rPr>
        <w:t xml:space="preserve">I would change the title of the graph to say </w:t>
      </w:r>
      <w:r>
        <w:rPr>
          <w:sz w:val="24"/>
          <w:szCs w:val="24"/>
          <w:shd w:val="clear" w:fill="BFEDD2"/>
          <w:rtl w:val="0"/>
        </w:rPr>
        <w:t>"Best places in NYC to get a $1 slice of pizza"</w:t>
      </w:r>
      <w:r>
        <w:rPr>
          <w:sz w:val="24"/>
          <w:szCs w:val="24"/>
          <w:shd w:val="clear" w:fill="ECCAFA"/>
          <w:rtl w:val="0"/>
        </w:rPr>
        <w:t xml:space="preserve"> because it explains what the purpose of the graph is more clearly to the reader.</w:t>
      </w:r>
      <w:r>
        <w:rPr>
          <w:sz w:val="24"/>
          <w:szCs w:val="24"/>
          <w:shd w:val="clear" w:fill="BFEDD2"/>
          <w:rtl w:val="0"/>
        </w:rPr>
        <w:t xml:space="preserve">  In the original version, I realized the title just explained the structure of the data as opposed to the purpose of the graph.  I would also use a more legible font, like Roboto, </w:t>
      </w:r>
      <w:r>
        <w:rPr>
          <w:sz w:val="24"/>
          <w:szCs w:val="24"/>
          <w:shd w:val="clear" w:fill="ECCAFA"/>
          <w:rtl w:val="0"/>
        </w:rPr>
        <w:t>remove the italics and keep it around 14 pt.</w:t>
      </w:r>
      <w:r>
        <w:rPr>
          <w:sz w:val="24"/>
          <w:szCs w:val="24"/>
          <w:highlight w:val="white"/>
          <w:rtl w:val="0"/>
        </w:rPr>
        <w:t xml:space="preserve"> </w:t>
      </w:r>
    </w:p>
    <w:tbl>
      <w:tblPr>
        <w:tblStyle w:val="18"/>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2BA053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Borders>
              <w:top w:val="single" w:color="FFFFFF" w:sz="48" w:space="0"/>
              <w:left w:val="single" w:color="FFFFFF" w:sz="48" w:space="0"/>
              <w:bottom w:val="single" w:color="FFFFFF" w:sz="48" w:space="0"/>
              <w:right w:val="single" w:color="FFFFFF" w:sz="48" w:space="0"/>
            </w:tcBorders>
            <w:shd w:val="clear" w:color="auto" w:fill="auto"/>
            <w:tcMar>
              <w:top w:w="100" w:type="dxa"/>
              <w:left w:w="100" w:type="dxa"/>
              <w:bottom w:w="100" w:type="dxa"/>
              <w:right w:w="100" w:type="dxa"/>
            </w:tcMar>
            <w:vAlign w:val="top"/>
          </w:tcPr>
          <w:p w14:paraId="0000006A">
            <w:pPr>
              <w:widowControl w:val="0"/>
              <w:spacing w:line="240" w:lineRule="auto"/>
            </w:pPr>
            <w:r>
              <w:rPr>
                <w:b/>
                <w:bCs/>
                <w:rtl w:val="0"/>
              </w:rPr>
              <w:t>Final, synthesized design recommendations (you should have three)*:</w:t>
            </w:r>
            <w:r>
              <w:rPr>
                <w:rtl w:val="0"/>
              </w:rPr>
              <w:t xml:space="preserve"> </w:t>
            </w:r>
          </w:p>
          <w:p w14:paraId="0000006B">
            <w:pPr>
              <w:widowControl w:val="0"/>
              <w:spacing w:line="240" w:lineRule="auto"/>
            </w:pPr>
          </w:p>
          <w:p w14:paraId="0000006C">
            <w:pPr>
              <w:widowControl w:val="0"/>
              <w:spacing w:line="240" w:lineRule="auto"/>
            </w:pPr>
            <w:r>
              <w:rPr>
                <w:rtl w:val="0"/>
              </w:rPr>
              <w:t>I would change…because…</w:t>
            </w:r>
          </w:p>
        </w:tc>
      </w:tr>
      <w:tr w14:paraId="42EB72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Borders>
              <w:top w:val="single" w:color="FFFFFF" w:sz="48" w:space="0"/>
              <w:left w:val="single" w:color="FFFFFF" w:sz="48" w:space="0"/>
              <w:bottom w:val="single" w:color="FFFFFF" w:sz="48" w:space="0"/>
              <w:right w:val="single" w:color="FFFFFF" w:sz="48" w:space="0"/>
            </w:tcBorders>
            <w:shd w:val="clear" w:color="auto" w:fill="F3F3F3"/>
            <w:tcMar>
              <w:top w:w="100" w:type="dxa"/>
              <w:left w:w="100" w:type="dxa"/>
              <w:bottom w:w="100" w:type="dxa"/>
              <w:right w:w="100" w:type="dxa"/>
            </w:tcMar>
            <w:vAlign w:val="top"/>
          </w:tcPr>
          <w:p w14:paraId="0000006E">
            <w:pPr>
              <w:widowControl w:val="0"/>
              <w:spacing w:line="240" w:lineRule="auto"/>
              <w:rPr>
                <w:shd w:val="clear" w:fill="F3F3F3"/>
              </w:rPr>
            </w:pPr>
            <w:r>
              <w:rPr>
                <w:shd w:val="clear" w:fill="EFEFEF"/>
              </w:rPr>
              <w:t>Synthesis (me + Copilot): I would replace the seven unrelated categorical hues with one ordered sequential light-to-dark blue ramp (lightest for the earliest 1848 adoption, darkest for the latest), move off the black background to white or light gray, order the legend earliest to latest, add thin neutral state borders, and reserve a distinct neutral gray for territories or missing values. Because ordered lightness encodes time at a glance, the light background improves figure-ground separation and print legibility, and a separate neutral gray keeps missing data from being mistaken for a real value; contrast between adjacent colors should also be checked for color-blind separability.</w:t>
            </w:r>
          </w:p>
          <w:p w14:paraId="0000006F">
            <w:pPr>
              <w:widowControl w:val="0"/>
              <w:spacing w:line="240" w:lineRule="auto"/>
              <w:rPr>
                <w:shd w:val="clear" w:fill="F3F3F3"/>
              </w:rPr>
            </w:pPr>
          </w:p>
          <w:p w14:paraId="00000070">
            <w:pPr>
              <w:widowControl w:val="0"/>
              <w:spacing w:line="240" w:lineRule="auto"/>
              <w:rPr>
                <w:shd w:val="clear" w:fill="F3F3F3"/>
              </w:rPr>
            </w:pPr>
          </w:p>
          <w:p w14:paraId="00000071">
            <w:pPr>
              <w:widowControl w:val="0"/>
              <w:spacing w:line="240" w:lineRule="auto"/>
              <w:rPr>
                <w:shd w:val="clear" w:fill="F3F3F3"/>
              </w:rPr>
            </w:pPr>
          </w:p>
          <w:p w14:paraId="00000072">
            <w:pPr>
              <w:widowControl w:val="0"/>
              <w:spacing w:line="240" w:lineRule="auto"/>
              <w:rPr>
                <w:shd w:val="clear" w:fill="F3F3F3"/>
              </w:rPr>
            </w:pPr>
          </w:p>
        </w:tc>
      </w:tr>
      <w:tr w14:paraId="59C3C6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Borders>
              <w:top w:val="single" w:color="FFFFFF" w:sz="48" w:space="0"/>
              <w:left w:val="single" w:color="FFFFFF" w:sz="48" w:space="0"/>
              <w:bottom w:val="single" w:color="FFFFFF" w:sz="48" w:space="0"/>
              <w:right w:val="single" w:color="FFFFFF" w:sz="48" w:space="0"/>
            </w:tcBorders>
            <w:shd w:val="clear" w:color="auto" w:fill="F3F3F3"/>
            <w:tcMar>
              <w:top w:w="100" w:type="dxa"/>
              <w:left w:w="100" w:type="dxa"/>
              <w:bottom w:w="100" w:type="dxa"/>
              <w:right w:w="100" w:type="dxa"/>
            </w:tcMar>
            <w:vAlign w:val="top"/>
          </w:tcPr>
          <w:p w14:paraId="00000074">
            <w:pPr>
              <w:widowControl w:val="0"/>
              <w:spacing w:line="240" w:lineRule="auto"/>
              <w:rPr>
                <w:shd w:val="clear" w:fill="F3F3F3"/>
              </w:rPr>
            </w:pPr>
            <w:r>
              <w:rPr>
                <w:shd w:val="clear" w:fill="EFEFEF"/>
              </w:rPr>
              <w:t>Synthesis (me + Copilot): I would rebuild the year encoding with equal-width decade bins or a continuous exact-year scale, annotate the empty 1920-1939 period instead of jumping over it, give equal time spans equal swatch weight, separate the different missing-data cases (missing, not applicable, territory, never adopted), and print the data source and as-of date on the figure. Because the current 10/20-year mix and silent gap make visual comparison misleading, and labeling what each non-colored area means plus the source makes the map transparent and credible.</w:t>
            </w:r>
          </w:p>
          <w:p w14:paraId="00000075">
            <w:pPr>
              <w:widowControl w:val="0"/>
              <w:spacing w:line="240" w:lineRule="auto"/>
              <w:rPr>
                <w:shd w:val="clear" w:fill="F3F3F3"/>
              </w:rPr>
            </w:pPr>
          </w:p>
          <w:p w14:paraId="00000076">
            <w:pPr>
              <w:widowControl w:val="0"/>
              <w:spacing w:line="240" w:lineRule="auto"/>
              <w:rPr>
                <w:shd w:val="clear" w:fill="F3F3F3"/>
              </w:rPr>
            </w:pPr>
          </w:p>
          <w:p w14:paraId="00000077">
            <w:pPr>
              <w:widowControl w:val="0"/>
              <w:spacing w:line="240" w:lineRule="auto"/>
              <w:rPr>
                <w:shd w:val="clear" w:fill="F3F3F3"/>
              </w:rPr>
            </w:pPr>
          </w:p>
          <w:p w14:paraId="00000078">
            <w:pPr>
              <w:widowControl w:val="0"/>
              <w:spacing w:line="240" w:lineRule="auto"/>
              <w:rPr>
                <w:shd w:val="clear" w:fill="F3F3F3"/>
              </w:rPr>
            </w:pPr>
          </w:p>
        </w:tc>
      </w:tr>
      <w:tr w14:paraId="7ADD30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Borders>
              <w:top w:val="single" w:color="FFFFFF" w:sz="48" w:space="0"/>
              <w:left w:val="single" w:color="FFFFFF" w:sz="48" w:space="0"/>
              <w:bottom w:val="single" w:color="FFFFFF" w:sz="48" w:space="0"/>
              <w:right w:val="single" w:color="FFFFFF" w:sz="48" w:space="0"/>
            </w:tcBorders>
            <w:shd w:val="clear" w:color="auto" w:fill="F3F3F3"/>
            <w:tcMar>
              <w:top w:w="100" w:type="dxa"/>
              <w:left w:w="100" w:type="dxa"/>
              <w:bottom w:w="100" w:type="dxa"/>
              <w:right w:w="100" w:type="dxa"/>
            </w:tcMar>
            <w:vAlign w:val="top"/>
          </w:tcPr>
          <w:p w14:paraId="0000007A">
            <w:pPr>
              <w:widowControl w:val="0"/>
              <w:spacing w:line="240" w:lineRule="auto"/>
              <w:rPr>
                <w:shd w:val="clear" w:fill="F3F3F3"/>
              </w:rPr>
            </w:pPr>
            <w:r>
              <w:rPr>
                <w:shd w:val="clear" w:fill="ECCAFA"/>
              </w:rPr>
              <w:t>Copilot: I would add a narrow companion decade histogram beneath the map, counting how many states adopted a law in each decade on the same color scale. Because the map shows geography well but hides the temporal distribution, so this chart answers whether adoption clustered in a few periods or spread evenly over time.</w:t>
            </w:r>
          </w:p>
          <w:p w14:paraId="0000007B">
            <w:pPr>
              <w:widowControl w:val="0"/>
              <w:spacing w:line="240" w:lineRule="auto"/>
              <w:rPr>
                <w:shd w:val="clear" w:fill="F3F3F3"/>
              </w:rPr>
            </w:pPr>
          </w:p>
          <w:p w14:paraId="0000007C">
            <w:pPr>
              <w:widowControl w:val="0"/>
              <w:spacing w:line="240" w:lineRule="auto"/>
              <w:rPr>
                <w:shd w:val="clear" w:fill="F3F3F3"/>
              </w:rPr>
            </w:pPr>
          </w:p>
          <w:p w14:paraId="0000007D">
            <w:pPr>
              <w:widowControl w:val="0"/>
              <w:spacing w:line="240" w:lineRule="auto"/>
              <w:rPr>
                <w:shd w:val="clear" w:fill="F3F3F3"/>
              </w:rPr>
            </w:pPr>
          </w:p>
          <w:p w14:paraId="0000007E">
            <w:pPr>
              <w:widowControl w:val="0"/>
              <w:spacing w:line="240" w:lineRule="auto"/>
              <w:rPr>
                <w:shd w:val="clear" w:fill="F3F3F3"/>
              </w:rPr>
            </w:pPr>
          </w:p>
        </w:tc>
      </w:tr>
    </w:tbl>
    <w:p w14:paraId="00000080">
      <w:pPr>
        <w:rPr>
          <w:i/>
          <w:iCs/>
          <w:sz w:val="20"/>
          <w:szCs w:val="20"/>
          <w:highlight w:val="white"/>
        </w:rPr>
      </w:pPr>
      <w:r>
        <w:rPr>
          <w:i/>
          <w:iCs/>
          <w:sz w:val="20"/>
          <w:szCs w:val="20"/>
          <w:highlight w:val="white"/>
          <w:rtl w:val="0"/>
        </w:rPr>
        <w:t xml:space="preserve">* It’s ok if you decide not to take AI’s input!  If your recommendation stays the same from a previous step, that’s ok as long as it’s a solid, well-thought out design recommendation you’re confident in. You should still clearly note the source of the recommendation using the color coding. </w:t>
      </w:r>
    </w:p>
    <w:p w14:paraId="00000081">
      <w:pPr>
        <w:rPr>
          <w:sz w:val="24"/>
          <w:szCs w:val="24"/>
        </w:rPr>
      </w:pPr>
    </w:p>
    <w:p w14:paraId="00000082">
      <w:pPr>
        <w:rPr>
          <w:sz w:val="24"/>
          <w:szCs w:val="24"/>
        </w:rPr>
      </w:pPr>
      <w:r>
        <w:rPr>
          <w:b/>
          <w:bCs/>
          <w:sz w:val="24"/>
          <w:szCs w:val="24"/>
          <w:rtl w:val="0"/>
        </w:rPr>
        <w:t>Next, score the original graphic (-10 is poor, 10 is excellent).</w:t>
      </w:r>
      <w:r>
        <w:rPr>
          <w:sz w:val="24"/>
          <w:szCs w:val="24"/>
          <w:rtl w:val="0"/>
        </w:rPr>
        <w:t xml:space="preserve">  Double click on the chart below, and move the icon to your best estimate of the overall score for the graphic you evaluated. </w:t>
      </w:r>
    </w:p>
    <w:p w14:paraId="00000083">
      <w:pPr>
        <w:rPr>
          <w:sz w:val="24"/>
          <w:szCs w:val="24"/>
        </w:rPr>
      </w:pPr>
    </w:p>
    <w:p w14:paraId="00000084">
      <w:pPr>
        <w:rPr>
          <w:sz w:val="24"/>
          <w:szCs w:val="24"/>
        </w:rPr>
      </w:pPr>
      <w:r>
        <w:drawing>
          <wp:anchor distT="114300" distB="114300" distL="114300" distR="114300" simplePos="0" relativeHeight="251659264" behindDoc="0" locked="0" layoutInCell="1" allowOverlap="1">
            <wp:simplePos x="0" y="0"/>
            <wp:positionH relativeFrom="column">
              <wp:posOffset>2119630</wp:posOffset>
            </wp:positionH>
            <wp:positionV relativeFrom="paragraph">
              <wp:posOffset>2729230</wp:posOffset>
            </wp:positionV>
            <wp:extent cx="594360" cy="897890"/>
            <wp:effectExtent l="135592" t="74598" r="135592" b="74598"/>
            <wp:wrapNone/>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8"/>
                    <a:srcRect/>
                    <a:stretch>
                      <a:fillRect/>
                    </a:stretch>
                  </pic:blipFill>
                  <pic:spPr>
                    <a:xfrm rot="12000000">
                      <a:off x="0" y="0"/>
                      <a:ext cx="594517" cy="897720"/>
                    </a:xfrm>
                    <a:prstGeom prst="rect">
                      <a:avLst/>
                    </a:prstGeom>
                  </pic:spPr>
                </pic:pic>
              </a:graphicData>
            </a:graphic>
          </wp:anchor>
        </w:drawing>
      </w:r>
      <w:r>
        <w:rPr>
          <w:sz w:val="24"/>
          <w:szCs w:val="24"/>
        </w:rPr>
        <w:drawing>
          <wp:inline distT="114300" distB="114300" distL="114300" distR="114300">
            <wp:extent cx="5521325" cy="5300345"/>
            <wp:effectExtent l="0" t="0" r="0" b="0"/>
            <wp:docPr id="1" name="image1.png" descr="Chart"/>
            <wp:cNvGraphicFramePr/>
            <a:graphic xmlns:a="http://schemas.openxmlformats.org/drawingml/2006/main">
              <a:graphicData uri="http://schemas.openxmlformats.org/drawingml/2006/picture">
                <pic:pic xmlns:pic="http://schemas.openxmlformats.org/drawingml/2006/picture">
                  <pic:nvPicPr>
                    <pic:cNvPr id="1" name="image1.png" descr="Chart"/>
                    <pic:cNvPicPr preferRelativeResize="0"/>
                  </pic:nvPicPr>
                  <pic:blipFill>
                    <a:blip r:embed="rId9"/>
                    <a:srcRect/>
                    <a:stretch>
                      <a:fillRect/>
                    </a:stretch>
                  </pic:blipFill>
                  <pic:spPr>
                    <a:xfrm>
                      <a:off x="0" y="0"/>
                      <a:ext cx="5521892" cy="5300663"/>
                    </a:xfrm>
                    <a:prstGeom prst="rect">
                      <a:avLst/>
                    </a:prstGeom>
                  </pic:spPr>
                </pic:pic>
              </a:graphicData>
            </a:graphic>
          </wp:inline>
        </w:drawing>
      </w:r>
      <w:bookmarkStart w:id="2" w:name="_GoBack"/>
      <w:bookmarkEnd w:id="2"/>
    </w:p>
    <w:p w14:paraId="6F13E1C2">
      <w:pPr>
        <w:pStyle w:val="9"/>
        <w:keepNext w:val="0"/>
        <w:keepLines w:val="0"/>
        <w:widowControl/>
        <w:suppressLineNumbers w:val="0"/>
        <w:rPr>
          <w:sz w:val="24"/>
          <w:szCs w:val="24"/>
        </w:rPr>
      </w:pPr>
      <w:r>
        <w:t>Design execution: -3; contextual awareness: -4. The map only delivers basic geographic presentation. Its unordered color palette mis-encodes sequential time data with low readability on black canvas; uneven bins, undefined missing data and absent source undermine its credibility.</w:t>
      </w:r>
    </w:p>
    <w:p w14:paraId="00000085">
      <w:pPr>
        <w:rPr>
          <w:sz w:val="24"/>
          <w:szCs w:val="24"/>
        </w:rPr>
      </w:pPr>
    </w:p>
    <w:p w14:paraId="00000086">
      <w:pPr>
        <w:rPr>
          <w:sz w:val="24"/>
          <w:szCs w:val="24"/>
        </w:rPr>
      </w:pPr>
      <w:r>
        <w:rPr>
          <w:b/>
          <w:bCs/>
          <w:sz w:val="24"/>
          <w:szCs w:val="24"/>
          <w:rtl w:val="0"/>
        </w:rPr>
        <w:t>Synthesis:</w:t>
      </w:r>
      <w:r>
        <w:rPr>
          <w:sz w:val="24"/>
          <w:szCs w:val="24"/>
          <w:rtl w:val="0"/>
        </w:rPr>
        <w:t xml:space="preserve"> Did you end up relying more on your own observations to score the graphic?  Those of GenAI?  A combination of both?</w:t>
      </w:r>
    </w:p>
    <w:p w14:paraId="00000087">
      <w:pPr>
        <w:rPr>
          <w:sz w:val="24"/>
          <w:szCs w:val="24"/>
        </w:rPr>
      </w:pPr>
    </w:p>
    <w:tbl>
      <w:tblPr>
        <w:tblStyle w:val="19"/>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21D855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88">
            <w:pPr>
              <w:widowControl w:val="0"/>
              <w:spacing w:line="240" w:lineRule="auto"/>
              <w:rPr>
                <w:sz w:val="24"/>
                <w:szCs w:val="24"/>
              </w:rPr>
            </w:pPr>
            <w:r>
              <w:t>I relied on a combination. My own observations drove the main problems - the unrelated categorical colors, the black background, the uneven year bins, and the unexplained white territories - because those came straight from looking at the map. Copilot helped me sharpen how to implement them: making the missing-data gray visually separate from the lightest bin, adding thin borders as color differences narrow, and thinking through continuous scale versus bins. Its biggest new contribution was the companion decade histogram, which I had not thought of and which I adopted as my third final recommendation. The final list therefore mixes my own observations with Copilot's implementation detail and one added idea.</w:t>
            </w:r>
          </w:p>
          <w:p w14:paraId="00000089">
            <w:pPr>
              <w:widowControl w:val="0"/>
              <w:spacing w:line="240" w:lineRule="auto"/>
              <w:rPr>
                <w:sz w:val="24"/>
                <w:szCs w:val="24"/>
              </w:rPr>
            </w:pPr>
          </w:p>
          <w:p w14:paraId="0000008A">
            <w:pPr>
              <w:widowControl w:val="0"/>
              <w:spacing w:line="240" w:lineRule="auto"/>
              <w:rPr>
                <w:sz w:val="24"/>
                <w:szCs w:val="24"/>
              </w:rPr>
            </w:pPr>
          </w:p>
          <w:p w14:paraId="0000008B">
            <w:pPr>
              <w:widowControl w:val="0"/>
              <w:spacing w:line="240" w:lineRule="auto"/>
              <w:rPr>
                <w:sz w:val="24"/>
                <w:szCs w:val="24"/>
              </w:rPr>
            </w:pPr>
          </w:p>
          <w:p w14:paraId="0000008C">
            <w:pPr>
              <w:widowControl w:val="0"/>
              <w:spacing w:line="240" w:lineRule="auto"/>
              <w:rPr>
                <w:sz w:val="24"/>
                <w:szCs w:val="24"/>
              </w:rPr>
            </w:pPr>
          </w:p>
          <w:p w14:paraId="0000008D">
            <w:pPr>
              <w:widowControl w:val="0"/>
              <w:spacing w:line="240" w:lineRule="auto"/>
              <w:rPr>
                <w:sz w:val="24"/>
                <w:szCs w:val="24"/>
              </w:rPr>
            </w:pPr>
          </w:p>
        </w:tc>
      </w:tr>
    </w:tbl>
    <w:p w14:paraId="0000008E">
      <w:pPr>
        <w:rPr>
          <w:sz w:val="24"/>
          <w:szCs w:val="24"/>
        </w:rPr>
      </w:pPr>
    </w:p>
    <w:p w14:paraId="0000008F">
      <w:pPr>
        <w:rPr>
          <w:sz w:val="24"/>
          <w:szCs w:val="24"/>
        </w:rPr>
      </w:pPr>
      <w:r>
        <w:rPr>
          <w:b/>
          <w:bCs/>
          <w:sz w:val="24"/>
          <w:szCs w:val="24"/>
          <w:rtl w:val="0"/>
        </w:rPr>
        <w:t xml:space="preserve">Thoughts on AI use: </w:t>
      </w:r>
      <w:r>
        <w:rPr>
          <w:sz w:val="24"/>
          <w:szCs w:val="24"/>
          <w:rtl w:val="0"/>
        </w:rPr>
        <w:t>How’d it go?  Did AI help?  Did it get in the way?  How confident are you in your final design decisions?</w:t>
      </w:r>
    </w:p>
    <w:p w14:paraId="00000090">
      <w:pPr>
        <w:rPr>
          <w:sz w:val="24"/>
          <w:szCs w:val="24"/>
        </w:rPr>
      </w:pPr>
    </w:p>
    <w:tbl>
      <w:tblPr>
        <w:tblStyle w:val="20"/>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455CBA6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91">
            <w:pPr>
              <w:widowControl w:val="0"/>
              <w:spacing w:line="240" w:lineRule="auto"/>
              <w:rPr>
                <w:sz w:val="24"/>
                <w:szCs w:val="24"/>
              </w:rPr>
            </w:pPr>
            <w:r>
              <w:t>Using Copilot helped. It caught implementation details I had not spelled out, like keeping the missing-data gray distinct from the lightest color bin and making sure neighboring sequential colors stay distinguishable, and it suggested the histogram/timeline view that the map alone does not show. It did not really get in the way; where it offered options I was unsure about, such as a fully continuous scale, I kept my own equal-bin framing instead of copying it. I feel fairly confident in the final decisions because each one ties back to something visible on the map or to the assigned readings, rather than being a generic suggestion.</w:t>
            </w:r>
          </w:p>
          <w:p w14:paraId="00000092">
            <w:pPr>
              <w:widowControl w:val="0"/>
              <w:spacing w:line="240" w:lineRule="auto"/>
              <w:rPr>
                <w:sz w:val="24"/>
                <w:szCs w:val="24"/>
              </w:rPr>
            </w:pPr>
          </w:p>
          <w:p w14:paraId="00000093">
            <w:pPr>
              <w:widowControl w:val="0"/>
              <w:spacing w:line="240" w:lineRule="auto"/>
              <w:rPr>
                <w:sz w:val="24"/>
                <w:szCs w:val="24"/>
              </w:rPr>
            </w:pPr>
          </w:p>
          <w:p w14:paraId="00000094">
            <w:pPr>
              <w:widowControl w:val="0"/>
              <w:spacing w:line="240" w:lineRule="auto"/>
              <w:rPr>
                <w:sz w:val="24"/>
                <w:szCs w:val="24"/>
              </w:rPr>
            </w:pPr>
          </w:p>
          <w:p w14:paraId="00000095">
            <w:pPr>
              <w:widowControl w:val="0"/>
              <w:spacing w:line="240" w:lineRule="auto"/>
              <w:rPr>
                <w:sz w:val="24"/>
                <w:szCs w:val="24"/>
              </w:rPr>
            </w:pPr>
          </w:p>
          <w:p w14:paraId="00000096">
            <w:pPr>
              <w:widowControl w:val="0"/>
              <w:spacing w:line="240" w:lineRule="auto"/>
              <w:rPr>
                <w:sz w:val="24"/>
                <w:szCs w:val="24"/>
              </w:rPr>
            </w:pPr>
          </w:p>
        </w:tc>
      </w:tr>
    </w:tbl>
    <w:p w14:paraId="00000097">
      <w:pPr>
        <w:rPr>
          <w:b/>
          <w:bCs/>
          <w:sz w:val="24"/>
          <w:szCs w:val="24"/>
        </w:rPr>
      </w:pPr>
    </w:p>
    <w:p w14:paraId="00000098">
      <w:pPr>
        <w:rPr>
          <w:sz w:val="24"/>
          <w:szCs w:val="24"/>
        </w:rPr>
      </w:pPr>
      <w:r>
        <w:rPr>
          <w:b/>
          <w:bCs/>
          <w:sz w:val="24"/>
          <w:szCs w:val="24"/>
          <w:rtl w:val="0"/>
        </w:rPr>
        <w:t>AI acknowledgements:</w:t>
      </w:r>
      <w:r>
        <w:rPr>
          <w:sz w:val="24"/>
          <w:szCs w:val="24"/>
          <w:rtl w:val="0"/>
        </w:rPr>
        <w:t xml:space="preserve"> If you used AI to help you complete this assignment beyond the stated use above, detail your use of AI for this assignment here.</w:t>
      </w:r>
    </w:p>
    <w:p w14:paraId="00000099">
      <w:pPr>
        <w:rPr>
          <w:sz w:val="24"/>
          <w:szCs w:val="24"/>
        </w:rPr>
      </w:pPr>
    </w:p>
    <w:tbl>
      <w:tblPr>
        <w:tblStyle w:val="21"/>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360"/>
      </w:tblGrid>
      <w:tr w14:paraId="7F8B34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Borders>
              <w:top w:val="single" w:color="FFFFFF" w:sz="48" w:space="0"/>
              <w:left w:val="single" w:color="FFFFFF" w:sz="48" w:space="0"/>
              <w:bottom w:val="single" w:color="FFFFFF" w:sz="48" w:space="0"/>
              <w:right w:val="single" w:color="FFFFFF" w:sz="48" w:space="0"/>
            </w:tcBorders>
            <w:shd w:val="clear" w:color="auto" w:fill="D9EAD3"/>
            <w:tcMar>
              <w:top w:w="100" w:type="dxa"/>
              <w:left w:w="100" w:type="dxa"/>
              <w:bottom w:w="100" w:type="dxa"/>
              <w:right w:w="100" w:type="dxa"/>
            </w:tcMar>
            <w:vAlign w:val="top"/>
          </w:tcPr>
          <w:p w14:paraId="0000009A">
            <w:pPr>
              <w:widowControl w:val="0"/>
              <w:spacing w:line="240" w:lineRule="auto"/>
              <w:rPr>
                <w:sz w:val="24"/>
                <w:szCs w:val="24"/>
              </w:rPr>
            </w:pPr>
            <w:r>
              <w:t>Beyond the required Microsoft Copilot critique, I used AI to summarize the main points of the assigned readings so I could understand them faster. Some sections of my writing were organized, translated, or polished with AI help, and when writing the supporting reasons I used AI to locate where the key points appeared in the reading materials. The observations and final recommendations are my own and were checked against the source readings.</w:t>
            </w:r>
          </w:p>
          <w:p w14:paraId="0000009B">
            <w:pPr>
              <w:widowControl w:val="0"/>
              <w:spacing w:line="240" w:lineRule="auto"/>
              <w:rPr>
                <w:sz w:val="24"/>
                <w:szCs w:val="24"/>
              </w:rPr>
            </w:pPr>
          </w:p>
          <w:p w14:paraId="0000009C">
            <w:pPr>
              <w:widowControl w:val="0"/>
              <w:spacing w:line="240" w:lineRule="auto"/>
              <w:rPr>
                <w:sz w:val="24"/>
                <w:szCs w:val="24"/>
              </w:rPr>
            </w:pPr>
          </w:p>
          <w:p w14:paraId="0000009D">
            <w:pPr>
              <w:widowControl w:val="0"/>
              <w:spacing w:line="240" w:lineRule="auto"/>
              <w:rPr>
                <w:sz w:val="24"/>
                <w:szCs w:val="24"/>
              </w:rPr>
            </w:pPr>
          </w:p>
          <w:p w14:paraId="0000009E">
            <w:pPr>
              <w:widowControl w:val="0"/>
              <w:spacing w:line="240" w:lineRule="auto"/>
              <w:rPr>
                <w:sz w:val="24"/>
                <w:szCs w:val="24"/>
              </w:rPr>
            </w:pPr>
          </w:p>
          <w:p w14:paraId="0000009F">
            <w:pPr>
              <w:widowControl w:val="0"/>
              <w:spacing w:line="240" w:lineRule="auto"/>
              <w:rPr>
                <w:sz w:val="24"/>
                <w:szCs w:val="24"/>
              </w:rPr>
            </w:pPr>
          </w:p>
        </w:tc>
      </w:tr>
    </w:tbl>
    <w:p w14:paraId="000000A0">
      <w:pPr>
        <w:rPr>
          <w:sz w:val="24"/>
          <w:szCs w:val="24"/>
        </w:rPr>
      </w:pPr>
    </w:p>
    <w:p w14:paraId="000000A1">
      <w:pPr>
        <w:rPr>
          <w:rFonts w:ascii="Roboto" w:hAnsi="Roboto" w:eastAsia="Roboto" w:cs="Roboto"/>
          <w:sz w:val="20"/>
          <w:szCs w:val="20"/>
        </w:rPr>
      </w:pPr>
      <w:r>
        <w:rPr>
          <w:rFonts w:ascii="Roboto" w:hAnsi="Roboto" w:eastAsia="Roboto" w:cs="Roboto"/>
          <w:sz w:val="20"/>
          <w:szCs w:val="20"/>
          <w:rtl w:val="0"/>
        </w:rPr>
        <w:t xml:space="preserve">References: </w:t>
      </w:r>
    </w:p>
    <w:p w14:paraId="000000A2">
      <w:pPr>
        <w:rPr>
          <w:rFonts w:ascii="Roboto" w:hAnsi="Roboto" w:eastAsia="Roboto" w:cs="Roboto"/>
          <w:sz w:val="20"/>
          <w:szCs w:val="20"/>
        </w:rPr>
      </w:pPr>
    </w:p>
    <w:p w14:paraId="000000A3">
      <w:pPr>
        <w:rPr>
          <w:rFonts w:ascii="Roboto" w:hAnsi="Roboto" w:eastAsia="Roboto" w:cs="Roboto"/>
          <w:sz w:val="20"/>
          <w:szCs w:val="20"/>
        </w:rPr>
      </w:pPr>
      <w:r>
        <w:rPr>
          <w:rFonts w:ascii="Roboto" w:hAnsi="Roboto" w:eastAsia="Roboto" w:cs="Roboto"/>
          <w:sz w:val="20"/>
          <w:szCs w:val="20"/>
          <w:rtl w:val="0"/>
        </w:rPr>
        <w:t>Berinato, S. (2016). Good charts: The HBR guide to making smarter, more persuasive data visualizations.</w:t>
      </w:r>
    </w:p>
    <w:p w14:paraId="000000A4">
      <w:pPr>
        <w:rPr>
          <w:rFonts w:ascii="Roboto" w:hAnsi="Roboto" w:eastAsia="Roboto" w:cs="Roboto"/>
          <w:sz w:val="20"/>
          <w:szCs w:val="20"/>
        </w:rPr>
      </w:pPr>
    </w:p>
    <w:p w14:paraId="000000A5">
      <w:pPr>
        <w:rPr>
          <w:rFonts w:ascii="Roboto" w:hAnsi="Roboto" w:eastAsia="Roboto" w:cs="Roboto"/>
          <w:sz w:val="20"/>
          <w:szCs w:val="20"/>
        </w:rPr>
      </w:pPr>
      <w:r>
        <w:rPr>
          <w:rFonts w:ascii="Roboto" w:hAnsi="Roboto" w:eastAsia="Roboto" w:cs="Roboto"/>
          <w:sz w:val="20"/>
          <w:szCs w:val="20"/>
          <w:rtl w:val="0"/>
        </w:rPr>
        <w:t xml:space="preserve">OpenAI. (2025, August 5). </w:t>
      </w:r>
      <w:r>
        <w:rPr>
          <w:rFonts w:ascii="Roboto" w:hAnsi="Roboto" w:eastAsia="Roboto" w:cs="Roboto"/>
          <w:i/>
          <w:iCs/>
          <w:sz w:val="20"/>
          <w:szCs w:val="20"/>
          <w:rtl w:val="0"/>
        </w:rPr>
        <w:t>AI-generated image of an upside-down fluffy kitten with outstretched paws</w:t>
      </w:r>
      <w:r>
        <w:rPr>
          <w:rFonts w:ascii="Roboto" w:hAnsi="Roboto" w:eastAsia="Roboto" w:cs="Roboto"/>
          <w:sz w:val="20"/>
          <w:szCs w:val="20"/>
          <w:rtl w:val="0"/>
        </w:rPr>
        <w:t xml:space="preserve"> [Image]. ChatGPT.</w:t>
      </w:r>
      <w:r>
        <w:fldChar w:fldCharType="begin"/>
      </w:r>
      <w:r>
        <w:instrText xml:space="preserve"> HYPERLINK "https://chat.openai.com/" \h </w:instrText>
      </w:r>
      <w:r>
        <w:fldChar w:fldCharType="separate"/>
      </w:r>
      <w:r>
        <w:rPr>
          <w:rFonts w:ascii="Roboto" w:hAnsi="Roboto" w:eastAsia="Roboto" w:cs="Roboto"/>
          <w:sz w:val="20"/>
          <w:szCs w:val="20"/>
          <w:rtl w:val="0"/>
        </w:rPr>
        <w:t xml:space="preserve"> </w:t>
      </w:r>
      <w:r>
        <w:rPr>
          <w:rFonts w:ascii="Roboto" w:hAnsi="Roboto" w:eastAsia="Roboto" w:cs="Roboto"/>
          <w:sz w:val="20"/>
          <w:szCs w:val="20"/>
          <w:rtl w:val="0"/>
        </w:rPr>
        <w:fldChar w:fldCharType="end"/>
      </w:r>
      <w:r>
        <w:fldChar w:fldCharType="begin"/>
      </w:r>
      <w:r>
        <w:instrText xml:space="preserve"> HYPERLINK "https://chat.openai.com/" \h </w:instrText>
      </w:r>
      <w:r>
        <w:fldChar w:fldCharType="separate"/>
      </w:r>
      <w:r>
        <w:rPr>
          <w:rFonts w:ascii="Roboto" w:hAnsi="Roboto" w:eastAsia="Roboto" w:cs="Roboto"/>
          <w:color w:val="1155CC"/>
          <w:sz w:val="20"/>
          <w:szCs w:val="20"/>
          <w:u w:val="single"/>
          <w:rtl w:val="0"/>
        </w:rPr>
        <w:t>https://chat.openai.com/</w:t>
      </w:r>
      <w:r>
        <w:rPr>
          <w:rFonts w:ascii="Roboto" w:hAnsi="Roboto" w:eastAsia="Roboto" w:cs="Roboto"/>
          <w:color w:val="1155CC"/>
          <w:sz w:val="20"/>
          <w:szCs w:val="20"/>
          <w:u w:val="single"/>
          <w:rtl w:val="0"/>
        </w:rPr>
        <w:fldChar w:fldCharType="end"/>
      </w:r>
    </w:p>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023769B0-3221-4ACF-A5E4-FDA6AB5606C7}"/>
  </w:font>
  <w:font w:name="Arial">
    <w:panose1 w:val="020B0604020202020204"/>
    <w:charset w:val="01"/>
    <w:family w:val="swiss"/>
    <w:pitch w:val="default"/>
    <w:sig w:usb0="E0002EFF" w:usb1="C000785B" w:usb2="00000009" w:usb3="00000000" w:csb0="400001FF" w:csb1="FFFF0000"/>
    <w:embedRegular r:id="rId2" w:fontKey="{6706189D-3E1F-4E94-BC07-6B03D89C2682}"/>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5641576E-6854-4E7F-9F89-248C8380635D}"/>
  </w:font>
  <w:font w:name="Symbol">
    <w:panose1 w:val="05050102010706020507"/>
    <w:charset w:val="02"/>
    <w:family w:val="roman"/>
    <w:pitch w:val="default"/>
    <w:sig w:usb0="00000000" w:usb1="00000000" w:usb2="00000000" w:usb3="00000000" w:csb0="80000000" w:csb1="00000000"/>
    <w:embedRegular r:id="rId4" w:fontKey="{C18E6F88-01D8-4797-BD15-B1ED76E31260}"/>
  </w:font>
  <w:font w:name="Calibri">
    <w:panose1 w:val="020F0502020204030204"/>
    <w:charset w:val="00"/>
    <w:family w:val="swiss"/>
    <w:pitch w:val="default"/>
    <w:sig w:usb0="E4002EFF" w:usb1="C200247B" w:usb2="00000009" w:usb3="00000000" w:csb0="200001FF" w:csb1="00000000"/>
    <w:embedRegular r:id="rId5" w:fontKey="{6EFCEF28-EBAD-4706-A53C-49D6DE5517C2}"/>
  </w:font>
  <w:font w:name="Roboto">
    <w:altName w:val="Segoe Print"/>
    <w:panose1 w:val="00000000000000000000"/>
    <w:charset w:val="00"/>
    <w:family w:val="auto"/>
    <w:pitch w:val="default"/>
    <w:sig w:usb0="00000000" w:usb1="00000000" w:usb2="00000000" w:usb3="00000000" w:csb0="00000000" w:csb1="00000000"/>
    <w:embedRegular r:id="rId6" w:fontKey="{79E798C4-03C5-4B11-81CD-1DAE55EF2D8F}"/>
  </w:font>
  <w:font w:name="Segoe Print">
    <w:panose1 w:val="02000600000000000000"/>
    <w:charset w:val="00"/>
    <w:family w:val="auto"/>
    <w:pitch w:val="default"/>
    <w:sig w:usb0="0000028F" w:usb1="00000000" w:usb2="00000000" w:usb3="00000000" w:csb0="2000009F" w:csb1="47010000"/>
    <w:embedRegular r:id="rId7" w:fontKey="{E35F66F1-E23F-4E54-9996-5ACFC60F106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0E6C65BB"/>
    <w:rsid w:val="38B642D4"/>
    <w:rsid w:val="495D1BEC"/>
    <w:rsid w:val="5FD94A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spacing w:line="240" w:lineRule="auto"/>
    </w:pPr>
    <w:rPr>
      <w:b/>
      <w:bCs/>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 w:type="paragraph" w:styleId="10">
    <w:name w:val="Title"/>
    <w:basedOn w:val="1"/>
    <w:next w:val="1"/>
    <w:qFormat/>
    <w:uiPriority w:val="0"/>
    <w:pPr>
      <w:keepNext/>
      <w:keepLines/>
      <w:pageBreakBefore w:val="0"/>
      <w:spacing w:before="0"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qFormat/>
    <w:uiPriority w:val="0"/>
  </w:style>
  <w:style w:type="table" w:customStyle="1" w:styleId="19">
    <w:name w:val="_Style 15"/>
    <w:basedOn w:val="13"/>
    <w:qFormat/>
    <w:uiPriority w:val="0"/>
  </w:style>
  <w:style w:type="table" w:customStyle="1" w:styleId="20">
    <w:name w:val="_Style 16"/>
    <w:basedOn w:val="13"/>
    <w:qFormat/>
    <w:uiPriority w:val="0"/>
  </w:style>
  <w:style w:type="table" w:customStyle="1" w:styleId="21">
    <w:name w:val="_Style 17"/>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11</Pages>
  <Words>341</Words>
  <Characters>1633</Characters>
  <TotalTime>1258</TotalTime>
  <ScaleCrop>false</ScaleCrop>
  <LinksUpToDate>false</LinksUpToDate>
  <CharactersWithSpaces>1964</CharactersWithSpaces>
  <Application>WPS Office_12.1.0.29161_F1E327BC-269C-435d-A152-05C5408002CA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2026-10-23T23:19:00Z</dcterms:created>
  <dc:creator>16918</dc:creator>
  <cp:lastModifiedBy>聪明豆</cp:lastModifiedBy>
  <dcterms:modified xsi:type="dcterms:W3CDTF">2026-10-26T18:37:20Z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eyJoZGlkIjoiZWExYmJlMWQ0MGZmYTNmMDVlMGIwZDlmYTEzYzdkNTEiLCJ1c2VySWQiOiI3MTA1NTI5NTMifQ==</vt:lpwstr>
  </property>
  <property fmtid="{D5CDD505-2E9C-101B-9397-08002B2CF9AE}" pid="3" name="KSOProductBuildVer">
    <vt:lpwstr>2052-12.1.0.29161</vt:lpwstr>
  </property>
  <property fmtid="{D5CDD505-2E9C-101B-9397-08002B2CF9AE}" pid="4" name="ICV">
    <vt:lpwstr>1B9E2504145E421A9D9F3EC77BEF61CD_12</vt:lpwstr>
  </property>
</Properties>
</file>