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专利许可合同</w:t>
      </w:r>
    </w:p>
    <w:p>
      <w:r>
        <w:t>（脱敏合成合同，仅用于 legal-skill-evaluation T-401 受控微案例，不含真实客户、案号或身份配置。）</w:t>
      </w:r>
    </w:p>
    <w:p>
      <w:r>
        <w:t>甲方：许可方</w:t>
      </w:r>
    </w:p>
    <w:p>
      <w:r>
        <w:t>乙方：受让方</w:t>
      </w:r>
    </w:p>
    <w:p>
      <w:r>
        <w:t>审查立场：受让方；审查目的：签约前把关；审查口径：常规。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因许可专利引发的第三方侵权，由受让方承担全部法律责任。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