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乙方：乙方（服务方）</w:t>
      </w:r>
    </w:p>
    <w:p>
      <w:r>
        <w:t>审查立场：甲方（委托方）；审查目的：签约前把关；审查口径：常规。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鉴于甲方拟采购乙方提供的数字化运营平台搭建服务，双方就服务内容、交付与费用达成一致，特订立本合同。</w:t>
      </w:r>
    </w:p>
    <w:p>
      <w:r>
        <w:t>第二条 服务内容以《附件一：服务清单与交付物说明》为准；具体功能模块、验收口径与性能指标详见该附件。乙方应按附件一约定的范围与标准完成交付。</w:t>
      </w:r>
    </w:p>
    <w:p>
      <w:r>
        <w:t>第三条 合同价款及支付节点以《附件二：费用与里程碑表》为准；各期款项金额、付款条件与对应交付里程碑见该附件。乙方完成对应里程碑并经甲方确认后，甲方按附件二约定支付。</w:t>
      </w:r>
    </w:p>
    <w:p>
      <w:r>
        <w:t>第四条 技术服务成果（含代码、文档、配置）的知识产权归属，按《附件三：知识产权与数据处理附录》的约定执行；涉及第三方组件与开源许可的，亦以该附件为准。</w:t>
      </w:r>
    </w:p>
    <w:p>
      <w:r>
        <w:t>第五条 乙方应保证交付成果符合附件一规定的验收标准；验收程序、缺陷修复期限与争议处理，以《附件四：验收与运维服务规范》为准。</w:t>
      </w:r>
    </w:p>
    <w:p>
      <w:r>
        <w:t>第六条 其他未尽事宜，由双方根据附件及另行签署的补充协议确定。本合同正文与附件如有冲突，以附件约定为准。</w:t>
      </w:r>
    </w:p>
    <w:p>
      <w:r>
        <w:t>（注：本合同正文通篇指向附件一、附件二、附件三、附件四，但本次审查未随附任何附件文本。）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