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服务合同</w:t>
      </w:r>
    </w:p>
    <w:p>
      <w:r>
        <w:t>（脱敏合成合同，仅用于 legal-skill-evaluation T-401 受控微案例，不含真实客户、案号或身份配置。）</w:t>
      </w:r>
    </w:p>
    <w:p>
      <w:r>
        <w:t>甲方：甲方（委托方）</w:t>
      </w:r>
    </w:p>
    <w:p>
      <w:r>
        <w:t>乙方：乙方（服务方）</w:t>
      </w:r>
    </w:p>
    <w:p>
      <w:r>
        <w:t>审查立场：甲方；审查目的：（未提供）；审查口径：常规。</w:t>
      </w:r>
    </w:p>
    <w:p>
      <w:pPr>
        <w:pStyle w:val="Heading1"/>
      </w:pPr>
      <w:r>
        <w:t>合同条款</w:t>
      </w:r>
    </w:p>
    <w:p>
      <w:r>
        <w:t>第一条 鉴于甲方委托乙方提供服务，双方就服务内容、期限、费用及责任达成一致，特订立本合同。</w:t>
      </w:r>
    </w:p>
    <w:p>
      <w:r>
        <w:t>第二条 服务内容：乙方应按附件一《服务说明书》向甲方交付约定的服务成果。</w:t>
      </w:r>
    </w:p>
    <w:p>
      <w:r>
        <w:t>第三条 服务费用与支付：甲方应于合同生效后按里程碑向乙方支付服务费用，具体金额与节点见附件二。</w:t>
      </w:r>
    </w:p>
    <w:p>
      <w:r>
        <w:t>第四条 保密与知识产权：双方在履约过程中获悉的对方商业秘密应予保密；服务成果知识产权归属由双方另行约定。</w:t>
      </w:r>
    </w:p>
    <w:p>
      <w:r>
        <w:t>第五条 违约责任：任何一方违反本合同约定的，应承担相应违约责任并赔偿对方损失。</w:t>
      </w:r>
    </w:p>
    <w:p>
      <w:r>
        <w:t>第六条 其他（脱敏合成占位）：未尽事宜由双方另行协商确定。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