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技术服务合同</w:t>
      </w:r>
    </w:p>
    <w:p>
      <w:r>
        <w:t>（脱敏合成合同，仅用于 legal-skill-evaluation T-401 受控微案例，不含真实客户、案号或身份配置。）</w:t>
      </w:r>
    </w:p>
    <w:p>
      <w:r>
        <w:t>甲方：甲方（委托方）</w:t>
      </w:r>
    </w:p>
    <w:p>
      <w:r>
        <w:t>乙方：乙方（服务方）</w:t>
      </w:r>
    </w:p>
    <w:p>
      <w:r>
        <w:t>审查立场：甲方；审查目的：签约前把关；审查口径：常规。</w:t>
      </w:r>
    </w:p>
    <w:p>
      <w:pPr>
        <w:pStyle w:val="Heading1"/>
      </w:pPr>
      <w:r>
        <w:t>合同条款</w:t>
      </w:r>
    </w:p>
    <w:p>
      <w:r>
        <w:t>第一条 鉴于双方就上述合同标的达成一致，特订立本合同，以资共同遵守。</w:t>
      </w:r>
    </w:p>
    <w:p>
      <w:r>
        <w:t>第二条 乙方为甲方提供本合同项下的全程技术服务，具体服务内容由双方另行沟通确定。</w:t>
      </w:r>
    </w:p>
    <w:p>
      <w:r>
        <w:t>第三条 其他条款（脱敏合成占位）：双方应本着诚实信用原则履行本合同，未尽事宜由双方另行协商确定。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