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" w:right="17"/>
        <w:jc w:val="center"/>
        <w:rPr>
          <w:rFonts w:hint="eastAsia" w:ascii="华文中宋" w:hAnsi="宋体" w:eastAsia="华文中宋"/>
          <w:b/>
          <w:bCs/>
          <w:spacing w:val="-2"/>
          <w:w w:val="99"/>
          <w:sz w:val="40"/>
        </w:rPr>
      </w:pPr>
      <w:r>
        <w:rPr>
          <w:rFonts w:hint="eastAsia" w:ascii="华文中宋" w:hAnsi="宋体" w:eastAsia="华文中宋"/>
          <w:b/>
          <w:bCs/>
          <w:spacing w:val="-2"/>
          <w:w w:val="99"/>
          <w:sz w:val="40"/>
        </w:rPr>
        <w:t>杭 州 仲 裁 委 员 会</w:t>
      </w:r>
    </w:p>
    <w:p>
      <w:pPr>
        <w:spacing w:line="360" w:lineRule="auto"/>
        <w:ind w:left="1" w:right="418"/>
        <w:jc w:val="center"/>
        <w:rPr>
          <w:rFonts w:hint="eastAsia" w:ascii="华文中宋" w:hAnsi="华文中宋" w:eastAsia="华文中宋"/>
          <w:sz w:val="32"/>
          <w:szCs w:val="32"/>
        </w:rPr>
      </w:pPr>
      <w:r>
        <w:rPr>
          <w:rFonts w:hint="eastAsia" w:ascii="华文中宋" w:hAnsi="华文中宋" w:eastAsia="华文中宋"/>
          <w:b/>
          <w:sz w:val="40"/>
          <w:szCs w:val="40"/>
        </w:rPr>
        <w:t xml:space="preserve">            受 理 通 知 </w:t>
      </w:r>
      <w:r>
        <w:rPr>
          <w:rFonts w:hint="eastAsia" w:ascii="华文中宋" w:hAnsi="华文中宋" w:eastAsia="华文中宋" w:cs="宋体"/>
          <w:b/>
          <w:sz w:val="40"/>
          <w:szCs w:val="40"/>
        </w:rPr>
        <w:t>书</w:t>
      </w:r>
      <w:r>
        <w:rPr>
          <w:rFonts w:hint="eastAsia" w:ascii="宋体" w:hAnsi="宋体" w:cs="宋体"/>
          <w:b/>
          <w:sz w:val="40"/>
          <w:szCs w:val="40"/>
        </w:rPr>
        <w:t xml:space="preserve">  </w:t>
      </w:r>
      <w:r>
        <w:rPr>
          <w:rFonts w:hint="eastAsia" w:ascii="华文中宋" w:hAnsi="华文中宋" w:eastAsia="华文中宋"/>
          <w:sz w:val="32"/>
          <w:szCs w:val="32"/>
        </w:rPr>
        <w:t>（简易程序）</w:t>
      </w:r>
    </w:p>
    <w:p>
      <w:pPr>
        <w:spacing w:line="360" w:lineRule="auto"/>
        <w:ind w:left="1" w:right="418"/>
        <w:jc w:val="center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27"/>
          <w:szCs w:val="27"/>
        </w:rPr>
        <w:t>（杭州金融仲裁院专用）</w:t>
      </w:r>
    </w:p>
    <w:p>
      <w:pPr>
        <w:tabs>
          <w:tab w:val="left" w:pos="8505"/>
        </w:tabs>
        <w:spacing w:line="500" w:lineRule="exact"/>
        <w:ind w:right="17"/>
        <w:jc w:val="right"/>
        <w:rPr>
          <w:rFonts w:hint="eastAsia" w:ascii="仿宋_GB2312" w:hAnsi="仿宋" w:eastAsia="仿宋_GB2312"/>
          <w:sz w:val="28"/>
          <w:szCs w:val="30"/>
          <w:lang w:val="en-US" w:eastAsia="zh-CN"/>
        </w:rPr>
      </w:pPr>
      <w:r>
        <w:rPr>
          <w:rFonts w:hint="eastAsia" w:ascii="仿宋_GB2312" w:hAnsi="仿宋" w:eastAsia="仿宋_GB2312"/>
          <w:sz w:val="28"/>
          <w:szCs w:val="30"/>
          <w:lang w:val="en-US" w:eastAsia="zh-CN"/>
        </w:rPr>
        <w:t>${caseNo}</w:t>
      </w:r>
    </w:p>
    <w:p>
      <w:pPr>
        <w:tabs>
          <w:tab w:val="left" w:pos="8505"/>
        </w:tabs>
        <w:spacing w:line="500" w:lineRule="exact"/>
        <w:ind w:left="2" w:right="17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  <w:lang w:val="en-US" w:eastAsia="zh-CN"/>
        </w:rPr>
        <w:t>${applican</w:t>
      </w:r>
      <w:bookmarkStart w:id="0" w:name="_GoBack"/>
      <w:bookmarkEnd w:id="0"/>
      <w:r>
        <w:rPr>
          <w:rFonts w:hint="eastAsia" w:ascii="仿宋_GB2312" w:hAnsi="仿宋" w:eastAsia="仿宋_GB2312"/>
          <w:sz w:val="28"/>
          <w:szCs w:val="30"/>
          <w:lang w:val="en-US" w:eastAsia="zh-CN"/>
        </w:rPr>
        <w:t>tName}</w:t>
      </w:r>
      <w:r>
        <w:rPr>
          <w:rFonts w:hint="eastAsia" w:ascii="仿宋_GB2312" w:hAnsi="仿宋" w:eastAsia="仿宋_GB2312"/>
          <w:sz w:val="28"/>
          <w:szCs w:val="30"/>
        </w:rPr>
        <w:t>:</w:t>
      </w:r>
    </w:p>
    <w:p>
      <w:pPr>
        <w:snapToGrid w:val="0"/>
        <w:spacing w:line="500" w:lineRule="exact"/>
        <w:ind w:left="2" w:right="17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</w:rPr>
        <w:t xml:space="preserve">    你方与</w:t>
      </w:r>
      <w:r>
        <w:rPr>
          <w:rFonts w:hint="eastAsia" w:ascii="仿宋_GB2312" w:hAnsi="仿宋" w:eastAsia="仿宋_GB2312"/>
          <w:sz w:val="28"/>
          <w:szCs w:val="30"/>
          <w:u w:val="single"/>
          <w:lang w:val="en-US" w:eastAsia="zh-CN"/>
        </w:rPr>
        <w:t>${respondentName}</w:t>
      </w:r>
      <w:r>
        <w:rPr>
          <w:rFonts w:hint="eastAsia" w:ascii="仿宋_GB2312" w:hAnsi="仿宋" w:eastAsia="仿宋_GB2312"/>
          <w:sz w:val="28"/>
          <w:szCs w:val="30"/>
        </w:rPr>
        <w:t>之间的</w:t>
      </w:r>
      <w:r>
        <w:rPr>
          <w:rFonts w:hint="eastAsia" w:ascii="仿宋_GB2312" w:hAnsi="仿宋" w:eastAsia="仿宋_GB2312"/>
          <w:sz w:val="28"/>
          <w:szCs w:val="30"/>
          <w:u w:val="single"/>
          <w:lang w:val="en-US" w:eastAsia="zh-CN"/>
        </w:rPr>
        <w:t>${disputeType}</w:t>
      </w:r>
      <w:r>
        <w:rPr>
          <w:rFonts w:hint="eastAsia" w:ascii="仿宋_GB2312" w:hAnsi="仿宋" w:eastAsia="仿宋_GB2312"/>
          <w:sz w:val="28"/>
          <w:szCs w:val="30"/>
        </w:rPr>
        <w:t>纠纷一案的仲裁申请书已经收悉。经审查，符合《杭州仲裁委员会仲裁规则》和《杭州仲裁委员会金融仲裁规则》的规定，本仲裁委员会予以受理。现将有关事项通知如下：</w:t>
      </w:r>
    </w:p>
    <w:p>
      <w:pPr>
        <w:snapToGrid w:val="0"/>
        <w:spacing w:line="500" w:lineRule="exact"/>
        <w:ind w:left="2" w:right="17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</w:rPr>
        <w:t xml:space="preserve">    一、请在本通知的送达回证上签收并返回杭州仲裁委员会。</w:t>
      </w:r>
    </w:p>
    <w:p>
      <w:pPr>
        <w:snapToGrid w:val="0"/>
        <w:spacing w:line="500" w:lineRule="exact"/>
        <w:ind w:leftChars="-1" w:right="17" w:hanging="2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</w:rPr>
        <w:t xml:space="preserve">    二、法人或者其他组织参加仲裁的，应当提交法人或者其他组织资格证明及法定代表人（或主要负责人）证明书。自然人参加仲裁的，应当提交身份证明。如委托代理人，请填写授权委托书，授权委托书须记明委托事项的权限，于接到本通知后十日</w:t>
      </w:r>
      <w:r>
        <w:rPr>
          <w:rFonts w:hint="eastAsia" w:ascii="仿宋_GB2312" w:hAnsi="仿宋" w:eastAsia="仿宋_GB2312"/>
          <w:bCs/>
          <w:sz w:val="28"/>
        </w:rPr>
        <w:t>(国际及涉外、涉港、涉澳、涉台的为三十日)</w:t>
      </w:r>
      <w:r>
        <w:rPr>
          <w:rFonts w:hint="eastAsia" w:ascii="仿宋_GB2312" w:hAnsi="仿宋" w:eastAsia="仿宋_GB2312"/>
          <w:sz w:val="28"/>
          <w:szCs w:val="30"/>
        </w:rPr>
        <w:t>内提交杭州仲裁委员会。</w:t>
      </w:r>
    </w:p>
    <w:p>
      <w:pPr>
        <w:snapToGrid w:val="0"/>
        <w:spacing w:line="500" w:lineRule="exact"/>
        <w:ind w:right="17" w:firstLine="560" w:firstLineChars="200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</w:rPr>
        <w:t>三、请在接到本通知之日起十日</w:t>
      </w:r>
      <w:r>
        <w:rPr>
          <w:rFonts w:hint="eastAsia" w:ascii="仿宋_GB2312" w:hAnsi="仿宋" w:eastAsia="仿宋_GB2312"/>
          <w:bCs/>
          <w:sz w:val="28"/>
          <w:szCs w:val="30"/>
        </w:rPr>
        <w:t>(国际及涉外、涉港、涉澳、涉台的为二十日)</w:t>
      </w:r>
      <w:r>
        <w:rPr>
          <w:rFonts w:hint="eastAsia" w:ascii="仿宋_GB2312" w:hAnsi="仿宋" w:eastAsia="仿宋_GB2312"/>
          <w:sz w:val="28"/>
          <w:szCs w:val="30"/>
        </w:rPr>
        <w:t>内，将《仲裁员选定书》提交杭州仲裁委员会。没有选定或委托指定仲裁员的，及未在上述期限内提交选定书的，由本仲裁委员会主任指定。</w:t>
      </w:r>
    </w:p>
    <w:p>
      <w:pPr>
        <w:snapToGrid w:val="0"/>
        <w:spacing w:line="500" w:lineRule="exact"/>
        <w:ind w:right="17" w:firstLine="576" w:firstLineChars="206"/>
        <w:rPr>
          <w:rFonts w:hint="eastAsia" w:ascii="仿宋_GB2312" w:hAnsi="仿宋" w:eastAsia="仿宋_GB2312"/>
          <w:sz w:val="28"/>
          <w:szCs w:val="30"/>
        </w:rPr>
      </w:pPr>
      <w:r>
        <w:rPr>
          <w:rFonts w:hint="eastAsia" w:ascii="仿宋_GB2312" w:hAnsi="仿宋" w:eastAsia="仿宋_GB2312"/>
          <w:sz w:val="28"/>
          <w:szCs w:val="30"/>
        </w:rPr>
        <w:t>四、请在接到本通知之日起七日内向本仲裁委员会预交案件受理费</w:t>
      </w:r>
      <w:r>
        <w:rPr>
          <w:rFonts w:hint="eastAsia" w:ascii="仿宋_GB2312" w:hAnsi="仿宋" w:eastAsia="仿宋_GB2312"/>
          <w:sz w:val="28"/>
          <w:szCs w:val="30"/>
          <w:lang w:val="en-US" w:eastAsia="zh-CN"/>
        </w:rPr>
        <w:t>${acceptAmount}</w:t>
      </w:r>
      <w:r>
        <w:rPr>
          <w:rFonts w:hint="eastAsia" w:ascii="仿宋_GB2312" w:hAnsi="仿宋" w:eastAsia="仿宋_GB2312"/>
          <w:sz w:val="28"/>
          <w:szCs w:val="30"/>
        </w:rPr>
        <w:t>元、案件处理费</w:t>
      </w:r>
      <w:r>
        <w:rPr>
          <w:rFonts w:hint="eastAsia" w:ascii="仿宋_GB2312" w:hAnsi="仿宋" w:eastAsia="仿宋_GB2312"/>
          <w:sz w:val="28"/>
          <w:szCs w:val="30"/>
          <w:lang w:val="en-US" w:eastAsia="zh-CN"/>
        </w:rPr>
        <w:t>${disposeAmount}</w:t>
      </w:r>
      <w:r>
        <w:rPr>
          <w:rFonts w:hint="eastAsia" w:ascii="仿宋_GB2312" w:hAnsi="仿宋" w:eastAsia="仿宋_GB2312"/>
          <w:sz w:val="28"/>
          <w:szCs w:val="30"/>
        </w:rPr>
        <w:t>元。逾期不交，又不提出缓交或者减免申请的，视为撤回仲裁申请。</w:t>
      </w:r>
    </w:p>
    <w:p>
      <w:pPr>
        <w:snapToGrid w:val="0"/>
        <w:spacing w:line="500" w:lineRule="exact"/>
        <w:ind w:right="17" w:firstLine="562" w:firstLineChars="200"/>
        <w:rPr>
          <w:rFonts w:hint="eastAsia"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户    名：杭州仲裁委员会办公室</w:t>
      </w:r>
    </w:p>
    <w:p>
      <w:pPr>
        <w:snapToGrid w:val="0"/>
        <w:spacing w:line="500" w:lineRule="exact"/>
        <w:ind w:right="17" w:firstLine="562" w:firstLineChars="200"/>
        <w:rPr>
          <w:rFonts w:hint="eastAsia"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开户银行：交通银行杭州市城北支行</w:t>
      </w:r>
    </w:p>
    <w:p>
      <w:pPr>
        <w:snapToGrid w:val="0"/>
        <w:spacing w:line="500" w:lineRule="exact"/>
        <w:ind w:right="386" w:firstLine="562" w:firstLineChars="200"/>
        <w:rPr>
          <w:rFonts w:hint="eastAsia"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帐    号：331066100010141031489</w:t>
      </w:r>
    </w:p>
    <w:p>
      <w:pPr>
        <w:snapToGrid w:val="0"/>
        <w:spacing w:line="500" w:lineRule="exact"/>
        <w:ind w:right="386"/>
        <w:rPr>
          <w:rFonts w:hint="eastAsia" w:ascii="仿宋_GB2312" w:hAnsi="仿宋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" w:eastAsia="仿宋_GB2312"/>
          <w:sz w:val="24"/>
          <w:szCs w:val="24"/>
        </w:rPr>
        <w:t xml:space="preserve">（注：此通知书入正卷）  </w:t>
      </w:r>
      <w:r>
        <w:rPr>
          <w:rFonts w:hint="eastAsia" w:ascii="仿宋_GB2312" w:hAnsi="仿宋" w:eastAsia="仿宋_GB2312"/>
          <w:sz w:val="28"/>
          <w:szCs w:val="28"/>
        </w:rPr>
        <w:t xml:space="preserve">      </w:t>
      </w:r>
      <w:r>
        <w:rPr>
          <w:rFonts w:hint="eastAsia" w:ascii="仿宋_GB2312" w:hAnsi="仿宋" w:eastAsia="仿宋_GB2312"/>
          <w:sz w:val="30"/>
          <w:szCs w:val="30"/>
        </w:rPr>
        <w:t xml:space="preserve">         </w:t>
      </w:r>
      <w:r>
        <w:rPr>
          <w:rFonts w:hint="eastAsia" w:ascii="仿宋_GB2312" w:hAnsi="仿宋" w:eastAsia="仿宋_GB2312"/>
          <w:sz w:val="30"/>
          <w:szCs w:val="30"/>
          <w:lang w:val="en-US" w:eastAsia="zh-CN"/>
        </w:rPr>
        <w:t>${date}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443"/>
      <w:pgMar w:top="1531" w:right="1797" w:bottom="102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1B50"/>
    <w:rsid w:val="57B60E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tyrion</dc:creator>
  <cp:lastModifiedBy>Tyrion</cp:lastModifiedBy>
  <dcterms:modified xsi:type="dcterms:W3CDTF">2018-06-12T10:47:16Z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