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Gamma Commissioning report for AutoEPID V5</w:t>
      </w:r>
    </w:p>
    <w:p>
      <w:pPr>
        <w:pStyle w:val="Heading1"/>
      </w:pPr>
      <w:r>
        <w:t xml:space="preserve">Introduction </w:t>
      </w:r>
    </w:p>
    <w:p>
      <w:r>
        <w:t xml:space="preserve">Recently issues </w:t>
      </w:r>
      <w:r>
        <w:rPr>
          <w:noProof/>
        </w:rPr>
        <w:t>associated</w:t>
      </w:r>
      <w:r>
        <w:t xml:space="preserve"> with the Gamma report in AutoEPID V3 were identified, debugged and fixed. The Gamma function used in AutoEPID was benchmarked against </w:t>
      </w:r>
      <w:r>
        <w:rPr>
          <w:noProof/>
        </w:rPr>
        <w:t>the ones used in TomoExit and OminIMRTPro. The</w:t>
      </w:r>
      <w:r>
        <w:t xml:space="preserve"> purpose of the </w:t>
      </w:r>
      <w:r>
        <w:rPr>
          <w:noProof/>
        </w:rPr>
        <w:t>report</w:t>
      </w:r>
      <w:r>
        <w:t xml:space="preserve"> is to summarize the procedure and benchmark results. </w:t>
      </w:r>
    </w:p>
    <w:p>
      <w:pPr>
        <w:pStyle w:val="Heading1"/>
      </w:pPr>
      <w:r>
        <w:t>Materials and methods</w:t>
      </w:r>
    </w:p>
    <w:p>
      <w:pPr>
        <w:pStyle w:val="Heading2"/>
      </w:pPr>
      <w:r>
        <w:t>Comparison without registration.</w:t>
      </w:r>
    </w:p>
    <w:p>
      <w:r>
        <w:t xml:space="preserve">If the user </w:t>
      </w:r>
      <w:r>
        <w:rPr>
          <w:noProof/>
        </w:rPr>
        <w:t>chooses</w:t>
      </w:r>
      <w:r>
        <w:t xml:space="preserve"> the option of no-registration in </w:t>
      </w:r>
      <w:r>
        <w:rPr>
          <w:noProof/>
        </w:rPr>
        <w:t>AutoEPID</w:t>
      </w:r>
      <w:r>
        <w:t xml:space="preserve">, there </w:t>
      </w:r>
      <w:r>
        <w:rPr>
          <w:noProof/>
        </w:rPr>
        <w:t>is</w:t>
      </w:r>
      <w:r>
        <w:t xml:space="preserve"> a </w:t>
      </w:r>
      <w:r>
        <w:rPr>
          <w:noProof/>
        </w:rPr>
        <w:t>different</w:t>
      </w:r>
      <w:r>
        <w:t xml:space="preserve"> meaning for VMAT and IMRT.  For IMRT beams, it means that there is no translation between TPS dose image and EPID dose images, but the rotation is applied to the </w:t>
      </w:r>
      <w:r>
        <w:rPr>
          <w:noProof/>
        </w:rPr>
        <w:t>EPID</w:t>
      </w:r>
      <w:r>
        <w:t xml:space="preserve"> image if the collimator is zero. For VMAT beams, no rotation and translation between EPID image and TPS dose image if no-registration is selected. </w:t>
      </w:r>
    </w:p>
    <w:p>
      <w:r>
        <w:t xml:space="preserve">To remove the effect of registration on Gamma map and reporting,  all the </w:t>
      </w:r>
      <w:r>
        <w:rPr>
          <w:noProof/>
        </w:rPr>
        <w:t>comparison</w:t>
      </w:r>
      <w:r>
        <w:t xml:space="preserve"> between different gamma functions used in different software were performed without registration. </w:t>
      </w:r>
    </w:p>
    <w:p>
      <w:pPr>
        <w:pStyle w:val="Heading2"/>
      </w:pPr>
      <w:r>
        <w:t>Generation of Gamma report using AutoEPID without registration</w:t>
      </w:r>
    </w:p>
    <w:p>
      <w:r>
        <w:t xml:space="preserve">As shown in figure </w:t>
      </w:r>
      <w:r>
        <w:fldChar w:fldCharType="begin"/>
      </w:r>
      <w:r>
        <w:instrText xml:space="preserve"> REF _Ref532203305 \h </w:instrText>
      </w:r>
      <w:r>
        <w:fldChar w:fldCharType="separate"/>
      </w:r>
      <w:r>
        <w:rPr>
          <w:color w:val="000000" w:themeColor="text1"/>
          <w:szCs w:val="24"/>
        </w:rPr>
        <w:t xml:space="preserve">Figure </w:t>
      </w:r>
      <w:r>
        <w:rPr>
          <w:b/>
          <w:noProof/>
          <w:color w:val="000000" w:themeColor="text1"/>
          <w:szCs w:val="24"/>
        </w:rPr>
        <w:t>1</w:t>
      </w:r>
      <w:r>
        <w:fldChar w:fldCharType="end"/>
      </w:r>
      <w:r>
        <w:t xml:space="preserve">,  to generate gamma map without registration, </w:t>
      </w:r>
      <w:r>
        <w:rPr>
          <w:noProof/>
        </w:rPr>
        <w:t>simply</w:t>
      </w:r>
      <w:r>
        <w:t xml:space="preserve"> just choose the option ‘ no registration’ for VMAT beam and make sure the collimator is zero for IMRT beam. </w:t>
      </w:r>
    </w:p>
    <w:p>
      <w:pPr>
        <w:pStyle w:val="Heading2"/>
      </w:pPr>
      <w:r>
        <w:rPr>
          <w:noProof/>
        </w:rPr>
        <w:t>Comparison</w:t>
      </w:r>
      <w:r>
        <w:t xml:space="preserve"> between Gamma used in AutoEPID and TomoExit</w:t>
      </w:r>
    </w:p>
    <w:p>
      <w:r>
        <w:t xml:space="preserve">For the comparison purpose, the gamma function used in TomoExit was also integrated </w:t>
      </w:r>
      <w:r>
        <w:rPr>
          <w:noProof/>
        </w:rPr>
        <w:t>into</w:t>
      </w:r>
      <w:r>
        <w:t xml:space="preserve"> AutoEPID. The gamma </w:t>
      </w:r>
      <w:r>
        <w:rPr>
          <w:noProof/>
        </w:rPr>
        <w:t>function</w:t>
      </w:r>
      <w:r>
        <w:t xml:space="preserve"> used in TomoExit and AutoEPID was implemented </w:t>
      </w:r>
      <w:r>
        <w:rPr>
          <w:noProof/>
        </w:rPr>
        <w:t>independently by</w:t>
      </w:r>
      <w:r>
        <w:t xml:space="preserve"> different persons.</w:t>
      </w:r>
    </w:p>
    <w:p/>
    <w:p>
      <w:pPr>
        <w:keepNext/>
      </w:pPr>
      <w:r>
        <w:rPr>
          <w:noProof/>
        </w:rPr>
        <w:lastRenderedPageBreak/>
        <w:drawing>
          <wp:inline distT="0" distB="0" distL="0" distR="0">
            <wp:extent cx="5731510" cy="343645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436457"/>
                    </a:xfrm>
                    <a:prstGeom prst="rect">
                      <a:avLst/>
                    </a:prstGeom>
                  </pic:spPr>
                </pic:pic>
              </a:graphicData>
            </a:graphic>
          </wp:inline>
        </w:drawing>
      </w:r>
    </w:p>
    <w:p>
      <w:pPr>
        <w:pStyle w:val="Caption"/>
        <w:rPr>
          <w:b w:val="0"/>
          <w:color w:val="000000" w:themeColor="text1"/>
          <w:sz w:val="24"/>
          <w:szCs w:val="24"/>
        </w:rPr>
      </w:pPr>
      <w:bookmarkStart w:id="0" w:name="_Ref532203305"/>
      <w:bookmarkStart w:id="1" w:name="_Ref532203297"/>
      <w:r>
        <w:rPr>
          <w:b w:val="0"/>
          <w:color w:val="000000" w:themeColor="text1"/>
          <w:sz w:val="24"/>
          <w:szCs w:val="24"/>
        </w:rPr>
        <w:t xml:space="preserve">Figure </w:t>
      </w:r>
      <w:r>
        <w:rPr>
          <w:b w:val="0"/>
          <w:color w:val="000000" w:themeColor="text1"/>
          <w:sz w:val="24"/>
          <w:szCs w:val="24"/>
        </w:rPr>
        <w:fldChar w:fldCharType="begin"/>
      </w:r>
      <w:r>
        <w:rPr>
          <w:b w:val="0"/>
          <w:color w:val="000000" w:themeColor="text1"/>
          <w:sz w:val="24"/>
          <w:szCs w:val="24"/>
        </w:rPr>
        <w:instrText xml:space="preserve"> SEQ Figure \* ARABIC </w:instrText>
      </w:r>
      <w:r>
        <w:rPr>
          <w:b w:val="0"/>
          <w:color w:val="000000" w:themeColor="text1"/>
          <w:sz w:val="24"/>
          <w:szCs w:val="24"/>
        </w:rPr>
        <w:fldChar w:fldCharType="separate"/>
      </w:r>
      <w:r>
        <w:rPr>
          <w:b w:val="0"/>
          <w:noProof/>
          <w:color w:val="000000" w:themeColor="text1"/>
          <w:sz w:val="24"/>
          <w:szCs w:val="24"/>
        </w:rPr>
        <w:t>1</w:t>
      </w:r>
      <w:r>
        <w:rPr>
          <w:b w:val="0"/>
          <w:color w:val="000000" w:themeColor="text1"/>
          <w:sz w:val="24"/>
          <w:szCs w:val="24"/>
        </w:rPr>
        <w:fldChar w:fldCharType="end"/>
      </w:r>
      <w:bookmarkEnd w:id="0"/>
      <w:r>
        <w:rPr>
          <w:b w:val="0"/>
          <w:color w:val="000000" w:themeColor="text1"/>
          <w:sz w:val="24"/>
          <w:szCs w:val="24"/>
        </w:rPr>
        <w:t xml:space="preserve"> Use no-registration to generate Gamma report for </w:t>
      </w:r>
      <w:r>
        <w:rPr>
          <w:b w:val="0"/>
          <w:noProof/>
          <w:color w:val="000000" w:themeColor="text1"/>
          <w:sz w:val="24"/>
          <w:szCs w:val="24"/>
        </w:rPr>
        <w:t>comparison</w:t>
      </w:r>
      <w:r>
        <w:rPr>
          <w:b w:val="0"/>
          <w:color w:val="000000" w:themeColor="text1"/>
          <w:sz w:val="24"/>
          <w:szCs w:val="24"/>
        </w:rPr>
        <w:t>.</w:t>
      </w:r>
      <w:bookmarkEnd w:id="1"/>
    </w:p>
    <w:p>
      <w:pPr>
        <w:pStyle w:val="Heading2"/>
      </w:pPr>
    </w:p>
    <w:p>
      <w:pPr>
        <w:pStyle w:val="Heading2"/>
      </w:pPr>
      <w:r>
        <w:t>Generation of the gamma report in OminiIMRTPro without registration.</w:t>
      </w:r>
    </w:p>
    <w:p/>
    <w:p>
      <w:r>
        <w:t xml:space="preserve">Load TPS and EPID as described in the </w:t>
      </w:r>
      <w:r>
        <w:rPr>
          <w:noProof/>
        </w:rPr>
        <w:t>AutoEPID</w:t>
      </w:r>
      <w:r>
        <w:t xml:space="preserve"> user guide or OminIMRTPro, </w:t>
      </w:r>
      <w:r>
        <w:rPr>
          <w:noProof/>
        </w:rPr>
        <w:t>then directly</w:t>
      </w:r>
      <w:r>
        <w:t xml:space="preserve"> calculate, as shown in </w:t>
      </w:r>
      <w:r>
        <w:fldChar w:fldCharType="begin"/>
      </w:r>
      <w:r>
        <w:instrText xml:space="preserve"> REF _Ref532204960 \h </w:instrText>
      </w:r>
      <w:r>
        <w:fldChar w:fldCharType="separate"/>
      </w:r>
      <w:r>
        <w:rPr>
          <w:color w:val="000000" w:themeColor="text1"/>
          <w:szCs w:val="24"/>
        </w:rPr>
        <w:t xml:space="preserve">Figure </w:t>
      </w:r>
      <w:r>
        <w:rPr>
          <w:b/>
          <w:noProof/>
          <w:color w:val="000000" w:themeColor="text1"/>
          <w:szCs w:val="24"/>
        </w:rPr>
        <w:t>2</w:t>
      </w:r>
      <w:r>
        <w:fldChar w:fldCharType="end"/>
      </w:r>
      <w:r>
        <w:t>.</w:t>
      </w:r>
    </w:p>
    <w:p/>
    <w:p/>
    <w:p>
      <w:pPr>
        <w:pStyle w:val="Heading2"/>
      </w:pPr>
    </w:p>
    <w:p>
      <w:pPr>
        <w:keepNext/>
      </w:pPr>
      <w:r>
        <w:rPr>
          <w:noProof/>
        </w:rPr>
        <w:drawing>
          <wp:inline distT="0" distB="0" distL="0" distR="0">
            <wp:extent cx="5735353" cy="3299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97249"/>
                    </a:xfrm>
                    <a:prstGeom prst="rect">
                      <a:avLst/>
                    </a:prstGeom>
                  </pic:spPr>
                </pic:pic>
              </a:graphicData>
            </a:graphic>
          </wp:inline>
        </w:drawing>
      </w:r>
    </w:p>
    <w:p>
      <w:pPr>
        <w:pStyle w:val="Caption"/>
        <w:rPr>
          <w:b w:val="0"/>
          <w:color w:val="000000" w:themeColor="text1"/>
          <w:sz w:val="24"/>
          <w:szCs w:val="24"/>
        </w:rPr>
      </w:pPr>
      <w:bookmarkStart w:id="2" w:name="_Ref532204960"/>
      <w:r>
        <w:rPr>
          <w:b w:val="0"/>
          <w:color w:val="000000" w:themeColor="text1"/>
          <w:sz w:val="24"/>
          <w:szCs w:val="24"/>
        </w:rPr>
        <w:t xml:space="preserve">Figure </w:t>
      </w:r>
      <w:r>
        <w:rPr>
          <w:b w:val="0"/>
          <w:color w:val="000000" w:themeColor="text1"/>
          <w:sz w:val="24"/>
          <w:szCs w:val="24"/>
        </w:rPr>
        <w:fldChar w:fldCharType="begin"/>
      </w:r>
      <w:r>
        <w:rPr>
          <w:b w:val="0"/>
          <w:color w:val="000000" w:themeColor="text1"/>
          <w:sz w:val="24"/>
          <w:szCs w:val="24"/>
        </w:rPr>
        <w:instrText xml:space="preserve"> SEQ Figure \* ARABIC </w:instrText>
      </w:r>
      <w:r>
        <w:rPr>
          <w:b w:val="0"/>
          <w:color w:val="000000" w:themeColor="text1"/>
          <w:sz w:val="24"/>
          <w:szCs w:val="24"/>
        </w:rPr>
        <w:fldChar w:fldCharType="separate"/>
      </w:r>
      <w:r>
        <w:rPr>
          <w:b w:val="0"/>
          <w:noProof/>
          <w:color w:val="000000" w:themeColor="text1"/>
          <w:sz w:val="24"/>
          <w:szCs w:val="24"/>
        </w:rPr>
        <w:t>2</w:t>
      </w:r>
      <w:r>
        <w:rPr>
          <w:b w:val="0"/>
          <w:color w:val="000000" w:themeColor="text1"/>
          <w:sz w:val="24"/>
          <w:szCs w:val="24"/>
        </w:rPr>
        <w:fldChar w:fldCharType="end"/>
      </w:r>
      <w:bookmarkEnd w:id="2"/>
      <w:r>
        <w:rPr>
          <w:b w:val="0"/>
          <w:color w:val="000000" w:themeColor="text1"/>
          <w:sz w:val="24"/>
          <w:szCs w:val="24"/>
        </w:rPr>
        <w:t xml:space="preserve"> Load TPS and EPID dose image and then calculate </w:t>
      </w:r>
      <w:r>
        <w:rPr>
          <w:b w:val="0"/>
          <w:noProof/>
          <w:color w:val="000000" w:themeColor="text1"/>
          <w:sz w:val="24"/>
          <w:szCs w:val="24"/>
        </w:rPr>
        <w:t>gamma</w:t>
      </w:r>
      <w:r>
        <w:rPr>
          <w:b w:val="0"/>
          <w:color w:val="000000" w:themeColor="text1"/>
          <w:sz w:val="24"/>
          <w:szCs w:val="24"/>
        </w:rPr>
        <w:t xml:space="preserve"> without any other process. </w:t>
      </w:r>
    </w:p>
    <w:p/>
    <w:p>
      <w:pPr>
        <w:pStyle w:val="Heading2"/>
      </w:pPr>
      <w:r>
        <w:t>Selection of patients for comparison</w:t>
      </w:r>
    </w:p>
    <w:p>
      <w:r>
        <w:t xml:space="preserve">A series of patients were selected </w:t>
      </w:r>
      <w:r>
        <w:rPr>
          <w:noProof/>
        </w:rPr>
        <w:t>from the</w:t>
      </w:r>
      <w:r>
        <w:t xml:space="preserve"> list of clinical patients and a </w:t>
      </w:r>
      <w:r>
        <w:rPr>
          <w:noProof/>
        </w:rPr>
        <w:t>list</w:t>
      </w:r>
      <w:r>
        <w:t xml:space="preserve"> of patients </w:t>
      </w:r>
      <w:r>
        <w:rPr>
          <w:noProof/>
        </w:rPr>
        <w:t xml:space="preserve">identified by Alison. The comparison also performed for a different combination of VMAT/IMRT and registration/no-registration. </w:t>
      </w:r>
    </w:p>
    <w:p>
      <w:pPr>
        <w:pStyle w:val="Heading1"/>
      </w:pPr>
      <w:r>
        <w:t>Results and discussion</w:t>
      </w:r>
    </w:p>
    <w:p>
      <w:pPr>
        <w:pStyle w:val="Heading2"/>
      </w:pPr>
      <w:r>
        <w:t>Gamma calculated with TomoExit Gamma and AutoEPID</w:t>
      </w:r>
    </w:p>
    <w:p>
      <w:r>
        <w:t xml:space="preserve">The gamma map calculated using TomoExit Gamma and are considered to be the </w:t>
      </w:r>
      <w:r>
        <w:rPr>
          <w:noProof/>
        </w:rPr>
        <w:t>same</w:t>
      </w:r>
      <w:r>
        <w:t xml:space="preserve"> </w:t>
      </w:r>
      <w:r>
        <w:rPr>
          <w:noProof/>
        </w:rPr>
        <w:t>despite</w:t>
      </w:r>
      <w:r>
        <w:t xml:space="preserve"> the </w:t>
      </w:r>
      <w:r>
        <w:rPr>
          <w:noProof/>
        </w:rPr>
        <w:t>slight</w:t>
      </w:r>
      <w:r>
        <w:t xml:space="preserve"> </w:t>
      </w:r>
      <w:r>
        <w:rPr>
          <w:noProof/>
        </w:rPr>
        <w:t>difference</w:t>
      </w:r>
      <w:r>
        <w:t xml:space="preserve"> at the edge of the gamma map due to the different application. The Gamma pass rates </w:t>
      </w:r>
      <w:r>
        <w:rPr>
          <w:noProof/>
        </w:rPr>
        <w:t xml:space="preserve">agree with </w:t>
      </w:r>
      <w:r>
        <w:t xml:space="preserve">each other with 1%.  As an </w:t>
      </w:r>
      <w:r>
        <w:rPr>
          <w:noProof/>
        </w:rPr>
        <w:t>example</w:t>
      </w:r>
      <w:r>
        <w:t xml:space="preserve">,  showed </w:t>
      </w:r>
      <w:r>
        <w:rPr>
          <w:noProof/>
        </w:rPr>
        <w:t>a gamma</w:t>
      </w:r>
      <w:r>
        <w:t xml:space="preserve"> map calculated </w:t>
      </w:r>
      <w:r>
        <w:rPr>
          <w:noProof/>
        </w:rPr>
        <w:t xml:space="preserve">using both gamma functions without registration. </w:t>
      </w:r>
    </w:p>
    <w:p/>
    <w:p>
      <w:r>
        <w:rPr>
          <w:noProof/>
        </w:rPr>
        <w:lastRenderedPageBreak/>
        <w:drawing>
          <wp:inline distT="0" distB="0" distL="0" distR="0">
            <wp:extent cx="5731510" cy="6052989"/>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6052989"/>
                    </a:xfrm>
                    <a:prstGeom prst="rect">
                      <a:avLst/>
                    </a:prstGeom>
                  </pic:spPr>
                </pic:pic>
              </a:graphicData>
            </a:graphic>
          </wp:inline>
        </w:drawing>
      </w:r>
    </w:p>
    <w:p>
      <w:pPr>
        <w:jc w:val="center"/>
      </w:pPr>
      <w:r>
        <w:t xml:space="preserve">(a) </w:t>
      </w:r>
    </w:p>
    <w:p>
      <w:pPr>
        <w:keepNext/>
        <w:jc w:val="center"/>
      </w:pPr>
      <w:r>
        <w:rPr>
          <w:noProof/>
        </w:rPr>
        <w:lastRenderedPageBreak/>
        <w:drawing>
          <wp:inline distT="0" distB="0" distL="0" distR="0">
            <wp:extent cx="5501640" cy="6454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01640" cy="6454140"/>
                    </a:xfrm>
                    <a:prstGeom prst="rect">
                      <a:avLst/>
                    </a:prstGeom>
                  </pic:spPr>
                </pic:pic>
              </a:graphicData>
            </a:graphic>
          </wp:inline>
        </w:drawing>
      </w:r>
    </w:p>
    <w:p>
      <w:pPr>
        <w:pStyle w:val="Caption"/>
        <w:jc w:val="center"/>
        <w:rPr>
          <w:b w:val="0"/>
          <w:color w:val="auto"/>
        </w:rPr>
      </w:pPr>
      <w:r>
        <w:rPr>
          <w:b w:val="0"/>
          <w:color w:val="auto"/>
        </w:rPr>
        <w:t>(b)</w:t>
      </w:r>
    </w:p>
    <w:p>
      <w:pPr>
        <w:pStyle w:val="Caption"/>
        <w:rPr>
          <w:b w:val="0"/>
          <w:color w:val="000000" w:themeColor="text1"/>
          <w:sz w:val="24"/>
          <w:szCs w:val="24"/>
        </w:rPr>
      </w:pPr>
      <w:r>
        <w:rPr>
          <w:b w:val="0"/>
          <w:color w:val="000000" w:themeColor="text1"/>
          <w:sz w:val="24"/>
          <w:szCs w:val="24"/>
        </w:rPr>
        <w:t xml:space="preserve">Figure </w:t>
      </w:r>
      <w:r>
        <w:rPr>
          <w:b w:val="0"/>
          <w:color w:val="000000" w:themeColor="text1"/>
          <w:sz w:val="24"/>
          <w:szCs w:val="24"/>
        </w:rPr>
        <w:fldChar w:fldCharType="begin"/>
      </w:r>
      <w:r>
        <w:rPr>
          <w:b w:val="0"/>
          <w:color w:val="000000" w:themeColor="text1"/>
          <w:sz w:val="24"/>
          <w:szCs w:val="24"/>
        </w:rPr>
        <w:instrText xml:space="preserve"> SEQ Figure \* ARABIC </w:instrText>
      </w:r>
      <w:r>
        <w:rPr>
          <w:b w:val="0"/>
          <w:color w:val="000000" w:themeColor="text1"/>
          <w:sz w:val="24"/>
          <w:szCs w:val="24"/>
        </w:rPr>
        <w:fldChar w:fldCharType="separate"/>
      </w:r>
      <w:r>
        <w:rPr>
          <w:b w:val="0"/>
          <w:noProof/>
          <w:color w:val="000000" w:themeColor="text1"/>
          <w:sz w:val="24"/>
          <w:szCs w:val="24"/>
        </w:rPr>
        <w:t>3</w:t>
      </w:r>
      <w:r>
        <w:rPr>
          <w:b w:val="0"/>
          <w:color w:val="000000" w:themeColor="text1"/>
          <w:sz w:val="24"/>
          <w:szCs w:val="24"/>
        </w:rPr>
        <w:fldChar w:fldCharType="end"/>
      </w:r>
      <w:r>
        <w:rPr>
          <w:b w:val="0"/>
          <w:color w:val="000000" w:themeColor="text1"/>
          <w:sz w:val="24"/>
          <w:szCs w:val="24"/>
        </w:rPr>
        <w:t xml:space="preserve"> The gamma map and gamma statistics calculated using gamma function for one IMRT beam used in TomoExit (a) and AutoEPID (b).</w:t>
      </w:r>
    </w:p>
    <w:p>
      <w:pPr>
        <w:pStyle w:val="Heading2"/>
      </w:pPr>
    </w:p>
    <w:p>
      <w:pPr>
        <w:pStyle w:val="Heading2"/>
      </w:pPr>
      <w:r>
        <w:t>Gamma calculated  AutoEPID and OminIMRTPro</w:t>
      </w:r>
    </w:p>
    <w:p>
      <w:pPr>
        <w:rPr>
          <w:noProof/>
        </w:rPr>
      </w:pPr>
      <w:r>
        <w:t xml:space="preserve">The gamma maps calculated within OminIMRTPo and ones </w:t>
      </w:r>
      <w:r>
        <w:rPr>
          <w:noProof/>
        </w:rPr>
        <w:t>calculated</w:t>
      </w:r>
      <w:r>
        <w:t xml:space="preserve"> with AutoEPID are equivalent in term of  (1) the pass and failing areas are </w:t>
      </w:r>
      <w:r>
        <w:rPr>
          <w:noProof/>
        </w:rPr>
        <w:t>the same</w:t>
      </w:r>
      <w:r>
        <w:t xml:space="preserve"> ; (2) </w:t>
      </w:r>
      <w:r>
        <w:lastRenderedPageBreak/>
        <w:t xml:space="preserve">the gamma pass rate </w:t>
      </w:r>
      <w:r>
        <w:rPr>
          <w:noProof/>
        </w:rPr>
        <w:t>is</w:t>
      </w:r>
      <w:r>
        <w:t xml:space="preserve"> approximately equivalent and differ by a few percentages. This is due to the different implementation of the Gamma function in OminiIMRTPro and </w:t>
      </w:r>
      <w:r>
        <w:rPr>
          <w:noProof/>
        </w:rPr>
        <w:t xml:space="preserve">AutoEPID. As an example, the </w:t>
      </w:r>
      <w:r>
        <w:rPr>
          <w:noProof/>
        </w:rPr>
        <w:fldChar w:fldCharType="begin"/>
      </w:r>
      <w:r>
        <w:rPr>
          <w:noProof/>
        </w:rPr>
        <w:instrText xml:space="preserve"> REF _Ref532214538 \h  \* MERGEFORMAT </w:instrText>
      </w:r>
      <w:r>
        <w:rPr>
          <w:noProof/>
        </w:rPr>
      </w:r>
      <w:r>
        <w:rPr>
          <w:noProof/>
        </w:rPr>
        <w:fldChar w:fldCharType="separate"/>
      </w:r>
      <w:r>
        <w:rPr>
          <w:b/>
          <w:noProof/>
          <w:color w:val="000000" w:themeColor="text1"/>
          <w:szCs w:val="24"/>
        </w:rPr>
        <w:t>Figure</w:t>
      </w:r>
      <w:r>
        <w:rPr>
          <w:b/>
          <w:color w:val="000000" w:themeColor="text1"/>
          <w:szCs w:val="24"/>
        </w:rPr>
        <w:t xml:space="preserve"> </w:t>
      </w:r>
      <w:r>
        <w:rPr>
          <w:b/>
          <w:noProof/>
          <w:color w:val="000000" w:themeColor="text1"/>
          <w:szCs w:val="24"/>
        </w:rPr>
        <w:t>4</w:t>
      </w:r>
      <w:r>
        <w:rPr>
          <w:noProof/>
        </w:rPr>
        <w:fldChar w:fldCharType="end"/>
      </w:r>
      <w:r>
        <w:rPr>
          <w:noProof/>
        </w:rPr>
        <w:t xml:space="preserve">, </w:t>
      </w:r>
      <w:r>
        <w:rPr>
          <w:noProof/>
        </w:rPr>
        <w:fldChar w:fldCharType="begin"/>
      </w:r>
      <w:r>
        <w:rPr>
          <w:noProof/>
        </w:rPr>
        <w:instrText xml:space="preserve"> REF _Ref532214495 \h  \* MERGEFORMAT </w:instrText>
      </w:r>
      <w:r>
        <w:rPr>
          <w:noProof/>
        </w:rPr>
      </w:r>
      <w:r>
        <w:rPr>
          <w:noProof/>
        </w:rPr>
        <w:fldChar w:fldCharType="separate"/>
      </w:r>
      <w:r>
        <w:rPr>
          <w:b/>
          <w:color w:val="000000" w:themeColor="text1"/>
          <w:szCs w:val="24"/>
        </w:rPr>
        <w:t xml:space="preserve">Figure </w:t>
      </w:r>
      <w:r>
        <w:rPr>
          <w:b/>
          <w:noProof/>
          <w:color w:val="000000" w:themeColor="text1"/>
          <w:szCs w:val="24"/>
        </w:rPr>
        <w:t>6</w:t>
      </w:r>
      <w:r>
        <w:rPr>
          <w:noProof/>
        </w:rPr>
        <w:fldChar w:fldCharType="end"/>
      </w:r>
      <w:r>
        <w:rPr>
          <w:noProof/>
        </w:rPr>
        <w:t xml:space="preserve"> and  </w:t>
      </w:r>
      <w:r>
        <w:rPr>
          <w:noProof/>
        </w:rPr>
        <w:fldChar w:fldCharType="begin"/>
      </w:r>
      <w:r>
        <w:rPr>
          <w:noProof/>
        </w:rPr>
        <w:instrText xml:space="preserve"> REF _Ref532214495 \h </w:instrText>
      </w:r>
      <w:r>
        <w:rPr>
          <w:noProof/>
        </w:rPr>
      </w:r>
      <w:r>
        <w:rPr>
          <w:noProof/>
        </w:rPr>
        <w:fldChar w:fldCharType="separate"/>
      </w:r>
      <w:r>
        <w:rPr>
          <w:color w:val="000000" w:themeColor="text1"/>
          <w:szCs w:val="24"/>
        </w:rPr>
        <w:t xml:space="preserve">Figure </w:t>
      </w:r>
      <w:r>
        <w:rPr>
          <w:b/>
          <w:noProof/>
          <w:color w:val="000000" w:themeColor="text1"/>
          <w:szCs w:val="24"/>
        </w:rPr>
        <w:t>6</w:t>
      </w:r>
      <w:r>
        <w:rPr>
          <w:noProof/>
        </w:rPr>
        <w:fldChar w:fldCharType="end"/>
      </w:r>
      <w:r>
        <w:rPr>
          <w:noProof/>
        </w:rPr>
        <w:t xml:space="preserve">showed gamma map calculated by two software tools for some IMRT and VMAT beams. </w:t>
      </w:r>
    </w:p>
    <w:p>
      <w:pPr>
        <w:jc w:val="left"/>
      </w:pPr>
    </w:p>
    <w:p>
      <w:pPr>
        <w:jc w:val="center"/>
      </w:pPr>
      <w:r>
        <w:rPr>
          <w:noProof/>
        </w:rPr>
        <w:drawing>
          <wp:inline distT="0" distB="0" distL="0" distR="0">
            <wp:extent cx="4534293" cy="4618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4293" cy="4618120"/>
                    </a:xfrm>
                    <a:prstGeom prst="rect">
                      <a:avLst/>
                    </a:prstGeom>
                  </pic:spPr>
                </pic:pic>
              </a:graphicData>
            </a:graphic>
          </wp:inline>
        </w:drawing>
      </w:r>
    </w:p>
    <w:p>
      <w:pPr>
        <w:jc w:val="center"/>
      </w:pPr>
      <w:r>
        <w:t>(a)</w:t>
      </w:r>
    </w:p>
    <w:p>
      <w:pPr>
        <w:keepNext/>
        <w:jc w:val="center"/>
      </w:pPr>
      <w:r>
        <w:rPr>
          <w:noProof/>
        </w:rPr>
        <w:lastRenderedPageBreak/>
        <w:drawing>
          <wp:inline distT="0" distB="0" distL="0" distR="0">
            <wp:extent cx="5731510" cy="3746301"/>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746301"/>
                    </a:xfrm>
                    <a:prstGeom prst="rect">
                      <a:avLst/>
                    </a:prstGeom>
                  </pic:spPr>
                </pic:pic>
              </a:graphicData>
            </a:graphic>
          </wp:inline>
        </w:drawing>
      </w:r>
    </w:p>
    <w:p>
      <w:pPr>
        <w:pStyle w:val="Caption"/>
        <w:jc w:val="center"/>
        <w:rPr>
          <w:color w:val="000000" w:themeColor="text1"/>
          <w:sz w:val="24"/>
          <w:szCs w:val="24"/>
        </w:rPr>
      </w:pPr>
      <w:r>
        <w:rPr>
          <w:color w:val="000000" w:themeColor="text1"/>
          <w:sz w:val="24"/>
          <w:szCs w:val="24"/>
        </w:rPr>
        <w:t>(b)</w:t>
      </w:r>
    </w:p>
    <w:p>
      <w:pPr>
        <w:pStyle w:val="Caption"/>
        <w:rPr>
          <w:b w:val="0"/>
          <w:color w:val="000000" w:themeColor="text1"/>
          <w:sz w:val="24"/>
          <w:szCs w:val="24"/>
        </w:rPr>
      </w:pPr>
      <w:bookmarkStart w:id="3" w:name="_Ref532214538"/>
      <w:r>
        <w:rPr>
          <w:b w:val="0"/>
          <w:color w:val="000000" w:themeColor="text1"/>
          <w:sz w:val="24"/>
          <w:szCs w:val="24"/>
        </w:rPr>
        <w:t xml:space="preserve">Figure </w:t>
      </w:r>
      <w:r>
        <w:rPr>
          <w:b w:val="0"/>
          <w:color w:val="000000" w:themeColor="text1"/>
          <w:sz w:val="24"/>
          <w:szCs w:val="24"/>
        </w:rPr>
        <w:fldChar w:fldCharType="begin"/>
      </w:r>
      <w:r>
        <w:rPr>
          <w:b w:val="0"/>
          <w:color w:val="000000" w:themeColor="text1"/>
          <w:sz w:val="24"/>
          <w:szCs w:val="24"/>
        </w:rPr>
        <w:instrText xml:space="preserve"> SEQ Figure \* ARABIC </w:instrText>
      </w:r>
      <w:r>
        <w:rPr>
          <w:b w:val="0"/>
          <w:color w:val="000000" w:themeColor="text1"/>
          <w:sz w:val="24"/>
          <w:szCs w:val="24"/>
        </w:rPr>
        <w:fldChar w:fldCharType="separate"/>
      </w:r>
      <w:r>
        <w:rPr>
          <w:b w:val="0"/>
          <w:noProof/>
          <w:color w:val="000000" w:themeColor="text1"/>
          <w:sz w:val="24"/>
          <w:szCs w:val="24"/>
        </w:rPr>
        <w:t>4</w:t>
      </w:r>
      <w:r>
        <w:rPr>
          <w:b w:val="0"/>
          <w:color w:val="000000" w:themeColor="text1"/>
          <w:sz w:val="24"/>
          <w:szCs w:val="24"/>
        </w:rPr>
        <w:fldChar w:fldCharType="end"/>
      </w:r>
      <w:bookmarkEnd w:id="3"/>
      <w:r>
        <w:rPr>
          <w:b w:val="0"/>
          <w:color w:val="000000" w:themeColor="text1"/>
          <w:sz w:val="24"/>
          <w:szCs w:val="24"/>
        </w:rPr>
        <w:t xml:space="preserve">  The Gamma map and gamma </w:t>
      </w:r>
      <w:r>
        <w:rPr>
          <w:b w:val="0"/>
          <w:noProof/>
          <w:color w:val="000000" w:themeColor="text1"/>
          <w:sz w:val="24"/>
          <w:szCs w:val="24"/>
        </w:rPr>
        <w:t>statistics</w:t>
      </w:r>
      <w:r>
        <w:rPr>
          <w:b w:val="0"/>
          <w:color w:val="000000" w:themeColor="text1"/>
          <w:sz w:val="24"/>
          <w:szCs w:val="24"/>
        </w:rPr>
        <w:t xml:space="preserve"> calculated with AutoEPID (a) and OminIMRTPro (b) for one IMRT beam selected from the list </w:t>
      </w:r>
      <w:r>
        <w:rPr>
          <w:b w:val="0"/>
          <w:noProof/>
          <w:color w:val="000000" w:themeColor="text1"/>
          <w:sz w:val="24"/>
          <w:szCs w:val="24"/>
        </w:rPr>
        <w:t>of patients</w:t>
      </w:r>
      <w:r>
        <w:rPr>
          <w:b w:val="0"/>
          <w:color w:val="000000" w:themeColor="text1"/>
          <w:sz w:val="24"/>
          <w:szCs w:val="24"/>
        </w:rPr>
        <w:t xml:space="preserve"> with problems. </w:t>
      </w:r>
    </w:p>
    <w:p>
      <w:pPr>
        <w:jc w:val="center"/>
      </w:pPr>
    </w:p>
    <w:p>
      <w:pPr>
        <w:jc w:val="center"/>
      </w:pPr>
      <w:r>
        <w:rPr>
          <w:noProof/>
        </w:rPr>
        <w:lastRenderedPageBreak/>
        <w:drawing>
          <wp:inline distT="0" distB="0" distL="0" distR="0">
            <wp:extent cx="5516880" cy="7940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16880" cy="7940040"/>
                    </a:xfrm>
                    <a:prstGeom prst="rect">
                      <a:avLst/>
                    </a:prstGeom>
                  </pic:spPr>
                </pic:pic>
              </a:graphicData>
            </a:graphic>
          </wp:inline>
        </w:drawing>
      </w:r>
    </w:p>
    <w:p>
      <w:pPr>
        <w:jc w:val="center"/>
      </w:pPr>
      <w:r>
        <w:t>(a)</w:t>
      </w:r>
    </w:p>
    <w:p>
      <w:pPr>
        <w:keepNext/>
        <w:jc w:val="center"/>
      </w:pPr>
      <w:r>
        <w:rPr>
          <w:noProof/>
        </w:rPr>
        <w:lastRenderedPageBreak/>
        <w:drawing>
          <wp:inline distT="0" distB="0" distL="0" distR="0">
            <wp:extent cx="5731510" cy="638977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6389776"/>
                    </a:xfrm>
                    <a:prstGeom prst="rect">
                      <a:avLst/>
                    </a:prstGeom>
                  </pic:spPr>
                </pic:pic>
              </a:graphicData>
            </a:graphic>
          </wp:inline>
        </w:drawing>
      </w:r>
    </w:p>
    <w:p>
      <w:pPr>
        <w:pStyle w:val="Caption"/>
        <w:jc w:val="center"/>
        <w:rPr>
          <w:b w:val="0"/>
          <w:color w:val="000000" w:themeColor="text1"/>
          <w:sz w:val="24"/>
          <w:szCs w:val="24"/>
        </w:rPr>
      </w:pPr>
      <w:r>
        <w:rPr>
          <w:b w:val="0"/>
          <w:color w:val="000000" w:themeColor="text1"/>
          <w:sz w:val="24"/>
          <w:szCs w:val="24"/>
        </w:rPr>
        <w:t>(b)</w:t>
      </w:r>
    </w:p>
    <w:p>
      <w:pPr>
        <w:pStyle w:val="Caption"/>
        <w:rPr>
          <w:b w:val="0"/>
          <w:color w:val="000000" w:themeColor="text1"/>
          <w:sz w:val="24"/>
          <w:szCs w:val="24"/>
        </w:rPr>
      </w:pPr>
      <w:r>
        <w:rPr>
          <w:b w:val="0"/>
          <w:color w:val="000000" w:themeColor="text1"/>
          <w:sz w:val="24"/>
          <w:szCs w:val="24"/>
        </w:rPr>
        <w:t xml:space="preserve">Figure </w:t>
      </w:r>
      <w:r>
        <w:rPr>
          <w:b w:val="0"/>
          <w:color w:val="000000" w:themeColor="text1"/>
          <w:sz w:val="24"/>
          <w:szCs w:val="24"/>
        </w:rPr>
        <w:fldChar w:fldCharType="begin"/>
      </w:r>
      <w:r>
        <w:rPr>
          <w:b w:val="0"/>
          <w:color w:val="000000" w:themeColor="text1"/>
          <w:sz w:val="24"/>
          <w:szCs w:val="24"/>
        </w:rPr>
        <w:instrText xml:space="preserve"> SEQ Figure \* ARABIC </w:instrText>
      </w:r>
      <w:r>
        <w:rPr>
          <w:b w:val="0"/>
          <w:color w:val="000000" w:themeColor="text1"/>
          <w:sz w:val="24"/>
          <w:szCs w:val="24"/>
        </w:rPr>
        <w:fldChar w:fldCharType="separate"/>
      </w:r>
      <w:r>
        <w:rPr>
          <w:b w:val="0"/>
          <w:noProof/>
          <w:color w:val="000000" w:themeColor="text1"/>
          <w:sz w:val="24"/>
          <w:szCs w:val="24"/>
        </w:rPr>
        <w:t>5</w:t>
      </w:r>
      <w:r>
        <w:rPr>
          <w:b w:val="0"/>
          <w:color w:val="000000" w:themeColor="text1"/>
          <w:sz w:val="24"/>
          <w:szCs w:val="24"/>
        </w:rPr>
        <w:fldChar w:fldCharType="end"/>
      </w:r>
      <w:r>
        <w:rPr>
          <w:color w:val="000000" w:themeColor="text1"/>
        </w:rPr>
        <w:t xml:space="preserve"> </w:t>
      </w:r>
      <w:r>
        <w:rPr>
          <w:b w:val="0"/>
          <w:color w:val="000000" w:themeColor="text1"/>
          <w:sz w:val="24"/>
          <w:szCs w:val="24"/>
        </w:rPr>
        <w:t xml:space="preserve">The Gamma map and gamma </w:t>
      </w:r>
      <w:r>
        <w:rPr>
          <w:b w:val="0"/>
          <w:noProof/>
          <w:color w:val="000000" w:themeColor="text1"/>
          <w:sz w:val="24"/>
          <w:szCs w:val="24"/>
        </w:rPr>
        <w:t>statistics</w:t>
      </w:r>
      <w:r>
        <w:rPr>
          <w:b w:val="0"/>
          <w:color w:val="000000" w:themeColor="text1"/>
          <w:sz w:val="24"/>
          <w:szCs w:val="24"/>
        </w:rPr>
        <w:t xml:space="preserve"> calculated with AutoEPID </w:t>
      </w:r>
      <w:r>
        <w:rPr>
          <w:b w:val="0"/>
          <w:color w:val="000000" w:themeColor="text1"/>
          <w:sz w:val="24"/>
          <w:szCs w:val="24"/>
        </w:rPr>
        <w:t xml:space="preserve">(a) and OminIMRTPro (b) for another </w:t>
      </w:r>
      <w:r>
        <w:rPr>
          <w:b w:val="0"/>
          <w:color w:val="000000" w:themeColor="text1"/>
          <w:sz w:val="24"/>
          <w:szCs w:val="24"/>
        </w:rPr>
        <w:t>I</w:t>
      </w:r>
      <w:r>
        <w:rPr>
          <w:b w:val="0"/>
          <w:color w:val="000000" w:themeColor="text1"/>
          <w:sz w:val="24"/>
          <w:szCs w:val="24"/>
        </w:rPr>
        <w:t>MRT beam selected from one clinical patient.</w:t>
      </w:r>
    </w:p>
    <w:p>
      <w:pPr>
        <w:pStyle w:val="Caption"/>
        <w:jc w:val="center"/>
        <w:rPr>
          <w:color w:val="000000" w:themeColor="text1"/>
        </w:rPr>
      </w:pPr>
    </w:p>
    <w:p>
      <w:pPr>
        <w:jc w:val="center"/>
      </w:pPr>
    </w:p>
    <w:p>
      <w:pPr>
        <w:jc w:val="center"/>
      </w:pPr>
      <w:r>
        <w:rPr>
          <w:noProof/>
        </w:rPr>
        <w:lastRenderedPageBreak/>
        <w:drawing>
          <wp:inline distT="0" distB="0" distL="0" distR="0">
            <wp:extent cx="5731510" cy="324540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45406"/>
                    </a:xfrm>
                    <a:prstGeom prst="rect">
                      <a:avLst/>
                    </a:prstGeom>
                  </pic:spPr>
                </pic:pic>
              </a:graphicData>
            </a:graphic>
          </wp:inline>
        </w:drawing>
      </w:r>
    </w:p>
    <w:p>
      <w:pPr>
        <w:jc w:val="center"/>
      </w:pPr>
      <w:r>
        <w:t>(a)</w:t>
      </w:r>
    </w:p>
    <w:p>
      <w:pPr>
        <w:keepNext/>
        <w:jc w:val="center"/>
      </w:pPr>
      <w:r>
        <w:rPr>
          <w:noProof/>
        </w:rPr>
        <w:drawing>
          <wp:inline distT="0" distB="0" distL="0" distR="0">
            <wp:extent cx="5731510" cy="412166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121666"/>
                    </a:xfrm>
                    <a:prstGeom prst="rect">
                      <a:avLst/>
                    </a:prstGeom>
                  </pic:spPr>
                </pic:pic>
              </a:graphicData>
            </a:graphic>
          </wp:inline>
        </w:drawing>
      </w:r>
    </w:p>
    <w:p>
      <w:pPr>
        <w:pStyle w:val="Caption"/>
        <w:rPr>
          <w:b w:val="0"/>
          <w:color w:val="000000" w:themeColor="text1"/>
          <w:sz w:val="24"/>
          <w:szCs w:val="24"/>
        </w:rPr>
      </w:pPr>
      <w:bookmarkStart w:id="4" w:name="_Ref532214495"/>
      <w:r>
        <w:rPr>
          <w:b w:val="0"/>
          <w:color w:val="000000" w:themeColor="text1"/>
          <w:sz w:val="24"/>
          <w:szCs w:val="24"/>
        </w:rPr>
        <w:t xml:space="preserve">Figure </w:t>
      </w:r>
      <w:r>
        <w:rPr>
          <w:b w:val="0"/>
          <w:color w:val="000000" w:themeColor="text1"/>
          <w:sz w:val="24"/>
          <w:szCs w:val="24"/>
        </w:rPr>
        <w:fldChar w:fldCharType="begin"/>
      </w:r>
      <w:r>
        <w:rPr>
          <w:b w:val="0"/>
          <w:color w:val="000000" w:themeColor="text1"/>
          <w:sz w:val="24"/>
          <w:szCs w:val="24"/>
        </w:rPr>
        <w:instrText xml:space="preserve"> SEQ Figure \* ARABIC </w:instrText>
      </w:r>
      <w:r>
        <w:rPr>
          <w:b w:val="0"/>
          <w:color w:val="000000" w:themeColor="text1"/>
          <w:sz w:val="24"/>
          <w:szCs w:val="24"/>
        </w:rPr>
        <w:fldChar w:fldCharType="separate"/>
      </w:r>
      <w:r>
        <w:rPr>
          <w:b w:val="0"/>
          <w:noProof/>
          <w:color w:val="000000" w:themeColor="text1"/>
          <w:sz w:val="24"/>
          <w:szCs w:val="24"/>
        </w:rPr>
        <w:t>6</w:t>
      </w:r>
      <w:r>
        <w:rPr>
          <w:b w:val="0"/>
          <w:color w:val="000000" w:themeColor="text1"/>
          <w:sz w:val="24"/>
          <w:szCs w:val="24"/>
        </w:rPr>
        <w:fldChar w:fldCharType="end"/>
      </w:r>
      <w:bookmarkEnd w:id="4"/>
      <w:r>
        <w:rPr>
          <w:b w:val="0"/>
          <w:color w:val="000000" w:themeColor="text1"/>
        </w:rPr>
        <w:t xml:space="preserve">  </w:t>
      </w:r>
      <w:r>
        <w:rPr>
          <w:b w:val="0"/>
          <w:color w:val="000000" w:themeColor="text1"/>
          <w:sz w:val="24"/>
          <w:szCs w:val="24"/>
        </w:rPr>
        <w:t xml:space="preserve">The Gamma map and gamma </w:t>
      </w:r>
      <w:r>
        <w:rPr>
          <w:b w:val="0"/>
          <w:noProof/>
          <w:color w:val="000000" w:themeColor="text1"/>
          <w:sz w:val="24"/>
          <w:szCs w:val="24"/>
        </w:rPr>
        <w:t>statistics</w:t>
      </w:r>
      <w:r>
        <w:rPr>
          <w:b w:val="0"/>
          <w:color w:val="000000" w:themeColor="text1"/>
          <w:sz w:val="24"/>
          <w:szCs w:val="24"/>
        </w:rPr>
        <w:t xml:space="preserve"> calculated with AutoEPID (a) and OminIMRTPro (b) for one VMAT beam. </w:t>
      </w:r>
    </w:p>
    <w:p>
      <w:pPr>
        <w:pStyle w:val="Caption"/>
        <w:jc w:val="center"/>
        <w:rPr>
          <w:b w:val="0"/>
          <w:color w:val="000000" w:themeColor="text1"/>
        </w:rPr>
      </w:pPr>
    </w:p>
    <w:p>
      <w:pPr>
        <w:pStyle w:val="Heading1"/>
      </w:pPr>
      <w:r>
        <w:lastRenderedPageBreak/>
        <w:t>Conclusions</w:t>
      </w:r>
    </w:p>
    <w:p>
      <w:r>
        <w:t xml:space="preserve">The gamma function used in AutoEPID was compared with one used in TomoExit and OminIMRTPro after debugging and issues fixed. The Gamma map and Gamma report from AutoEPID are same or equivalent with OminiIMRTPro and TomoExit considering the difference caused by different gamma function implementation in three software tools.  </w:t>
      </w:r>
    </w:p>
    <w:p/>
    <w:p>
      <w:pPr>
        <w:pStyle w:val="Heading1"/>
      </w:pPr>
      <w:r>
        <w:t>Appendix</w:t>
      </w:r>
    </w:p>
    <w:p>
      <w:pPr>
        <w:pStyle w:val="Caption"/>
        <w:keepNext/>
        <w:rPr>
          <w:color w:val="auto"/>
          <w:sz w:val="24"/>
          <w:szCs w:val="24"/>
        </w:rPr>
      </w:pPr>
    </w:p>
    <w:p>
      <w:pPr>
        <w:pStyle w:val="Caption"/>
        <w:keepNext/>
        <w:rPr>
          <w:b w:val="0"/>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noProof/>
          <w:color w:val="auto"/>
          <w:sz w:val="24"/>
          <w:szCs w:val="24"/>
        </w:rPr>
        <w:t>7</w:t>
      </w:r>
      <w:r>
        <w:rPr>
          <w:color w:val="auto"/>
          <w:sz w:val="24"/>
          <w:szCs w:val="24"/>
        </w:rPr>
        <w:fldChar w:fldCharType="end"/>
      </w:r>
      <w:r>
        <w:rPr>
          <w:b w:val="0"/>
          <w:color w:val="auto"/>
          <w:sz w:val="24"/>
          <w:szCs w:val="24"/>
        </w:rPr>
        <w:t xml:space="preserve"> The Gamma function used in </w:t>
      </w:r>
      <w:r>
        <w:rPr>
          <w:b w:val="0"/>
          <w:noProof/>
          <w:color w:val="auto"/>
          <w:sz w:val="24"/>
          <w:szCs w:val="24"/>
        </w:rPr>
        <w:t>TomExit</w:t>
      </w:r>
      <w:r>
        <w:rPr>
          <w:b w:val="0"/>
          <w:color w:val="auto"/>
          <w:sz w:val="24"/>
          <w:szCs w:val="24"/>
        </w:rPr>
        <w:t>.</w:t>
      </w:r>
    </w:p>
    <w:p>
      <w:r>
        <w:rPr>
          <w:noProof/>
        </w:rPr>
        <w:drawing>
          <wp:inline distT="0" distB="0" distL="0" distR="0">
            <wp:extent cx="5732854" cy="44196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418564"/>
                    </a:xfrm>
                    <a:prstGeom prst="rect">
                      <a:avLst/>
                    </a:prstGeom>
                  </pic:spPr>
                </pic:pic>
              </a:graphicData>
            </a:graphic>
          </wp:inline>
        </w:drawing>
      </w:r>
    </w:p>
    <w:p>
      <w:bookmarkStart w:id="5" w:name="_GoBack"/>
      <w:bookmarkEnd w:id="5"/>
    </w:p>
    <w:p>
      <w:pPr>
        <w:pStyle w:val="Caption"/>
        <w:keepNext/>
        <w:rPr>
          <w:b w:val="0"/>
          <w:color w:val="auto"/>
          <w:sz w:val="24"/>
          <w:szCs w:val="24"/>
        </w:rPr>
      </w:pPr>
      <w:r>
        <w:rPr>
          <w:color w:val="auto"/>
          <w:sz w:val="24"/>
          <w:szCs w:val="24"/>
        </w:rPr>
        <w:lastRenderedPageBreak/>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noProof/>
          <w:color w:val="auto"/>
          <w:sz w:val="24"/>
          <w:szCs w:val="24"/>
        </w:rPr>
        <w:t>8</w:t>
      </w:r>
      <w:r>
        <w:rPr>
          <w:color w:val="auto"/>
          <w:sz w:val="24"/>
          <w:szCs w:val="24"/>
        </w:rPr>
        <w:fldChar w:fldCharType="end"/>
      </w:r>
      <w:r>
        <w:rPr>
          <w:color w:val="auto"/>
          <w:sz w:val="24"/>
          <w:szCs w:val="24"/>
        </w:rPr>
        <w:t xml:space="preserve">  </w:t>
      </w:r>
      <w:r>
        <w:rPr>
          <w:b w:val="0"/>
          <w:color w:val="auto"/>
          <w:sz w:val="24"/>
          <w:szCs w:val="24"/>
        </w:rPr>
        <w:t>The Gamma function used in AutoEPID.</w:t>
      </w:r>
    </w:p>
    <w:p>
      <w:pPr>
        <w:pStyle w:val="Caption"/>
        <w:keepNext/>
      </w:pPr>
      <w:r>
        <w:rPr>
          <w:noProof/>
        </w:rPr>
        <w:drawing>
          <wp:inline distT="0" distB="0" distL="0" distR="0">
            <wp:extent cx="5731510" cy="384856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848562"/>
                    </a:xfrm>
                    <a:prstGeom prst="rect">
                      <a:avLst/>
                    </a:prstGeom>
                  </pic:spPr>
                </pic:pic>
              </a:graphicData>
            </a:graphic>
          </wp:inline>
        </w:drawing>
      </w:r>
    </w:p>
    <w:p/>
    <w:sectPr>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before="0" w:after="0" w:line="240" w:lineRule="auto"/>
      </w:pPr>
      <w:r>
        <w:separator/>
      </w:r>
    </w:p>
  </w:endnote>
  <w:endnote w:type="continuationSeparator" w:id="0">
    <w:p>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Bdr>
        <w:top w:val="thinThickSmallGap" w:sz="24" w:space="0" w:color="622423" w:themeColor="accent2" w:themeShade="7F"/>
      </w:pBdr>
      <w:jc w:val="left"/>
      <w:rPr>
        <w:rFonts w:eastAsiaTheme="majorEastAsia" w:cs="Times New Roman"/>
        <w:sz w:val="20"/>
        <w:szCs w:val="20"/>
      </w:rPr>
    </w:pPr>
    <w:hyperlink r:id="rId1" w:history="1">
      <w:r>
        <w:rPr>
          <w:rStyle w:val="Hyperlink"/>
          <w:rFonts w:eastAsiaTheme="majorEastAsia" w:cs="Times New Roman"/>
          <w:sz w:val="20"/>
          <w:szCs w:val="20"/>
        </w:rPr>
        <w:t>Gamma_commissioning_autoEPIDV5.docx</w:t>
      </w:r>
    </w:hyperlink>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eastAsiaTheme="majorEastAsia" w:cs="Times New Roman"/>
        <w:noProof/>
        <w:sz w:val="20"/>
        <w:szCs w:val="20"/>
      </w:rPr>
      <w:t>8</w:t>
    </w:r>
    <w:r>
      <w:rPr>
        <w:rFonts w:eastAsiaTheme="majorEastAsia" w:cs="Times New Roman"/>
        <w:noProof/>
        <w:sz w:val="20"/>
        <w:szCs w:val="20"/>
      </w:rPr>
      <w:fldChar w:fldCharType="end"/>
    </w:r>
  </w:p>
  <w:p>
    <w:pPr>
      <w:pStyle w:val="Footer"/>
      <w:rPr>
        <w:rFonts w:cs="Times New Roman"/>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before="0" w:after="0" w:line="240" w:lineRule="auto"/>
      </w:pPr>
      <w:r>
        <w:separator/>
      </w:r>
    </w:p>
  </w:footnote>
  <w:footnote w:type="continuationSeparator" w:id="0">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SimSun" w:cs="Times New Roman"/>
        <w:sz w:val="22"/>
      </w:rPr>
      <w:alias w:val="Title"/>
      <w:id w:val="77738743"/>
      <w:placeholder>
        <w:docPart w:val="8E266856AB764D17A7652A5307603A9F"/>
      </w:placeholder>
      <w:dataBinding w:prefixMappings="xmlns:ns0='http://schemas.openxmlformats.org/package/2006/metadata/core-properties' xmlns:ns1='http://purl.org/dc/elements/1.1/'" w:xpath="/ns0:coreProperties[1]/ns1:title[1]" w:storeItemID="{6C3C8BC8-F283-45AE-878A-BAB7291924A1}"/>
      <w:text/>
    </w:sdtPr>
    <w:sdtContent>
      <w:p>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eastAsia="SimSun" w:cs="Times New Roman"/>
            <w:sz w:val="22"/>
          </w:rPr>
          <w:t>Gamma commissioning report for AutoEPIDV5                                                 Created by AX, AG and PV on 10/12/2018  Version 1.</w:t>
        </w:r>
      </w:p>
    </w:sdtContent>
  </w:sdt>
  <w:p>
    <w:pPr>
      <w:pStyle w:val="Header"/>
      <w:jc w:val="right"/>
      <w:rPr>
        <w:rFonts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77F1"/>
    <w:multiLevelType w:val="hybridMultilevel"/>
    <w:tmpl w:val="412E0BAC"/>
    <w:lvl w:ilvl="0" w:tplc="0C09000F">
      <w:start w:val="1"/>
      <w:numFmt w:val="decimal"/>
      <w:lvlText w:val="%1."/>
      <w:lvlJc w:val="left"/>
      <w:pPr>
        <w:ind w:left="1174" w:hanging="360"/>
      </w:pPr>
    </w:lvl>
    <w:lvl w:ilvl="1" w:tplc="0C090019" w:tentative="1">
      <w:start w:val="1"/>
      <w:numFmt w:val="lowerLetter"/>
      <w:lvlText w:val="%2."/>
      <w:lvlJc w:val="left"/>
      <w:pPr>
        <w:ind w:left="1894" w:hanging="360"/>
      </w:pPr>
    </w:lvl>
    <w:lvl w:ilvl="2" w:tplc="0C09001B" w:tentative="1">
      <w:start w:val="1"/>
      <w:numFmt w:val="lowerRoman"/>
      <w:lvlText w:val="%3."/>
      <w:lvlJc w:val="right"/>
      <w:pPr>
        <w:ind w:left="2614" w:hanging="180"/>
      </w:pPr>
    </w:lvl>
    <w:lvl w:ilvl="3" w:tplc="0C09000F" w:tentative="1">
      <w:start w:val="1"/>
      <w:numFmt w:val="decimal"/>
      <w:lvlText w:val="%4."/>
      <w:lvlJc w:val="left"/>
      <w:pPr>
        <w:ind w:left="3334" w:hanging="360"/>
      </w:pPr>
    </w:lvl>
    <w:lvl w:ilvl="4" w:tplc="0C090019" w:tentative="1">
      <w:start w:val="1"/>
      <w:numFmt w:val="lowerLetter"/>
      <w:lvlText w:val="%5."/>
      <w:lvlJc w:val="left"/>
      <w:pPr>
        <w:ind w:left="4054" w:hanging="360"/>
      </w:pPr>
    </w:lvl>
    <w:lvl w:ilvl="5" w:tplc="0C09001B" w:tentative="1">
      <w:start w:val="1"/>
      <w:numFmt w:val="lowerRoman"/>
      <w:lvlText w:val="%6."/>
      <w:lvlJc w:val="right"/>
      <w:pPr>
        <w:ind w:left="4774" w:hanging="180"/>
      </w:pPr>
    </w:lvl>
    <w:lvl w:ilvl="6" w:tplc="0C09000F" w:tentative="1">
      <w:start w:val="1"/>
      <w:numFmt w:val="decimal"/>
      <w:lvlText w:val="%7."/>
      <w:lvlJc w:val="left"/>
      <w:pPr>
        <w:ind w:left="5494" w:hanging="360"/>
      </w:pPr>
    </w:lvl>
    <w:lvl w:ilvl="7" w:tplc="0C090019" w:tentative="1">
      <w:start w:val="1"/>
      <w:numFmt w:val="lowerLetter"/>
      <w:lvlText w:val="%8."/>
      <w:lvlJc w:val="left"/>
      <w:pPr>
        <w:ind w:left="6214" w:hanging="360"/>
      </w:pPr>
    </w:lvl>
    <w:lvl w:ilvl="8" w:tplc="0C09001B" w:tentative="1">
      <w:start w:val="1"/>
      <w:numFmt w:val="lowerRoman"/>
      <w:lvlText w:val="%9."/>
      <w:lvlJc w:val="right"/>
      <w:pPr>
        <w:ind w:left="6934" w:hanging="180"/>
      </w:pPr>
    </w:lvl>
  </w:abstractNum>
  <w:abstractNum w:abstractNumId="1">
    <w:nsid w:val="19EA4B2E"/>
    <w:multiLevelType w:val="hybridMultilevel"/>
    <w:tmpl w:val="D14E2D84"/>
    <w:lvl w:ilvl="0" w:tplc="0C09000F">
      <w:start w:val="1"/>
      <w:numFmt w:val="decimal"/>
      <w:lvlText w:val="%1."/>
      <w:lvlJc w:val="left"/>
      <w:pPr>
        <w:ind w:left="1174" w:hanging="360"/>
      </w:pPr>
    </w:lvl>
    <w:lvl w:ilvl="1" w:tplc="0C090019" w:tentative="1">
      <w:start w:val="1"/>
      <w:numFmt w:val="lowerLetter"/>
      <w:lvlText w:val="%2."/>
      <w:lvlJc w:val="left"/>
      <w:pPr>
        <w:ind w:left="1894" w:hanging="360"/>
      </w:pPr>
    </w:lvl>
    <w:lvl w:ilvl="2" w:tplc="0C09001B" w:tentative="1">
      <w:start w:val="1"/>
      <w:numFmt w:val="lowerRoman"/>
      <w:lvlText w:val="%3."/>
      <w:lvlJc w:val="right"/>
      <w:pPr>
        <w:ind w:left="2614" w:hanging="180"/>
      </w:pPr>
    </w:lvl>
    <w:lvl w:ilvl="3" w:tplc="0C09000F" w:tentative="1">
      <w:start w:val="1"/>
      <w:numFmt w:val="decimal"/>
      <w:lvlText w:val="%4."/>
      <w:lvlJc w:val="left"/>
      <w:pPr>
        <w:ind w:left="3334" w:hanging="360"/>
      </w:pPr>
    </w:lvl>
    <w:lvl w:ilvl="4" w:tplc="0C090019" w:tentative="1">
      <w:start w:val="1"/>
      <w:numFmt w:val="lowerLetter"/>
      <w:lvlText w:val="%5."/>
      <w:lvlJc w:val="left"/>
      <w:pPr>
        <w:ind w:left="4054" w:hanging="360"/>
      </w:pPr>
    </w:lvl>
    <w:lvl w:ilvl="5" w:tplc="0C09001B" w:tentative="1">
      <w:start w:val="1"/>
      <w:numFmt w:val="lowerRoman"/>
      <w:lvlText w:val="%6."/>
      <w:lvlJc w:val="right"/>
      <w:pPr>
        <w:ind w:left="4774" w:hanging="180"/>
      </w:pPr>
    </w:lvl>
    <w:lvl w:ilvl="6" w:tplc="0C09000F" w:tentative="1">
      <w:start w:val="1"/>
      <w:numFmt w:val="decimal"/>
      <w:lvlText w:val="%7."/>
      <w:lvlJc w:val="left"/>
      <w:pPr>
        <w:ind w:left="5494" w:hanging="360"/>
      </w:pPr>
    </w:lvl>
    <w:lvl w:ilvl="7" w:tplc="0C090019" w:tentative="1">
      <w:start w:val="1"/>
      <w:numFmt w:val="lowerLetter"/>
      <w:lvlText w:val="%8."/>
      <w:lvlJc w:val="left"/>
      <w:pPr>
        <w:ind w:left="6214" w:hanging="360"/>
      </w:pPr>
    </w:lvl>
    <w:lvl w:ilvl="8" w:tplc="0C09001B" w:tentative="1">
      <w:start w:val="1"/>
      <w:numFmt w:val="lowerRoman"/>
      <w:lvlText w:val="%9."/>
      <w:lvlJc w:val="right"/>
      <w:pPr>
        <w:ind w:left="6934" w:hanging="180"/>
      </w:pPr>
    </w:lvl>
  </w:abstractNum>
  <w:abstractNum w:abstractNumId="2">
    <w:nsid w:val="366332BF"/>
    <w:multiLevelType w:val="hybridMultilevel"/>
    <w:tmpl w:val="01F0CF54"/>
    <w:lvl w:ilvl="0" w:tplc="8662FE04">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DDE2509"/>
    <w:multiLevelType w:val="hybridMultilevel"/>
    <w:tmpl w:val="24D2D2D0"/>
    <w:lvl w:ilvl="0" w:tplc="9BB4C364">
      <w:start w:val="1"/>
      <w:numFmt w:val="decimal"/>
      <w:lvlText w:val="%1."/>
      <w:lvlJc w:val="left"/>
      <w:pPr>
        <w:ind w:left="1174" w:hanging="360"/>
      </w:pPr>
    </w:lvl>
    <w:lvl w:ilvl="1" w:tplc="0C090019" w:tentative="1">
      <w:start w:val="1"/>
      <w:numFmt w:val="lowerLetter"/>
      <w:lvlText w:val="%2."/>
      <w:lvlJc w:val="left"/>
      <w:pPr>
        <w:ind w:left="1894" w:hanging="360"/>
      </w:pPr>
    </w:lvl>
    <w:lvl w:ilvl="2" w:tplc="0C09001B" w:tentative="1">
      <w:start w:val="1"/>
      <w:numFmt w:val="lowerRoman"/>
      <w:lvlText w:val="%3."/>
      <w:lvlJc w:val="right"/>
      <w:pPr>
        <w:ind w:left="2614" w:hanging="180"/>
      </w:pPr>
    </w:lvl>
    <w:lvl w:ilvl="3" w:tplc="0C09000F" w:tentative="1">
      <w:start w:val="1"/>
      <w:numFmt w:val="decimal"/>
      <w:lvlText w:val="%4."/>
      <w:lvlJc w:val="left"/>
      <w:pPr>
        <w:ind w:left="3334" w:hanging="360"/>
      </w:pPr>
    </w:lvl>
    <w:lvl w:ilvl="4" w:tplc="0C090019" w:tentative="1">
      <w:start w:val="1"/>
      <w:numFmt w:val="lowerLetter"/>
      <w:lvlText w:val="%5."/>
      <w:lvlJc w:val="left"/>
      <w:pPr>
        <w:ind w:left="4054" w:hanging="360"/>
      </w:pPr>
    </w:lvl>
    <w:lvl w:ilvl="5" w:tplc="0C09001B" w:tentative="1">
      <w:start w:val="1"/>
      <w:numFmt w:val="lowerRoman"/>
      <w:lvlText w:val="%6."/>
      <w:lvlJc w:val="right"/>
      <w:pPr>
        <w:ind w:left="4774" w:hanging="180"/>
      </w:pPr>
    </w:lvl>
    <w:lvl w:ilvl="6" w:tplc="0C09000F" w:tentative="1">
      <w:start w:val="1"/>
      <w:numFmt w:val="decimal"/>
      <w:lvlText w:val="%7."/>
      <w:lvlJc w:val="left"/>
      <w:pPr>
        <w:ind w:left="5494" w:hanging="360"/>
      </w:pPr>
    </w:lvl>
    <w:lvl w:ilvl="7" w:tplc="0C090019" w:tentative="1">
      <w:start w:val="1"/>
      <w:numFmt w:val="lowerLetter"/>
      <w:lvlText w:val="%8."/>
      <w:lvlJc w:val="left"/>
      <w:pPr>
        <w:ind w:left="6214" w:hanging="360"/>
      </w:pPr>
    </w:lvl>
    <w:lvl w:ilvl="8" w:tplc="0C09001B" w:tentative="1">
      <w:start w:val="1"/>
      <w:numFmt w:val="lowerRoman"/>
      <w:lvlText w:val="%9."/>
      <w:lvlJc w:val="right"/>
      <w:pPr>
        <w:ind w:left="6934"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zQxNTc2NTC3sDC1MDBX0lEKTi0uzszPAykwNKwFAHAgnEstAAAA"/>
  </w:docVar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djustRightInd w:val="0"/>
      <w:spacing w:before="80" w:after="80" w:line="360" w:lineRule="auto"/>
      <w:ind w:left="454" w:right="454"/>
      <w:jc w:val="both"/>
    </w:pPr>
    <w:rPr>
      <w:rFonts w:ascii="Times New Roman" w:hAnsi="Times New Roman"/>
      <w:sz w:val="24"/>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Cs/>
      <w:sz w:val="28"/>
      <w:szCs w:val="28"/>
    </w:rPr>
  </w:style>
  <w:style w:type="paragraph" w:styleId="Heading2">
    <w:name w:val="heading 2"/>
    <w:basedOn w:val="Normal"/>
    <w:next w:val="Normal"/>
    <w:link w:val="Heading2Char"/>
    <w:uiPriority w:val="9"/>
    <w:unhideWhenUsed/>
    <w:qFormat/>
    <w:pPr>
      <w:keepNext/>
      <w:keepLines/>
      <w:spacing w:before="200" w:after="0"/>
      <w:jc w:val="left"/>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after="300" w:line="240" w:lineRule="auto"/>
      <w:contextualSpacing/>
      <w:jc w:val="center"/>
    </w:pPr>
    <w:rPr>
      <w:rFonts w:eastAsiaTheme="majorEastAsia" w:cstheme="majorBidi"/>
      <w:spacing w:val="5"/>
      <w:kern w:val="28"/>
      <w:sz w:val="36"/>
      <w:szCs w:val="52"/>
    </w:rPr>
  </w:style>
  <w:style w:type="character" w:customStyle="1" w:styleId="TitleChar">
    <w:name w:val="Title Char"/>
    <w:basedOn w:val="DefaultParagraphFont"/>
    <w:link w:val="Title"/>
    <w:uiPriority w:val="10"/>
    <w:rPr>
      <w:rFonts w:ascii="Times New Roman" w:eastAsiaTheme="majorEastAsia" w:hAnsi="Times New Roman" w:cstheme="majorBidi"/>
      <w:spacing w:val="5"/>
      <w:kern w:val="28"/>
      <w:sz w:val="36"/>
      <w:szCs w:val="52"/>
    </w:rPr>
  </w:style>
  <w:style w:type="character" w:customStyle="1" w:styleId="Heading1Char">
    <w:name w:val="Heading 1 Char"/>
    <w:basedOn w:val="DefaultParagraphFont"/>
    <w:link w:val="Heading1"/>
    <w:uiPriority w:val="9"/>
    <w:rPr>
      <w:rFonts w:asciiTheme="majorHAnsi" w:eastAsiaTheme="majorEastAsia" w:hAnsiTheme="majorHAnsi" w:cstheme="majorBidi"/>
      <w:bCs/>
      <w:sz w:val="28"/>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24"/>
      <w:szCs w:val="26"/>
    </w:rPr>
  </w:style>
  <w:style w:type="paragraph" w:styleId="Subtitle">
    <w:name w:val="Subtitle"/>
    <w:basedOn w:val="Normal"/>
    <w:next w:val="Normal"/>
    <w:link w:val="SubtitleChar"/>
    <w:uiPriority w:val="11"/>
    <w:qFormat/>
    <w:pPr>
      <w:numPr>
        <w:ilvl w:val="1"/>
      </w:numPr>
      <w:ind w:left="454"/>
    </w:pPr>
    <w:rPr>
      <w:rFonts w:eastAsiaTheme="majorEastAsia" w:cstheme="majorBidi"/>
      <w:iCs/>
      <w:spacing w:val="15"/>
      <w:szCs w:val="24"/>
    </w:rPr>
  </w:style>
  <w:style w:type="character" w:customStyle="1" w:styleId="SubtitleChar">
    <w:name w:val="Subtitle Char"/>
    <w:basedOn w:val="DefaultParagraphFont"/>
    <w:link w:val="Subtitle"/>
    <w:uiPriority w:val="11"/>
    <w:rPr>
      <w:rFonts w:ascii="Times New Roman" w:eastAsiaTheme="majorEastAsia" w:hAnsi="Times New Roman" w:cstheme="majorBidi"/>
      <w:iCs/>
      <w:spacing w:val="15"/>
      <w:sz w:val="24"/>
      <w:szCs w:val="24"/>
    </w:rPr>
  </w:style>
  <w:style w:type="paragraph" w:styleId="Caption">
    <w:name w:val="caption"/>
    <w:basedOn w:val="Normal"/>
    <w:next w:val="Normal"/>
    <w:uiPriority w:val="35"/>
    <w:unhideWhenUsed/>
    <w:qFormat/>
    <w:pPr>
      <w:spacing w:before="0" w:after="200" w:line="240" w:lineRule="auto"/>
    </w:pPr>
    <w:rPr>
      <w:b/>
      <w:bCs/>
      <w:color w:val="4F81BD" w:themeColor="accent1"/>
      <w:sz w:val="18"/>
      <w:szCs w:val="18"/>
    </w:rPr>
  </w:style>
  <w:style w:type="character" w:styleId="Hyperlink">
    <w:name w:val="Hyperlink"/>
    <w:basedOn w:val="DefaultParagraphFont"/>
    <w:uiPriority w:val="99"/>
    <w:unhideWhenUsed/>
    <w:rPr>
      <w:color w:val="0000FF" w:themeColor="hyperlink"/>
      <w:u w:val="single"/>
    </w:rPr>
  </w:style>
  <w:style w:type="table" w:styleId="LightShading-Accent5">
    <w:name w:val="Light Shading Accent 5"/>
    <w:basedOn w:val="TableNormal"/>
    <w:uiPriority w:val="60"/>
    <w:pPr>
      <w:spacing w:after="0" w:line="240" w:lineRule="auto"/>
    </w:pPr>
    <w:rPr>
      <w:rFonts w:eastAsiaTheme="minorHAnsi"/>
      <w:color w:val="31849B" w:themeColor="accent5" w:themeShade="BF"/>
      <w:lang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djustRightInd w:val="0"/>
      <w:spacing w:before="80" w:after="80" w:line="360" w:lineRule="auto"/>
      <w:ind w:left="454" w:right="454"/>
      <w:jc w:val="both"/>
    </w:pPr>
    <w:rPr>
      <w:rFonts w:ascii="Times New Roman" w:hAnsi="Times New Roman"/>
      <w:sz w:val="24"/>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Cs/>
      <w:sz w:val="28"/>
      <w:szCs w:val="28"/>
    </w:rPr>
  </w:style>
  <w:style w:type="paragraph" w:styleId="Heading2">
    <w:name w:val="heading 2"/>
    <w:basedOn w:val="Normal"/>
    <w:next w:val="Normal"/>
    <w:link w:val="Heading2Char"/>
    <w:uiPriority w:val="9"/>
    <w:unhideWhenUsed/>
    <w:qFormat/>
    <w:pPr>
      <w:keepNext/>
      <w:keepLines/>
      <w:spacing w:before="200" w:after="0"/>
      <w:jc w:val="left"/>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after="300" w:line="240" w:lineRule="auto"/>
      <w:contextualSpacing/>
      <w:jc w:val="center"/>
    </w:pPr>
    <w:rPr>
      <w:rFonts w:eastAsiaTheme="majorEastAsia" w:cstheme="majorBidi"/>
      <w:spacing w:val="5"/>
      <w:kern w:val="28"/>
      <w:sz w:val="36"/>
      <w:szCs w:val="52"/>
    </w:rPr>
  </w:style>
  <w:style w:type="character" w:customStyle="1" w:styleId="TitleChar">
    <w:name w:val="Title Char"/>
    <w:basedOn w:val="DefaultParagraphFont"/>
    <w:link w:val="Title"/>
    <w:uiPriority w:val="10"/>
    <w:rPr>
      <w:rFonts w:ascii="Times New Roman" w:eastAsiaTheme="majorEastAsia" w:hAnsi="Times New Roman" w:cstheme="majorBidi"/>
      <w:spacing w:val="5"/>
      <w:kern w:val="28"/>
      <w:sz w:val="36"/>
      <w:szCs w:val="52"/>
    </w:rPr>
  </w:style>
  <w:style w:type="character" w:customStyle="1" w:styleId="Heading1Char">
    <w:name w:val="Heading 1 Char"/>
    <w:basedOn w:val="DefaultParagraphFont"/>
    <w:link w:val="Heading1"/>
    <w:uiPriority w:val="9"/>
    <w:rPr>
      <w:rFonts w:asciiTheme="majorHAnsi" w:eastAsiaTheme="majorEastAsia" w:hAnsiTheme="majorHAnsi" w:cstheme="majorBidi"/>
      <w:bCs/>
      <w:sz w:val="28"/>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24"/>
      <w:szCs w:val="26"/>
    </w:rPr>
  </w:style>
  <w:style w:type="paragraph" w:styleId="Subtitle">
    <w:name w:val="Subtitle"/>
    <w:basedOn w:val="Normal"/>
    <w:next w:val="Normal"/>
    <w:link w:val="SubtitleChar"/>
    <w:uiPriority w:val="11"/>
    <w:qFormat/>
    <w:pPr>
      <w:numPr>
        <w:ilvl w:val="1"/>
      </w:numPr>
      <w:ind w:left="454"/>
    </w:pPr>
    <w:rPr>
      <w:rFonts w:eastAsiaTheme="majorEastAsia" w:cstheme="majorBidi"/>
      <w:iCs/>
      <w:spacing w:val="15"/>
      <w:szCs w:val="24"/>
    </w:rPr>
  </w:style>
  <w:style w:type="character" w:customStyle="1" w:styleId="SubtitleChar">
    <w:name w:val="Subtitle Char"/>
    <w:basedOn w:val="DefaultParagraphFont"/>
    <w:link w:val="Subtitle"/>
    <w:uiPriority w:val="11"/>
    <w:rPr>
      <w:rFonts w:ascii="Times New Roman" w:eastAsiaTheme="majorEastAsia" w:hAnsi="Times New Roman" w:cstheme="majorBidi"/>
      <w:iCs/>
      <w:spacing w:val="15"/>
      <w:sz w:val="24"/>
      <w:szCs w:val="24"/>
    </w:rPr>
  </w:style>
  <w:style w:type="paragraph" w:styleId="Caption">
    <w:name w:val="caption"/>
    <w:basedOn w:val="Normal"/>
    <w:next w:val="Normal"/>
    <w:uiPriority w:val="35"/>
    <w:unhideWhenUsed/>
    <w:qFormat/>
    <w:pPr>
      <w:spacing w:before="0" w:after="200" w:line="240" w:lineRule="auto"/>
    </w:pPr>
    <w:rPr>
      <w:b/>
      <w:bCs/>
      <w:color w:val="4F81BD" w:themeColor="accent1"/>
      <w:sz w:val="18"/>
      <w:szCs w:val="18"/>
    </w:rPr>
  </w:style>
  <w:style w:type="character" w:styleId="Hyperlink">
    <w:name w:val="Hyperlink"/>
    <w:basedOn w:val="DefaultParagraphFont"/>
    <w:uiPriority w:val="99"/>
    <w:unhideWhenUsed/>
    <w:rPr>
      <w:color w:val="0000FF" w:themeColor="hyperlink"/>
      <w:u w:val="single"/>
    </w:rPr>
  </w:style>
  <w:style w:type="table" w:styleId="LightShading-Accent5">
    <w:name w:val="Light Shading Accent 5"/>
    <w:basedOn w:val="TableNormal"/>
    <w:uiPriority w:val="60"/>
    <w:pPr>
      <w:spacing w:after="0" w:line="240" w:lineRule="auto"/>
    </w:pPr>
    <w:rPr>
      <w:rFonts w:eastAsiaTheme="minorHAnsi"/>
      <w:color w:val="31849B" w:themeColor="accent5" w:themeShade="BF"/>
      <w:lang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6903">
      <w:bodyDiv w:val="1"/>
      <w:marLeft w:val="0"/>
      <w:marRight w:val="0"/>
      <w:marTop w:val="0"/>
      <w:marBottom w:val="0"/>
      <w:divBdr>
        <w:top w:val="none" w:sz="0" w:space="0" w:color="auto"/>
        <w:left w:val="none" w:sz="0" w:space="0" w:color="auto"/>
        <w:bottom w:val="none" w:sz="0" w:space="0" w:color="auto"/>
        <w:right w:val="none" w:sz="0" w:space="0" w:color="auto"/>
      </w:divBdr>
    </w:div>
    <w:div w:id="309484824">
      <w:bodyDiv w:val="1"/>
      <w:marLeft w:val="0"/>
      <w:marRight w:val="0"/>
      <w:marTop w:val="0"/>
      <w:marBottom w:val="0"/>
      <w:divBdr>
        <w:top w:val="none" w:sz="0" w:space="0" w:color="auto"/>
        <w:left w:val="none" w:sz="0" w:space="0" w:color="auto"/>
        <w:bottom w:val="none" w:sz="0" w:space="0" w:color="auto"/>
        <w:right w:val="none" w:sz="0" w:space="0" w:color="auto"/>
      </w:divBdr>
    </w:div>
    <w:div w:id="389422136">
      <w:bodyDiv w:val="1"/>
      <w:marLeft w:val="0"/>
      <w:marRight w:val="0"/>
      <w:marTop w:val="0"/>
      <w:marBottom w:val="0"/>
      <w:divBdr>
        <w:top w:val="none" w:sz="0" w:space="0" w:color="auto"/>
        <w:left w:val="none" w:sz="0" w:space="0" w:color="auto"/>
        <w:bottom w:val="none" w:sz="0" w:space="0" w:color="auto"/>
        <w:right w:val="none" w:sz="0" w:space="0" w:color="auto"/>
      </w:divBdr>
    </w:div>
    <w:div w:id="964893516">
      <w:bodyDiv w:val="1"/>
      <w:marLeft w:val="0"/>
      <w:marRight w:val="0"/>
      <w:marTop w:val="0"/>
      <w:marBottom w:val="0"/>
      <w:divBdr>
        <w:top w:val="none" w:sz="0" w:space="0" w:color="auto"/>
        <w:left w:val="none" w:sz="0" w:space="0" w:color="auto"/>
        <w:bottom w:val="none" w:sz="0" w:space="0" w:color="auto"/>
        <w:right w:val="none" w:sz="0" w:space="0" w:color="auto"/>
      </w:divBdr>
    </w:div>
    <w:div w:id="1166214270">
      <w:bodyDiv w:val="1"/>
      <w:marLeft w:val="0"/>
      <w:marRight w:val="0"/>
      <w:marTop w:val="0"/>
      <w:marBottom w:val="0"/>
      <w:divBdr>
        <w:top w:val="none" w:sz="0" w:space="0" w:color="auto"/>
        <w:left w:val="none" w:sz="0" w:space="0" w:color="auto"/>
        <w:bottom w:val="none" w:sz="0" w:space="0" w:color="auto"/>
        <w:right w:val="none" w:sz="0" w:space="0" w:color="auto"/>
      </w:divBdr>
    </w:div>
    <w:div w:id="1222401267">
      <w:bodyDiv w:val="1"/>
      <w:marLeft w:val="0"/>
      <w:marRight w:val="0"/>
      <w:marTop w:val="0"/>
      <w:marBottom w:val="0"/>
      <w:divBdr>
        <w:top w:val="none" w:sz="0" w:space="0" w:color="auto"/>
        <w:left w:val="none" w:sz="0" w:space="0" w:color="auto"/>
        <w:bottom w:val="none" w:sz="0" w:space="0" w:color="auto"/>
        <w:right w:val="none" w:sz="0" w:space="0" w:color="auto"/>
      </w:divBdr>
    </w:div>
    <w:div w:id="1322386203">
      <w:bodyDiv w:val="1"/>
      <w:marLeft w:val="0"/>
      <w:marRight w:val="0"/>
      <w:marTop w:val="0"/>
      <w:marBottom w:val="0"/>
      <w:divBdr>
        <w:top w:val="none" w:sz="0" w:space="0" w:color="auto"/>
        <w:left w:val="none" w:sz="0" w:space="0" w:color="auto"/>
        <w:bottom w:val="none" w:sz="0" w:space="0" w:color="auto"/>
        <w:right w:val="none" w:sz="0" w:space="0" w:color="auto"/>
      </w:divBdr>
    </w:div>
    <w:div w:id="1793015587">
      <w:bodyDiv w:val="1"/>
      <w:marLeft w:val="0"/>
      <w:marRight w:val="0"/>
      <w:marTop w:val="0"/>
      <w:marBottom w:val="0"/>
      <w:divBdr>
        <w:top w:val="none" w:sz="0" w:space="0" w:color="auto"/>
        <w:left w:val="none" w:sz="0" w:space="0" w:color="auto"/>
        <w:bottom w:val="none" w:sz="0" w:space="0" w:color="auto"/>
        <w:right w:val="none" w:sz="0" w:space="0" w:color="auto"/>
      </w:divBdr>
    </w:div>
    <w:div w:id="1805196046">
      <w:bodyDiv w:val="1"/>
      <w:marLeft w:val="0"/>
      <w:marRight w:val="0"/>
      <w:marTop w:val="0"/>
      <w:marBottom w:val="0"/>
      <w:divBdr>
        <w:top w:val="none" w:sz="0" w:space="0" w:color="auto"/>
        <w:left w:val="none" w:sz="0" w:space="0" w:color="auto"/>
        <w:bottom w:val="none" w:sz="0" w:space="0" w:color="auto"/>
        <w:right w:val="none" w:sz="0" w:space="0" w:color="auto"/>
      </w:divBdr>
    </w:div>
    <w:div w:id="1853371555">
      <w:bodyDiv w:val="1"/>
      <w:marLeft w:val="0"/>
      <w:marRight w:val="0"/>
      <w:marTop w:val="0"/>
      <w:marBottom w:val="0"/>
      <w:divBdr>
        <w:top w:val="none" w:sz="0" w:space="0" w:color="auto"/>
        <w:left w:val="none" w:sz="0" w:space="0" w:color="auto"/>
        <w:bottom w:val="none" w:sz="0" w:space="0" w:color="auto"/>
        <w:right w:val="none" w:sz="0" w:space="0" w:color="auto"/>
      </w:divBdr>
    </w:div>
    <w:div w:id="1912424698">
      <w:bodyDiv w:val="1"/>
      <w:marLeft w:val="0"/>
      <w:marRight w:val="0"/>
      <w:marTop w:val="0"/>
      <w:marBottom w:val="0"/>
      <w:divBdr>
        <w:top w:val="none" w:sz="0" w:space="0" w:color="auto"/>
        <w:left w:val="none" w:sz="0" w:space="0" w:color="auto"/>
        <w:bottom w:val="none" w:sz="0" w:space="0" w:color="auto"/>
        <w:right w:val="none" w:sz="0" w:space="0" w:color="auto"/>
      </w:divBdr>
    </w:div>
    <w:div w:id="211347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Gamma_commissioning_autoEPIDV5.doc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E266856AB764D17A7652A5307603A9F"/>
        <w:category>
          <w:name w:val="General"/>
          <w:gallery w:val="placeholder"/>
        </w:category>
        <w:types>
          <w:type w:val="bbPlcHdr"/>
        </w:types>
        <w:behaviors>
          <w:behavior w:val="content"/>
        </w:behaviors>
        <w:guid w:val="{2805A650-81C7-40BB-A04A-023BE118A9E1}"/>
      </w:docPartPr>
      <w:docPartBody>
        <w:p>
          <w:pPr>
            <w:pStyle w:val="8E266856AB764D17A7652A5307603A9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DB77D7EC744303B0CCE309674F1C21">
    <w:name w:val="C2DB77D7EC744303B0CCE309674F1C21"/>
  </w:style>
  <w:style w:type="paragraph" w:customStyle="1" w:styleId="B1078A5930CB42088AA7F8ABEBB387C0">
    <w:name w:val="B1078A5930CB42088AA7F8ABEBB387C0"/>
  </w:style>
  <w:style w:type="paragraph" w:customStyle="1" w:styleId="03C3C032AF654710AB29C42F22317C29">
    <w:name w:val="03C3C032AF654710AB29C42F22317C29"/>
  </w:style>
  <w:style w:type="paragraph" w:customStyle="1" w:styleId="F3E54A44306E4E78A8660024EB8013E8">
    <w:name w:val="F3E54A44306E4E78A8660024EB8013E8"/>
  </w:style>
  <w:style w:type="paragraph" w:customStyle="1" w:styleId="2152DB23EEF24028B7AC278F71339D70">
    <w:name w:val="2152DB23EEF24028B7AC278F71339D70"/>
  </w:style>
  <w:style w:type="paragraph" w:customStyle="1" w:styleId="B9EF4E16C91445478AD2148FD310D233">
    <w:name w:val="B9EF4E16C91445478AD2148FD310D233"/>
  </w:style>
  <w:style w:type="paragraph" w:customStyle="1" w:styleId="25D5EC7E515945B3ADA655B8219B85CF">
    <w:name w:val="25D5EC7E515945B3ADA655B8219B85CF"/>
  </w:style>
  <w:style w:type="paragraph" w:customStyle="1" w:styleId="4452EAFF0DE64F7B9EAE3AA3ACA80ABF">
    <w:name w:val="4452EAFF0DE64F7B9EAE3AA3ACA80ABF"/>
  </w:style>
  <w:style w:type="paragraph" w:customStyle="1" w:styleId="2EE02F17A5D942A6BD61C2FBEEB6DEDA">
    <w:name w:val="2EE02F17A5D942A6BD61C2FBEEB6DEDA"/>
  </w:style>
  <w:style w:type="paragraph" w:customStyle="1" w:styleId="527097750A584B6CBEAD3F0365E33E7A">
    <w:name w:val="527097750A584B6CBEAD3F0365E33E7A"/>
  </w:style>
  <w:style w:type="paragraph" w:customStyle="1" w:styleId="8E266856AB764D17A7652A5307603A9F">
    <w:name w:val="8E266856AB764D17A7652A5307603A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DB77D7EC744303B0CCE309674F1C21">
    <w:name w:val="C2DB77D7EC744303B0CCE309674F1C21"/>
  </w:style>
  <w:style w:type="paragraph" w:customStyle="1" w:styleId="B1078A5930CB42088AA7F8ABEBB387C0">
    <w:name w:val="B1078A5930CB42088AA7F8ABEBB387C0"/>
  </w:style>
  <w:style w:type="paragraph" w:customStyle="1" w:styleId="03C3C032AF654710AB29C42F22317C29">
    <w:name w:val="03C3C032AF654710AB29C42F22317C29"/>
  </w:style>
  <w:style w:type="paragraph" w:customStyle="1" w:styleId="F3E54A44306E4E78A8660024EB8013E8">
    <w:name w:val="F3E54A44306E4E78A8660024EB8013E8"/>
  </w:style>
  <w:style w:type="paragraph" w:customStyle="1" w:styleId="2152DB23EEF24028B7AC278F71339D70">
    <w:name w:val="2152DB23EEF24028B7AC278F71339D70"/>
  </w:style>
  <w:style w:type="paragraph" w:customStyle="1" w:styleId="B9EF4E16C91445478AD2148FD310D233">
    <w:name w:val="B9EF4E16C91445478AD2148FD310D233"/>
  </w:style>
  <w:style w:type="paragraph" w:customStyle="1" w:styleId="25D5EC7E515945B3ADA655B8219B85CF">
    <w:name w:val="25D5EC7E515945B3ADA655B8219B85CF"/>
  </w:style>
  <w:style w:type="paragraph" w:customStyle="1" w:styleId="4452EAFF0DE64F7B9EAE3AA3ACA80ABF">
    <w:name w:val="4452EAFF0DE64F7B9EAE3AA3ACA80ABF"/>
  </w:style>
  <w:style w:type="paragraph" w:customStyle="1" w:styleId="2EE02F17A5D942A6BD61C2FBEEB6DEDA">
    <w:name w:val="2EE02F17A5D942A6BD61C2FBEEB6DEDA"/>
  </w:style>
  <w:style w:type="paragraph" w:customStyle="1" w:styleId="527097750A584B6CBEAD3F0365E33E7A">
    <w:name w:val="527097750A584B6CBEAD3F0365E33E7A"/>
  </w:style>
  <w:style w:type="paragraph" w:customStyle="1" w:styleId="8E266856AB764D17A7652A5307603A9F">
    <w:name w:val="8E266856AB764D17A7652A5307603A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448EF1-AD83-4E05-BB19-1BEFB9E48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12</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Gamma commissioning report for AutoEPIDV5                                                 Created by AX, AG and PV on 10/12/2018  Version 1.</vt:lpstr>
    </vt:vector>
  </TitlesOfParts>
  <Company>SLHN &amp; SWSLHN</Company>
  <LinksUpToDate>false</LinksUpToDate>
  <CharactersWithSpaces>4425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Gamma commissioning report for AutoEPIDV5                                                 Created by AX, AG and PV on 10/12/2018  Version 1.</dc:title>
  <dc:creator>Aitang Xing</dc:creator>
  <cp:lastModifiedBy>Aitang Xing</cp:lastModifiedBy>
  <cp:revision>112</cp:revision>
  <cp:lastPrinted>2018-12-11T04:11:00Z</cp:lastPrinted>
  <dcterms:created xsi:type="dcterms:W3CDTF">2018-08-23T04:58:00Z</dcterms:created>
  <dcterms:modified xsi:type="dcterms:W3CDTF">2018-12-11T04:12:00Z</dcterms:modified>
</cp:coreProperties>
</file>