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sz w:val="28"/>
        </w:rPr>
        <w:t>Universitatea ...</w:t>
        <w:br/>
        <w:t>Facultatea ...</w:t>
        <w:br/>
        <w:br/>
        <w:br/>
        <w:br/>
      </w:r>
      <w:r>
        <w:rPr>
          <w:rFonts w:ascii="Times New Roman" w:hAnsi="Times New Roman" w:eastAsia="Times New Roman"/>
          <w:b/>
          <w:sz w:val="48"/>
        </w:rPr>
        <w:t>PROIECT DE DIPLOMĂ</w:t>
        <w:br/>
      </w:r>
      <w:r>
        <w:rPr>
          <w:rFonts w:ascii="Times New Roman" w:hAnsi="Times New Roman" w:eastAsia="Times New Roman"/>
          <w:b/>
          <w:sz w:val="36"/>
        </w:rPr>
        <w:br/>
        <w:t>Designul și Implementarea unei Arhitecturi Software Distribuite pentru un Marketplace B2B Agricol</w:t>
        <w:br/>
        <w:br/>
        <w:br/>
      </w:r>
      <w:r>
        <w:rPr>
          <w:rFonts w:ascii="Times New Roman" w:hAnsi="Times New Roman" w:eastAsia="Times New Roman"/>
          <w:sz w:val="28"/>
        </w:rPr>
        <w:t>Absolvent: ...</w:t>
        <w:br/>
        <w:t>Coordonator: ...</w:t>
        <w:br/>
        <w:br/>
        <w:br/>
        <w:t>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CUPRINS</w:t>
      </w:r>
    </w:p>
    <w:p>
      <w:r>
        <w:rPr>
          <w:rFonts w:ascii="Times New Roman" w:hAnsi="Times New Roman" w:eastAsia="Times New Roman"/>
          <w:i/>
          <w:sz w:val="24"/>
        </w:rPr>
        <w:t>[Aici se va genera automat cuprinsul în Microsoft Word]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LISTA DE ACRONIME</w:t>
      </w:r>
    </w:p>
    <w:p>
      <w:r>
        <w:rPr>
          <w:rFonts w:ascii="Times New Roman" w:hAnsi="Times New Roman" w:eastAsia="Times New Roman"/>
          <w:b/>
          <w:sz w:val="24"/>
        </w:rPr>
        <w:t>API</w:t>
      </w:r>
      <w:r>
        <w:rPr>
          <w:rFonts w:ascii="Times New Roman" w:hAnsi="Times New Roman" w:eastAsia="Times New Roman"/>
          <w:sz w:val="24"/>
        </w:rPr>
        <w:t xml:space="preserve"> – Application Programming Interface</w:t>
      </w:r>
    </w:p>
    <w:p>
      <w:r>
        <w:rPr>
          <w:rFonts w:ascii="Times New Roman" w:hAnsi="Times New Roman" w:eastAsia="Times New Roman"/>
          <w:b/>
          <w:sz w:val="24"/>
        </w:rPr>
        <w:t>B2B</w:t>
      </w:r>
      <w:r>
        <w:rPr>
          <w:rFonts w:ascii="Times New Roman" w:hAnsi="Times New Roman" w:eastAsia="Times New Roman"/>
          <w:sz w:val="24"/>
        </w:rPr>
        <w:t xml:space="preserve"> – Business-to-Business</w:t>
      </w:r>
    </w:p>
    <w:p>
      <w:r>
        <w:rPr>
          <w:rFonts w:ascii="Times New Roman" w:hAnsi="Times New Roman" w:eastAsia="Times New Roman"/>
          <w:b/>
          <w:sz w:val="24"/>
        </w:rPr>
        <w:t>CORS</w:t>
      </w:r>
      <w:r>
        <w:rPr>
          <w:rFonts w:ascii="Times New Roman" w:hAnsi="Times New Roman" w:eastAsia="Times New Roman"/>
          <w:sz w:val="24"/>
        </w:rPr>
        <w:t xml:space="preserve"> – Cross-Origin Resource Sharing</w:t>
      </w:r>
    </w:p>
    <w:p>
      <w:r>
        <w:rPr>
          <w:rFonts w:ascii="Times New Roman" w:hAnsi="Times New Roman" w:eastAsia="Times New Roman"/>
          <w:b/>
          <w:sz w:val="24"/>
        </w:rPr>
        <w:t>DAC7</w:t>
      </w:r>
      <w:r>
        <w:rPr>
          <w:rFonts w:ascii="Times New Roman" w:hAnsi="Times New Roman" w:eastAsia="Times New Roman"/>
          <w:sz w:val="24"/>
        </w:rPr>
        <w:t xml:space="preserve"> – Directiva (UE) 2021/514 privind cooperarea administrativă în domeniul fiscal</w:t>
      </w:r>
    </w:p>
    <w:p>
      <w:r>
        <w:rPr>
          <w:rFonts w:ascii="Times New Roman" w:hAnsi="Times New Roman" w:eastAsia="Times New Roman"/>
          <w:b/>
          <w:sz w:val="24"/>
        </w:rPr>
        <w:t>DDD</w:t>
      </w:r>
      <w:r>
        <w:rPr>
          <w:rFonts w:ascii="Times New Roman" w:hAnsi="Times New Roman" w:eastAsia="Times New Roman"/>
          <w:sz w:val="24"/>
        </w:rPr>
        <w:t xml:space="preserve"> – Domain-Driven Design</w:t>
      </w:r>
    </w:p>
    <w:p>
      <w:r>
        <w:rPr>
          <w:rFonts w:ascii="Times New Roman" w:hAnsi="Times New Roman" w:eastAsia="Times New Roman"/>
          <w:b/>
          <w:sz w:val="24"/>
        </w:rPr>
        <w:t>ESBuild</w:t>
      </w:r>
      <w:r>
        <w:rPr>
          <w:rFonts w:ascii="Times New Roman" w:hAnsi="Times New Roman" w:eastAsia="Times New Roman"/>
          <w:sz w:val="24"/>
        </w:rPr>
        <w:t xml:space="preserve"> – Extremely Fast JavaScript Bundler</w:t>
      </w:r>
    </w:p>
    <w:p>
      <w:r>
        <w:rPr>
          <w:rFonts w:ascii="Times New Roman" w:hAnsi="Times New Roman" w:eastAsia="Times New Roman"/>
          <w:b/>
          <w:sz w:val="24"/>
        </w:rPr>
        <w:t>GDPR</w:t>
      </w:r>
      <w:r>
        <w:rPr>
          <w:rFonts w:ascii="Times New Roman" w:hAnsi="Times New Roman" w:eastAsia="Times New Roman"/>
          <w:sz w:val="24"/>
        </w:rPr>
        <w:t xml:space="preserve"> – General Data Protection Regulation</w:t>
      </w:r>
    </w:p>
    <w:p>
      <w:r>
        <w:rPr>
          <w:rFonts w:ascii="Times New Roman" w:hAnsi="Times New Roman" w:eastAsia="Times New Roman"/>
          <w:b/>
          <w:sz w:val="24"/>
        </w:rPr>
        <w:t>GIN</w:t>
      </w:r>
      <w:r>
        <w:rPr>
          <w:rFonts w:ascii="Times New Roman" w:hAnsi="Times New Roman" w:eastAsia="Times New Roman"/>
          <w:sz w:val="24"/>
        </w:rPr>
        <w:t xml:space="preserve"> – Generalized Inverted Index (PostgreSQL)</w:t>
      </w:r>
    </w:p>
    <w:p>
      <w:r>
        <w:rPr>
          <w:rFonts w:ascii="Times New Roman" w:hAnsi="Times New Roman" w:eastAsia="Times New Roman"/>
          <w:b/>
          <w:sz w:val="24"/>
        </w:rPr>
        <w:t>HMR</w:t>
      </w:r>
      <w:r>
        <w:rPr>
          <w:rFonts w:ascii="Times New Roman" w:hAnsi="Times New Roman" w:eastAsia="Times New Roman"/>
          <w:sz w:val="24"/>
        </w:rPr>
        <w:t xml:space="preserve"> – Hot Module Replacement</w:t>
      </w:r>
    </w:p>
    <w:p>
      <w:r>
        <w:rPr>
          <w:rFonts w:ascii="Times New Roman" w:hAnsi="Times New Roman" w:eastAsia="Times New Roman"/>
          <w:b/>
          <w:sz w:val="24"/>
        </w:rPr>
        <w:t>IAM</w:t>
      </w:r>
      <w:r>
        <w:rPr>
          <w:rFonts w:ascii="Times New Roman" w:hAnsi="Times New Roman" w:eastAsia="Times New Roman"/>
          <w:sz w:val="24"/>
        </w:rPr>
        <w:t xml:space="preserve"> – Identity and Access Management</w:t>
      </w:r>
    </w:p>
    <w:p>
      <w:r>
        <w:rPr>
          <w:rFonts w:ascii="Times New Roman" w:hAnsi="Times New Roman" w:eastAsia="Times New Roman"/>
          <w:b/>
          <w:sz w:val="24"/>
        </w:rPr>
        <w:t>JSONB</w:t>
      </w:r>
      <w:r>
        <w:rPr>
          <w:rFonts w:ascii="Times New Roman" w:hAnsi="Times New Roman" w:eastAsia="Times New Roman"/>
          <w:sz w:val="24"/>
        </w:rPr>
        <w:t xml:space="preserve"> – JavaScript Object Notation - Binary</w:t>
      </w:r>
    </w:p>
    <w:p>
      <w:r>
        <w:rPr>
          <w:rFonts w:ascii="Times New Roman" w:hAnsi="Times New Roman" w:eastAsia="Times New Roman"/>
          <w:b/>
          <w:sz w:val="24"/>
        </w:rPr>
        <w:t>JWT</w:t>
      </w:r>
      <w:r>
        <w:rPr>
          <w:rFonts w:ascii="Times New Roman" w:hAnsi="Times New Roman" w:eastAsia="Times New Roman"/>
          <w:sz w:val="24"/>
        </w:rPr>
        <w:t xml:space="preserve"> – JSON Web Token</w:t>
      </w:r>
    </w:p>
    <w:p>
      <w:r>
        <w:rPr>
          <w:rFonts w:ascii="Times New Roman" w:hAnsi="Times New Roman" w:eastAsia="Times New Roman"/>
          <w:b/>
          <w:sz w:val="24"/>
        </w:rPr>
        <w:t>KYC</w:t>
      </w:r>
      <w:r>
        <w:rPr>
          <w:rFonts w:ascii="Times New Roman" w:hAnsi="Times New Roman" w:eastAsia="Times New Roman"/>
          <w:sz w:val="24"/>
        </w:rPr>
        <w:t xml:space="preserve"> – Know Your Customer</w:t>
      </w:r>
    </w:p>
    <w:p>
      <w:r>
        <w:rPr>
          <w:rFonts w:ascii="Times New Roman" w:hAnsi="Times New Roman" w:eastAsia="Times New Roman"/>
          <w:b/>
          <w:sz w:val="24"/>
        </w:rPr>
        <w:t>ORM</w:t>
      </w:r>
      <w:r>
        <w:rPr>
          <w:rFonts w:ascii="Times New Roman" w:hAnsi="Times New Roman" w:eastAsia="Times New Roman"/>
          <w:sz w:val="24"/>
        </w:rPr>
        <w:t xml:space="preserve"> – Object-Relational Mapping</w:t>
      </w:r>
    </w:p>
    <w:p>
      <w:r>
        <w:rPr>
          <w:rFonts w:ascii="Times New Roman" w:hAnsi="Times New Roman" w:eastAsia="Times New Roman"/>
          <w:b/>
          <w:sz w:val="24"/>
        </w:rPr>
        <w:t>OSRM</w:t>
      </w:r>
      <w:r>
        <w:rPr>
          <w:rFonts w:ascii="Times New Roman" w:hAnsi="Times New Roman" w:eastAsia="Times New Roman"/>
          <w:sz w:val="24"/>
        </w:rPr>
        <w:t xml:space="preserve"> – Open Source Routing Machine</w:t>
      </w:r>
    </w:p>
    <w:p>
      <w:r>
        <w:rPr>
          <w:rFonts w:ascii="Times New Roman" w:hAnsi="Times New Roman" w:eastAsia="Times New Roman"/>
          <w:b/>
          <w:sz w:val="24"/>
        </w:rPr>
        <w:t>PDF</w:t>
      </w:r>
      <w:r>
        <w:rPr>
          <w:rFonts w:ascii="Times New Roman" w:hAnsi="Times New Roman" w:eastAsia="Times New Roman"/>
          <w:sz w:val="24"/>
        </w:rPr>
        <w:t xml:space="preserve"> – Portable Document Format</w:t>
      </w:r>
    </w:p>
    <w:p>
      <w:r>
        <w:rPr>
          <w:rFonts w:ascii="Times New Roman" w:hAnsi="Times New Roman" w:eastAsia="Times New Roman"/>
          <w:b/>
          <w:sz w:val="24"/>
        </w:rPr>
        <w:t>PSD2</w:t>
      </w:r>
      <w:r>
        <w:rPr>
          <w:rFonts w:ascii="Times New Roman" w:hAnsi="Times New Roman" w:eastAsia="Times New Roman"/>
          <w:sz w:val="24"/>
        </w:rPr>
        <w:t xml:space="preserve"> – Payment Services Directive 2</w:t>
      </w:r>
    </w:p>
    <w:p>
      <w:r>
        <w:rPr>
          <w:rFonts w:ascii="Times New Roman" w:hAnsi="Times New Roman" w:eastAsia="Times New Roman"/>
          <w:b/>
          <w:sz w:val="24"/>
        </w:rPr>
        <w:t>SPA</w:t>
      </w:r>
      <w:r>
        <w:rPr>
          <w:rFonts w:ascii="Times New Roman" w:hAnsi="Times New Roman" w:eastAsia="Times New Roman"/>
          <w:sz w:val="24"/>
        </w:rPr>
        <w:t xml:space="preserve"> – Single Page Application</w:t>
      </w:r>
    </w:p>
    <w:p>
      <w:r>
        <w:rPr>
          <w:rFonts w:ascii="Times New Roman" w:hAnsi="Times New Roman" w:eastAsia="Times New Roman"/>
          <w:b/>
          <w:sz w:val="24"/>
        </w:rPr>
        <w:t>SQL</w:t>
      </w:r>
      <w:r>
        <w:rPr>
          <w:rFonts w:ascii="Times New Roman" w:hAnsi="Times New Roman" w:eastAsia="Times New Roman"/>
          <w:sz w:val="24"/>
        </w:rPr>
        <w:t xml:space="preserve"> – Structured Query Language</w:t>
      </w:r>
    </w:p>
    <w:p>
      <w:r>
        <w:rPr>
          <w:rFonts w:ascii="Times New Roman" w:hAnsi="Times New Roman" w:eastAsia="Times New Roman"/>
          <w:b/>
          <w:sz w:val="24"/>
        </w:rPr>
        <w:t>UI</w:t>
      </w:r>
      <w:r>
        <w:rPr>
          <w:rFonts w:ascii="Times New Roman" w:hAnsi="Times New Roman" w:eastAsia="Times New Roman"/>
          <w:sz w:val="24"/>
        </w:rPr>
        <w:t xml:space="preserve"> – User Interface</w:t>
      </w:r>
    </w:p>
    <w:p>
      <w:r>
        <w:rPr>
          <w:rFonts w:ascii="Times New Roman" w:hAnsi="Times New Roman" w:eastAsia="Times New Roman"/>
          <w:b/>
          <w:sz w:val="24"/>
        </w:rPr>
        <w:t>UIT</w:t>
      </w:r>
      <w:r>
        <w:rPr>
          <w:rFonts w:ascii="Times New Roman" w:hAnsi="Times New Roman" w:eastAsia="Times New Roman"/>
          <w:sz w:val="24"/>
        </w:rPr>
        <w:t xml:space="preserve"> – Codul Unic de Identificare a Transportului (RO e-Transport)</w:t>
      </w:r>
    </w:p>
    <w:p>
      <w:r>
        <w:rPr>
          <w:rFonts w:ascii="Times New Roman" w:hAnsi="Times New Roman" w:eastAsia="Times New Roman"/>
          <w:b/>
          <w:sz w:val="24"/>
        </w:rPr>
        <w:t>UX</w:t>
      </w:r>
      <w:r>
        <w:rPr>
          <w:rFonts w:ascii="Times New Roman" w:hAnsi="Times New Roman" w:eastAsia="Times New Roman"/>
          <w:sz w:val="24"/>
        </w:rPr>
        <w:t xml:space="preserve"> – User Experience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LISTA DE FIGURI ȘI TABELE</w:t>
      </w:r>
    </w:p>
    <w:p>
      <w:r>
        <w:rPr>
          <w:rFonts w:ascii="Times New Roman" w:hAnsi="Times New Roman" w:eastAsia="Times New Roman"/>
          <w:i/>
          <w:sz w:val="24"/>
        </w:rPr>
        <w:t>[Aici se va genera automat lista figurilor]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