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sz w:val="28"/>
        </w:rPr>
        <w:t>Universitatea ...</w:t>
        <w:br/>
        <w:t>Facultatea ...</w:t>
        <w:br/>
        <w:br/>
        <w:br/>
        <w:br/>
      </w:r>
      <w:r>
        <w:rPr>
          <w:rFonts w:ascii="Times New Roman" w:hAnsi="Times New Roman" w:eastAsia="Times New Roman"/>
          <w:b/>
          <w:sz w:val="48"/>
        </w:rPr>
        <w:t>PROIECT DE DIPLOMĂ</w:t>
        <w:br/>
      </w:r>
      <w:r>
        <w:rPr>
          <w:rFonts w:ascii="Times New Roman" w:hAnsi="Times New Roman" w:eastAsia="Times New Roman"/>
          <w:b/>
          <w:sz w:val="36"/>
        </w:rPr>
        <w:br/>
        <w:t>Designul și Implementarea unei Arhitecturi Software Distribuite pentru un Marketplace B2B Agricol</w:t>
        <w:br/>
        <w:br/>
        <w:br/>
      </w:r>
      <w:r>
        <w:rPr>
          <w:rFonts w:ascii="Times New Roman" w:hAnsi="Times New Roman" w:eastAsia="Times New Roman"/>
          <w:sz w:val="28"/>
        </w:rPr>
        <w:t>Absolvent: ...</w:t>
        <w:br/>
        <w:t>Coordonator: ...</w:t>
        <w:br/>
        <w:br/>
        <w:br/>
        <w:t>2026</w:t>
      </w:r>
    </w:p>
    <w:p>
      <w:r>
        <w:br w:type="page"/>
      </w:r>
    </w:p>
    <w:p>
      <w:pPr>
        <w:pStyle w:val="Heading1"/>
      </w:pPr>
      <w:r>
        <w:rPr>
          <w:rFonts w:ascii="Times New Roman" w:hAnsi="Times New Roman" w:eastAsia="Times New Roman"/>
          <w:b/>
          <w:sz w:val="32"/>
        </w:rPr>
        <w:t>CUPRINS</w:t>
      </w:r>
    </w:p>
    <w:p>
      <w:r>
        <w:rPr>
          <w:rFonts w:ascii="Times New Roman" w:hAnsi="Times New Roman" w:eastAsia="Times New Roman"/>
          <w:i/>
          <w:sz w:val="24"/>
        </w:rPr>
        <w:t>[Aici se va genera automat cuprinsul în Microsoft Word]</w:t>
      </w:r>
    </w:p>
    <w:p>
      <w:r>
        <w:br w:type="page"/>
      </w:r>
    </w:p>
    <w:p>
      <w:pPr>
        <w:pStyle w:val="Heading1"/>
      </w:pPr>
      <w:r>
        <w:rPr>
          <w:rFonts w:ascii="Times New Roman" w:hAnsi="Times New Roman" w:eastAsia="Times New Roman"/>
          <w:b/>
          <w:sz w:val="32"/>
        </w:rPr>
        <w:t>LISTA DE ACRONIME</w:t>
      </w:r>
    </w:p>
    <w:p>
      <w:r>
        <w:rPr>
          <w:rFonts w:ascii="Times New Roman" w:hAnsi="Times New Roman" w:eastAsia="Times New Roman"/>
          <w:b/>
          <w:sz w:val="24"/>
        </w:rPr>
        <w:t>API</w:t>
      </w:r>
      <w:r>
        <w:rPr>
          <w:rFonts w:ascii="Times New Roman" w:hAnsi="Times New Roman" w:eastAsia="Times New Roman"/>
          <w:sz w:val="24"/>
        </w:rPr>
        <w:t xml:space="preserve"> – Application Programming Interface</w:t>
      </w:r>
    </w:p>
    <w:p>
      <w:r>
        <w:rPr>
          <w:rFonts w:ascii="Times New Roman" w:hAnsi="Times New Roman" w:eastAsia="Times New Roman"/>
          <w:b/>
          <w:sz w:val="24"/>
        </w:rPr>
        <w:t>B2B</w:t>
      </w:r>
      <w:r>
        <w:rPr>
          <w:rFonts w:ascii="Times New Roman" w:hAnsi="Times New Roman" w:eastAsia="Times New Roman"/>
          <w:sz w:val="24"/>
        </w:rPr>
        <w:t xml:space="preserve"> – Business-to-Business</w:t>
      </w:r>
    </w:p>
    <w:p>
      <w:r>
        <w:rPr>
          <w:rFonts w:ascii="Times New Roman" w:hAnsi="Times New Roman" w:eastAsia="Times New Roman"/>
          <w:b/>
          <w:sz w:val="24"/>
        </w:rPr>
        <w:t>CORS</w:t>
      </w:r>
      <w:r>
        <w:rPr>
          <w:rFonts w:ascii="Times New Roman" w:hAnsi="Times New Roman" w:eastAsia="Times New Roman"/>
          <w:sz w:val="24"/>
        </w:rPr>
        <w:t xml:space="preserve"> – Cross-Origin Resource Sharing</w:t>
      </w:r>
    </w:p>
    <w:p>
      <w:r>
        <w:rPr>
          <w:rFonts w:ascii="Times New Roman" w:hAnsi="Times New Roman" w:eastAsia="Times New Roman"/>
          <w:b/>
          <w:sz w:val="24"/>
        </w:rPr>
        <w:t>DAC7</w:t>
      </w:r>
      <w:r>
        <w:rPr>
          <w:rFonts w:ascii="Times New Roman" w:hAnsi="Times New Roman" w:eastAsia="Times New Roman"/>
          <w:sz w:val="24"/>
        </w:rPr>
        <w:t xml:space="preserve"> – Directiva (UE) 2021/514 privind cooperarea administrativă în domeniul fiscal</w:t>
      </w:r>
    </w:p>
    <w:p>
      <w:r>
        <w:rPr>
          <w:rFonts w:ascii="Times New Roman" w:hAnsi="Times New Roman" w:eastAsia="Times New Roman"/>
          <w:b/>
          <w:sz w:val="24"/>
        </w:rPr>
        <w:t>DDD</w:t>
      </w:r>
      <w:r>
        <w:rPr>
          <w:rFonts w:ascii="Times New Roman" w:hAnsi="Times New Roman" w:eastAsia="Times New Roman"/>
          <w:sz w:val="24"/>
        </w:rPr>
        <w:t xml:space="preserve"> – Domain-Driven Design</w:t>
      </w:r>
    </w:p>
    <w:p>
      <w:r>
        <w:rPr>
          <w:rFonts w:ascii="Times New Roman" w:hAnsi="Times New Roman" w:eastAsia="Times New Roman"/>
          <w:b/>
          <w:sz w:val="24"/>
        </w:rPr>
        <w:t>ESBuild</w:t>
      </w:r>
      <w:r>
        <w:rPr>
          <w:rFonts w:ascii="Times New Roman" w:hAnsi="Times New Roman" w:eastAsia="Times New Roman"/>
          <w:sz w:val="24"/>
        </w:rPr>
        <w:t xml:space="preserve"> – Extremely Fast JavaScript Bundler</w:t>
      </w:r>
    </w:p>
    <w:p>
      <w:r>
        <w:rPr>
          <w:rFonts w:ascii="Times New Roman" w:hAnsi="Times New Roman" w:eastAsia="Times New Roman"/>
          <w:b/>
          <w:sz w:val="24"/>
        </w:rPr>
        <w:t>GDPR</w:t>
      </w:r>
      <w:r>
        <w:rPr>
          <w:rFonts w:ascii="Times New Roman" w:hAnsi="Times New Roman" w:eastAsia="Times New Roman"/>
          <w:sz w:val="24"/>
        </w:rPr>
        <w:t xml:space="preserve"> – General Data Protection Regulation</w:t>
      </w:r>
    </w:p>
    <w:p>
      <w:r>
        <w:rPr>
          <w:rFonts w:ascii="Times New Roman" w:hAnsi="Times New Roman" w:eastAsia="Times New Roman"/>
          <w:b/>
          <w:sz w:val="24"/>
        </w:rPr>
        <w:t>GIN</w:t>
      </w:r>
      <w:r>
        <w:rPr>
          <w:rFonts w:ascii="Times New Roman" w:hAnsi="Times New Roman" w:eastAsia="Times New Roman"/>
          <w:sz w:val="24"/>
        </w:rPr>
        <w:t xml:space="preserve"> – Generalized Inverted Index (PostgreSQL)</w:t>
      </w:r>
    </w:p>
    <w:p>
      <w:r>
        <w:rPr>
          <w:rFonts w:ascii="Times New Roman" w:hAnsi="Times New Roman" w:eastAsia="Times New Roman"/>
          <w:b/>
          <w:sz w:val="24"/>
        </w:rPr>
        <w:t>HMR</w:t>
      </w:r>
      <w:r>
        <w:rPr>
          <w:rFonts w:ascii="Times New Roman" w:hAnsi="Times New Roman" w:eastAsia="Times New Roman"/>
          <w:sz w:val="24"/>
        </w:rPr>
        <w:t xml:space="preserve"> – Hot Module Replacement</w:t>
      </w:r>
    </w:p>
    <w:p>
      <w:r>
        <w:rPr>
          <w:rFonts w:ascii="Times New Roman" w:hAnsi="Times New Roman" w:eastAsia="Times New Roman"/>
          <w:b/>
          <w:sz w:val="24"/>
        </w:rPr>
        <w:t>IAM</w:t>
      </w:r>
      <w:r>
        <w:rPr>
          <w:rFonts w:ascii="Times New Roman" w:hAnsi="Times New Roman" w:eastAsia="Times New Roman"/>
          <w:sz w:val="24"/>
        </w:rPr>
        <w:t xml:space="preserve"> – Identity and Access Management</w:t>
      </w:r>
    </w:p>
    <w:p>
      <w:r>
        <w:rPr>
          <w:rFonts w:ascii="Times New Roman" w:hAnsi="Times New Roman" w:eastAsia="Times New Roman"/>
          <w:b/>
          <w:sz w:val="24"/>
        </w:rPr>
        <w:t>JSONB</w:t>
      </w:r>
      <w:r>
        <w:rPr>
          <w:rFonts w:ascii="Times New Roman" w:hAnsi="Times New Roman" w:eastAsia="Times New Roman"/>
          <w:sz w:val="24"/>
        </w:rPr>
        <w:t xml:space="preserve"> – JavaScript Object Notation - Binary</w:t>
      </w:r>
    </w:p>
    <w:p>
      <w:r>
        <w:rPr>
          <w:rFonts w:ascii="Times New Roman" w:hAnsi="Times New Roman" w:eastAsia="Times New Roman"/>
          <w:b/>
          <w:sz w:val="24"/>
        </w:rPr>
        <w:t>JWT</w:t>
      </w:r>
      <w:r>
        <w:rPr>
          <w:rFonts w:ascii="Times New Roman" w:hAnsi="Times New Roman" w:eastAsia="Times New Roman"/>
          <w:sz w:val="24"/>
        </w:rPr>
        <w:t xml:space="preserve"> – JSON Web Token</w:t>
      </w:r>
    </w:p>
    <w:p>
      <w:r>
        <w:rPr>
          <w:rFonts w:ascii="Times New Roman" w:hAnsi="Times New Roman" w:eastAsia="Times New Roman"/>
          <w:b/>
          <w:sz w:val="24"/>
        </w:rPr>
        <w:t>KYC</w:t>
      </w:r>
      <w:r>
        <w:rPr>
          <w:rFonts w:ascii="Times New Roman" w:hAnsi="Times New Roman" w:eastAsia="Times New Roman"/>
          <w:sz w:val="24"/>
        </w:rPr>
        <w:t xml:space="preserve"> – Know Your Customer</w:t>
      </w:r>
    </w:p>
    <w:p>
      <w:r>
        <w:rPr>
          <w:rFonts w:ascii="Times New Roman" w:hAnsi="Times New Roman" w:eastAsia="Times New Roman"/>
          <w:b/>
          <w:sz w:val="24"/>
        </w:rPr>
        <w:t>ORM</w:t>
      </w:r>
      <w:r>
        <w:rPr>
          <w:rFonts w:ascii="Times New Roman" w:hAnsi="Times New Roman" w:eastAsia="Times New Roman"/>
          <w:sz w:val="24"/>
        </w:rPr>
        <w:t xml:space="preserve"> – Object-Relational Mapping</w:t>
      </w:r>
    </w:p>
    <w:p>
      <w:r>
        <w:rPr>
          <w:rFonts w:ascii="Times New Roman" w:hAnsi="Times New Roman" w:eastAsia="Times New Roman"/>
          <w:b/>
          <w:sz w:val="24"/>
        </w:rPr>
        <w:t>OSRM</w:t>
      </w:r>
      <w:r>
        <w:rPr>
          <w:rFonts w:ascii="Times New Roman" w:hAnsi="Times New Roman" w:eastAsia="Times New Roman"/>
          <w:sz w:val="24"/>
        </w:rPr>
        <w:t xml:space="preserve"> – Open Source Routing Machine</w:t>
      </w:r>
    </w:p>
    <w:p>
      <w:r>
        <w:rPr>
          <w:rFonts w:ascii="Times New Roman" w:hAnsi="Times New Roman" w:eastAsia="Times New Roman"/>
          <w:b/>
          <w:sz w:val="24"/>
        </w:rPr>
        <w:t>PDF</w:t>
      </w:r>
      <w:r>
        <w:rPr>
          <w:rFonts w:ascii="Times New Roman" w:hAnsi="Times New Roman" w:eastAsia="Times New Roman"/>
          <w:sz w:val="24"/>
        </w:rPr>
        <w:t xml:space="preserve"> – Portable Document Format</w:t>
      </w:r>
    </w:p>
    <w:p>
      <w:r>
        <w:rPr>
          <w:rFonts w:ascii="Times New Roman" w:hAnsi="Times New Roman" w:eastAsia="Times New Roman"/>
          <w:b/>
          <w:sz w:val="24"/>
        </w:rPr>
        <w:t>PSD2</w:t>
      </w:r>
      <w:r>
        <w:rPr>
          <w:rFonts w:ascii="Times New Roman" w:hAnsi="Times New Roman" w:eastAsia="Times New Roman"/>
          <w:sz w:val="24"/>
        </w:rPr>
        <w:t xml:space="preserve"> – Payment Services Directive 2</w:t>
      </w:r>
    </w:p>
    <w:p>
      <w:r>
        <w:rPr>
          <w:rFonts w:ascii="Times New Roman" w:hAnsi="Times New Roman" w:eastAsia="Times New Roman"/>
          <w:b/>
          <w:sz w:val="24"/>
        </w:rPr>
        <w:t>SPA</w:t>
      </w:r>
      <w:r>
        <w:rPr>
          <w:rFonts w:ascii="Times New Roman" w:hAnsi="Times New Roman" w:eastAsia="Times New Roman"/>
          <w:sz w:val="24"/>
        </w:rPr>
        <w:t xml:space="preserve"> – Single Page Application</w:t>
      </w:r>
    </w:p>
    <w:p>
      <w:r>
        <w:rPr>
          <w:rFonts w:ascii="Times New Roman" w:hAnsi="Times New Roman" w:eastAsia="Times New Roman"/>
          <w:b/>
          <w:sz w:val="24"/>
        </w:rPr>
        <w:t>SQL</w:t>
      </w:r>
      <w:r>
        <w:rPr>
          <w:rFonts w:ascii="Times New Roman" w:hAnsi="Times New Roman" w:eastAsia="Times New Roman"/>
          <w:sz w:val="24"/>
        </w:rPr>
        <w:t xml:space="preserve"> – Structured Query Language</w:t>
      </w:r>
    </w:p>
    <w:p>
      <w:r>
        <w:rPr>
          <w:rFonts w:ascii="Times New Roman" w:hAnsi="Times New Roman" w:eastAsia="Times New Roman"/>
          <w:b/>
          <w:sz w:val="24"/>
        </w:rPr>
        <w:t>UI</w:t>
      </w:r>
      <w:r>
        <w:rPr>
          <w:rFonts w:ascii="Times New Roman" w:hAnsi="Times New Roman" w:eastAsia="Times New Roman"/>
          <w:sz w:val="24"/>
        </w:rPr>
        <w:t xml:space="preserve"> – User Interface</w:t>
      </w:r>
    </w:p>
    <w:p>
      <w:r>
        <w:rPr>
          <w:rFonts w:ascii="Times New Roman" w:hAnsi="Times New Roman" w:eastAsia="Times New Roman"/>
          <w:b/>
          <w:sz w:val="24"/>
        </w:rPr>
        <w:t>UIT</w:t>
      </w:r>
      <w:r>
        <w:rPr>
          <w:rFonts w:ascii="Times New Roman" w:hAnsi="Times New Roman" w:eastAsia="Times New Roman"/>
          <w:sz w:val="24"/>
        </w:rPr>
        <w:t xml:space="preserve"> – Codul Unic de Identificare a Transportului (RO e-Transport)</w:t>
      </w:r>
    </w:p>
    <w:p>
      <w:r>
        <w:rPr>
          <w:rFonts w:ascii="Times New Roman" w:hAnsi="Times New Roman" w:eastAsia="Times New Roman"/>
          <w:b/>
          <w:sz w:val="24"/>
        </w:rPr>
        <w:t>UX</w:t>
      </w:r>
      <w:r>
        <w:rPr>
          <w:rFonts w:ascii="Times New Roman" w:hAnsi="Times New Roman" w:eastAsia="Times New Roman"/>
          <w:sz w:val="24"/>
        </w:rPr>
        <w:t xml:space="preserve"> – User Experience</w:t>
      </w:r>
    </w:p>
    <w:p>
      <w:r>
        <w:br w:type="page"/>
      </w:r>
    </w:p>
    <w:p>
      <w:pPr>
        <w:pStyle w:val="Heading1"/>
      </w:pPr>
      <w:r>
        <w:rPr>
          <w:rFonts w:ascii="Times New Roman" w:hAnsi="Times New Roman" w:eastAsia="Times New Roman"/>
          <w:b/>
          <w:sz w:val="32"/>
        </w:rPr>
        <w:t>LISTA DE FIGURI ȘI TABELE</w:t>
      </w:r>
    </w:p>
    <w:p>
      <w:r>
        <w:rPr>
          <w:rFonts w:ascii="Times New Roman" w:hAnsi="Times New Roman" w:eastAsia="Times New Roman"/>
          <w:i/>
          <w:sz w:val="24"/>
        </w:rPr>
        <w:t>[Aici se va genera automat lista figurilor]</w:t>
      </w:r>
    </w:p>
    <w:p>
      <w:r>
        <w:br w:type="page"/>
      </w:r>
    </w:p>
    <w:p>
      <w:r>
        <w:br w:type="page"/>
      </w:r>
    </w:p>
    <w:p>
      <w:pPr>
        <w:pStyle w:val="Heading1"/>
        <w:jc w:val="center"/>
      </w:pPr>
      <w:r>
        <w:rPr>
          <w:rFonts w:ascii="Times New Roman" w:hAnsi="Times New Roman"/>
          <w:b/>
          <w:color w:val="000000"/>
          <w:sz w:val="32"/>
        </w:rPr>
        <w:t>Capitolul 1: Introducere și Stadiul Actual al Pieței (Literature Review)</w:t>
      </w:r>
    </w:p>
    <w:p>
      <w:pPr>
        <w:pStyle w:val="Heading2"/>
      </w:pPr>
      <w:r>
        <w:rPr>
          <w:rFonts w:ascii="Times New Roman" w:hAnsi="Times New Roman"/>
          <w:b/>
          <w:color w:val="000000"/>
          <w:sz w:val="28"/>
        </w:rPr>
        <w:t>1.1 Contextul Global și Lanțul Agroalimentar</w:t>
      </w:r>
    </w:p>
    <w:p>
      <w:pPr>
        <w:jc w:val="both"/>
      </w:pPr>
      <w:r>
        <w:rPr>
          <w:rFonts w:ascii="Times New Roman" w:hAnsi="Times New Roman"/>
          <w:sz w:val="24"/>
        </w:rPr>
        <w:t>Lanțul agroalimentar global se află într-un punct de inflexiune tehnologică. Transformarea digitală a comerțului cu mărfuri agricole, în special pe piața cerealelor din România, reprezintă o evoluție semnificativă de la metodele tradiționale și fragmentate la ecosisteme integrate și bazate pe date. România ocupă o poziție unică în acest peisaj, caracterizându-se prin cel mai mare număr de ferme din Uniunea Europeană — aproximativ 2.9 milioane — și o structură duală ce cuprinde un număr vast de ferme de subzistență alături de un grup restrâns de corporații agroindustriale profesionale care gestionează mai mult de jumătate din terenul agricol național.</w:t>
      </w:r>
    </w:p>
    <w:p>
      <w:pPr>
        <w:jc w:val="both"/>
      </w:pPr>
      <w:r>
        <w:rPr>
          <w:rFonts w:ascii="Times New Roman" w:hAnsi="Times New Roman"/>
          <w:sz w:val="24"/>
        </w:rPr>
        <w:t>Istoric, tranzacționarea a fost dominată de piețele fizice (cash markets) și piețele futures, precum Marché à Terme International de France (MATIF), care servește drept benchmark european pentru prețul cerealelor. În contracte lichide precum "Euronext Milling Wheat No. 2", mecanismul livrării fizice (market of last resort) asigură ancorarea instrumentului financiar la marfa subiacentă. Totuși, decuplarea dintre semnalele financiare și fluxul fizic creează volatilitate, iar lanțul tradițional de aprovizionare rămâne fragmentat, implicând adesea până la șase intermediari între fermier și procesatorul final.</w:t>
      </w:r>
    </w:p>
    <w:p>
      <w:pPr>
        <w:pStyle w:val="Heading2"/>
      </w:pPr>
      <w:r>
        <w:rPr>
          <w:rFonts w:ascii="Times New Roman" w:hAnsi="Times New Roman"/>
          <w:b/>
          <w:color w:val="000000"/>
          <w:sz w:val="28"/>
        </w:rPr>
        <w:t>1.2 Disintermedierea și Nevoia unei Platforme B2B</w:t>
      </w:r>
    </w:p>
    <w:p>
      <w:pPr>
        <w:jc w:val="both"/>
      </w:pPr>
      <w:r>
        <w:rPr>
          <w:rFonts w:ascii="Times New Roman" w:hAnsi="Times New Roman"/>
          <w:sz w:val="24"/>
        </w:rPr>
        <w:t>Problemele fundamentale ale lanțului clasic includ opacitatea prețurilor, costurile logistice ridicate și riscul de contraparte semnificativ. Intermediarii adaugă margini comerciale fără a adăuga valoare proporțională în termeni de calitate sau trasabilitate, erodând profitul producătorului primar. Digitalizarea prin marketplace-uri B2B promite disintermedierea directă, permițând recuperarea unor margini de profit cuprinse între 10% și 25%. Spre deosebire de comerțul electronic B2C, platformele AgTech B2B trebuie să gestioneze tranzacții de mare valoare (depășind adesea 1 milion USD pentru cargouri vrac), impunând mecanisme riguroase de securitate, escrow și conformitate legală (NACE 4611).</w:t>
      </w:r>
    </w:p>
    <w:p>
      <w:pPr>
        <w:pStyle w:val="Heading2"/>
      </w:pPr>
      <w:r>
        <w:rPr>
          <w:rFonts w:ascii="Times New Roman" w:hAnsi="Times New Roman"/>
          <w:b/>
          <w:color w:val="000000"/>
          <w:sz w:val="28"/>
        </w:rPr>
        <w:t>1.3 Standarde de Calitate a Cerealelor: SR EN 15587</w:t>
      </w:r>
    </w:p>
    <w:p>
      <w:pPr>
        <w:jc w:val="both"/>
      </w:pPr>
      <w:r>
        <w:rPr>
          <w:rFonts w:ascii="Times New Roman" w:hAnsi="Times New Roman"/>
          <w:sz w:val="24"/>
        </w:rPr>
        <w:t>Fungibilitatea mărfurilor agricole pe bursele internaționale depinde de standardizarea riguroasă a parametrilor de calitate. În Europa, principalul benchmark pentru puritatea cerealelor este standardul EN 15587, care definește termenul "Besatz" (impurități). Acesta cuprinde toate materiile străine dintr-o mostră, incluzând boabe sparte, zbârcite, afectate de dăunători, semințe de buruieni ("Schwarzbesatz") și fragmente minerale.</w:t>
      </w:r>
    </w:p>
    <w:p>
      <w:pPr>
        <w:jc w:val="both"/>
      </w:pPr>
      <w:r>
        <w:rPr>
          <w:rFonts w:ascii="Times New Roman" w:hAnsi="Times New Roman"/>
          <w:sz w:val="24"/>
        </w:rPr>
        <w:t>Standardul impune un proces riguros de sitare (sieve analysis) utilizând site cu orificii de 2.00 mm pentru grâul comun. În România, piața este profund influențată de agrometeorologie; de exemplu, deși anul agricol 2024 a fost afectat de secetă extremă, calitatea cerealelor (conținutul de proteină măsurat prin metoda Kjeldahl și glutenul) a fost superioară din cauza stresului hidric, în timp ce producția din 2025 a înregistrat o recuperare spectaculoasă a volumelor.</w:t>
      </w:r>
    </w:p>
    <w:p>
      <w:r>
        <w:br w:type="page"/>
      </w:r>
    </w:p>
    <w:p>
      <w:pPr>
        <w:pStyle w:val="Heading1"/>
        <w:jc w:val="center"/>
      </w:pPr>
      <w:r>
        <w:rPr>
          <w:rFonts w:ascii="Times New Roman" w:hAnsi="Times New Roman"/>
          <w:b/>
          <w:color w:val="000000"/>
          <w:sz w:val="32"/>
        </w:rPr>
        <w:t>Capitolul 2: Arhitectura Sistemului și Tehnologii</w:t>
      </w:r>
    </w:p>
    <w:p>
      <w:pPr>
        <w:pStyle w:val="Heading2"/>
      </w:pPr>
      <w:r>
        <w:rPr>
          <w:rFonts w:ascii="Times New Roman" w:hAnsi="Times New Roman"/>
          <w:b/>
          <w:color w:val="000000"/>
          <w:sz w:val="28"/>
        </w:rPr>
        <w:t>2.1 Strategic Design: Domain-Driven Design (DDD)</w:t>
      </w:r>
    </w:p>
    <w:p>
      <w:pPr>
        <w:jc w:val="both"/>
      </w:pPr>
      <w:r>
        <w:rPr>
          <w:rFonts w:ascii="Times New Roman" w:hAnsi="Times New Roman"/>
          <w:sz w:val="24"/>
        </w:rPr>
        <w:t>Integritatea arhitecturală a unui marketplace multi-sided B2B depinde de capacitatea sa de a gestiona logica complexă fără a acumula datorie tehnică. Pentru AgriConnect, s-a adoptat Domain-Driven Design (DDD), separând sistemul în mai multe "Bounded Contexts" izolate: Identity and Access Management (IAM), Trading, Financial, Logistics, și Dispute Resolution. Fiecare context are propriul său vocabular ubicu ("Ubiquitous Language"), asigurând că termeni precumi "Contract" sau "Besatz" își păstrează sensul tehnic și comercial nealterat.</w:t>
      </w:r>
    </w:p>
    <w:p>
      <w:pPr>
        <w:jc w:val="both"/>
      </w:pPr>
      <w:r>
        <w:rPr>
          <w:rFonts w:ascii="Times New Roman" w:hAnsi="Times New Roman"/>
          <w:sz w:val="24"/>
        </w:rPr>
        <w:t>Sistemul este construit ca un "Modular Monolith". Spre deosebire de abordarea pură bazată pe microservicii, monolitul modular păstrează modulele în aceeași unitate de execuție, dar izolate logic (Hexagonal Architecture / Ports and Adapters). Comunicarea între domenii se realizează prin Domain Events și Integration Events folosind Outbox Pattern, evitând problemele sistemelor distribuite.</w:t>
      </w:r>
    </w:p>
    <w:p>
      <w:pPr>
        <w:pStyle w:val="Heading2"/>
      </w:pPr>
      <w:r>
        <w:rPr>
          <w:rFonts w:ascii="Times New Roman" w:hAnsi="Times New Roman"/>
          <w:b/>
          <w:color w:val="000000"/>
          <w:sz w:val="28"/>
        </w:rPr>
        <w:t>2.2 Backend: NestJS și Fastify</w:t>
      </w:r>
    </w:p>
    <w:p>
      <w:pPr>
        <w:jc w:val="both"/>
      </w:pPr>
      <w:r>
        <w:rPr>
          <w:rFonts w:ascii="Times New Roman" w:hAnsi="Times New Roman"/>
          <w:sz w:val="24"/>
        </w:rPr>
        <w:t>Alegerea NestJS cu TypeScript permite transpunerea tactică a DDD prin utilizarea agregatelor, entităților și a obiectelor valorice (Value Objects). Sistemul de Dependency Injection (DI) din NestJS izolează logica de business în clase de tip Service și controlează strict vizibilitatea publică a modulelor. Pentru a atinge performanțe enterprise, a fost integrat adaptorul HTTP Fastify, care oferă un throughput de procesare a request-urilor de până la de 3 ori mai mare comparativ cu soluția implicită Express.js.</w:t>
      </w:r>
    </w:p>
    <w:p>
      <w:pPr>
        <w:pStyle w:val="Heading2"/>
      </w:pPr>
      <w:r>
        <w:rPr>
          <w:rFonts w:ascii="Times New Roman" w:hAnsi="Times New Roman"/>
          <w:b/>
          <w:color w:val="000000"/>
          <w:sz w:val="28"/>
        </w:rPr>
        <w:t>2.3 Baze de Date: Stocare Hibridă cu PostgreSQL JSONB</w:t>
      </w:r>
    </w:p>
    <w:p>
      <w:pPr>
        <w:jc w:val="both"/>
      </w:pPr>
      <w:r>
        <w:rPr>
          <w:rFonts w:ascii="Times New Roman" w:hAnsi="Times New Roman"/>
          <w:sz w:val="24"/>
        </w:rPr>
        <w:t>Diversitatea parametrilor calitativi agricoli impune o schemă hibridă. PostgreSQL a fost ales pentru garanțiile sale ACID tranzacționale. Datele statice (ID-uri, asocieri, preț de bază) sunt stocate în coloane relaționale, în timp ce atributele dinamice specifice mărfii (umiditate, proteină, Besatz) sunt stocate în câmpuri JSONB (Binary JSON).</w:t>
      </w:r>
    </w:p>
    <w:p>
      <w:pPr>
        <w:jc w:val="both"/>
      </w:pPr>
      <w:r>
        <w:rPr>
          <w:rFonts w:ascii="Times New Roman" w:hAnsi="Times New Roman"/>
          <w:sz w:val="24"/>
        </w:rPr>
        <w:t>Pentru performanța interogărilor, platforma utilizează indecși GIN (Generalized Inverted Index) cu operatorul jsonb_path_ops, permițând căutări de tip "containment" (ex: filtrarea listărilor care au proteina peste 12.5%) extrem de rapide. O atenție deosebită este acordată tehnicii TOAST (The Oversize Attribute Storage Technique) din Postgres și funcțiilor native IS JSON introduse în versiunile recente pentru a asigura integritatea datelor ("JSON Schema Validation").</w:t>
      </w:r>
    </w:p>
    <w:p>
      <w:pPr>
        <w:pStyle w:val="Heading2"/>
      </w:pPr>
      <w:r>
        <w:rPr>
          <w:rFonts w:ascii="Times New Roman" w:hAnsi="Times New Roman"/>
          <w:b/>
          <w:color w:val="000000"/>
          <w:sz w:val="28"/>
        </w:rPr>
        <w:t>2.4 Frontend: React 19, Server Components și UI Premium</w:t>
      </w:r>
    </w:p>
    <w:p>
      <w:pPr>
        <w:jc w:val="both"/>
      </w:pPr>
      <w:r>
        <w:rPr>
          <w:rFonts w:ascii="Times New Roman" w:hAnsi="Times New Roman"/>
          <w:sz w:val="24"/>
        </w:rPr>
        <w:t>Arhitectura frontend-ului folosește React 19 și noile paradigme React Server Components (RSC) pentru a muta execuția și orchestarea stării de la client pe server. Gestiunea stării globale dinamice este delegată bibliotecii Zustand. Designul vizual este concentrat pe "Dark Mode" (o preferință pentru 82% din utilizatorii B2B enterprise pentru reducerea oboselii oculare) și "Glassmorphism", utilizând backdrop-filter pentru a crea ierarhii vizuale distincte și profunzime fără a compromite lizibilitatea. Pentru vizualizarea datelor financiare complexe, se utilizează diagrame bazate pe SVG (Scalable Vector Graphics), asigurând rendering clar la orice rezoluție.</w:t>
      </w:r>
    </w:p>
    <w:p>
      <w:pPr>
        <w:pStyle w:val="Heading2"/>
      </w:pPr>
      <w:r>
        <w:rPr>
          <w:rFonts w:ascii="Times New Roman" w:hAnsi="Times New Roman"/>
          <w:b/>
          <w:color w:val="000000"/>
          <w:sz w:val="28"/>
        </w:rPr>
        <w:t>2.5 Securitate și Autentificare (eIDAS 2.0 și Argon2id)</w:t>
      </w:r>
    </w:p>
    <w:p>
      <w:pPr>
        <w:jc w:val="both"/>
      </w:pPr>
      <w:r>
        <w:rPr>
          <w:rFonts w:ascii="Times New Roman" w:hAnsi="Times New Roman"/>
          <w:sz w:val="24"/>
        </w:rPr>
        <w:t>Platforma implementează autentificare stateless via JWT (JSON Web Tokens). Pentru rezolvarea limitărilor privind revocarea token-urilor, este utilizată o arhitectură "Theme Park Ticket": access tokens cu durată scurtă (5-15 min) și refresh tokens rotative cu invalidare într-un blacklist pe Redis.</w:t>
      </w:r>
    </w:p>
    <w:p>
      <w:pPr>
        <w:jc w:val="both"/>
      </w:pPr>
      <w:r>
        <w:rPr>
          <w:rFonts w:ascii="Times New Roman" w:hAnsi="Times New Roman"/>
          <w:sz w:val="24"/>
        </w:rPr>
        <w:t>Protejarea parolelor este realizată prin algoritmul "Memory-Hard" Argon2id (câștigătorul Password Hashing Competition), esențial într-o eră în care capabilitățile de brute-forcing ale plăcilor video (ex: clustere de RTX 5090) fac algoritmii vechi precum bcrypt mai puțin siguri. Mai mult, arhitectura platformei prefigurează compatibilitatea cu eIDAS 2.0 și protocolul OpenID4VP, care din 2027 va impune acceptarea European Digital Identity (EUDI) Wallet și a credențialelor verificabile bazate pe "Selective Disclosure".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