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07948" w14:textId="77777777" w:rsidR="00A506C5" w:rsidRDefault="00A506C5" w:rsidP="00A506C5">
      <w:pPr>
        <w:ind w:left="426"/>
      </w:pPr>
      <w:r>
        <w:rPr>
          <w:noProof/>
          <w:lang w:val="en-GB" w:eastAsia="en-GB"/>
        </w:rPr>
        <w:drawing>
          <wp:anchor distT="0" distB="0" distL="114300" distR="114300" simplePos="0" relativeHeight="251667456" behindDoc="0" locked="0" layoutInCell="1" allowOverlap="1" wp14:anchorId="3C6066C9" wp14:editId="595406B5">
            <wp:simplePos x="0" y="0"/>
            <wp:positionH relativeFrom="column">
              <wp:posOffset>7026</wp:posOffset>
            </wp:positionH>
            <wp:positionV relativeFrom="paragraph">
              <wp:posOffset>-97155</wp:posOffset>
            </wp:positionV>
            <wp:extent cx="4514870" cy="159979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UT-IESC-RGB-R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91220" cy="1626849"/>
                    </a:xfrm>
                    <a:prstGeom prst="rect">
                      <a:avLst/>
                    </a:prstGeom>
                  </pic:spPr>
                </pic:pic>
              </a:graphicData>
            </a:graphic>
          </wp:anchor>
        </w:drawing>
      </w:r>
    </w:p>
    <w:p w14:paraId="67A988F5" w14:textId="77777777" w:rsidR="00A506C5" w:rsidRPr="00251C29" w:rsidRDefault="00A506C5" w:rsidP="00A506C5"/>
    <w:p w14:paraId="6DF81BFB" w14:textId="77777777" w:rsidR="00A506C5" w:rsidRPr="00251C29" w:rsidRDefault="00A506C5" w:rsidP="00A506C5"/>
    <w:p w14:paraId="62566B7C" w14:textId="77777777" w:rsidR="00A506C5" w:rsidRPr="00251C29" w:rsidRDefault="00A506C5" w:rsidP="00A506C5"/>
    <w:p w14:paraId="28666544" w14:textId="77777777" w:rsidR="00A506C5" w:rsidRPr="00251C29" w:rsidRDefault="00A506C5" w:rsidP="00A506C5"/>
    <w:p w14:paraId="7B47A6C9" w14:textId="77777777" w:rsidR="00A506C5" w:rsidRPr="00251C29" w:rsidRDefault="00A506C5" w:rsidP="00A506C5"/>
    <w:p w14:paraId="06D658FF" w14:textId="77777777" w:rsidR="00A506C5" w:rsidRPr="00251C29" w:rsidRDefault="00A506C5" w:rsidP="00A506C5"/>
    <w:p w14:paraId="6820D85F" w14:textId="77777777" w:rsidR="00A506C5" w:rsidRPr="00251C29" w:rsidRDefault="00A506C5" w:rsidP="00A506C5"/>
    <w:p w14:paraId="4F199505" w14:textId="77777777" w:rsidR="00A506C5" w:rsidRPr="00251C29" w:rsidRDefault="00A506C5" w:rsidP="00A506C5"/>
    <w:p w14:paraId="2376B8DC" w14:textId="77777777" w:rsidR="00A506C5" w:rsidRPr="00251C29" w:rsidRDefault="00A506C5" w:rsidP="00A506C5"/>
    <w:p w14:paraId="1C9E93CF" w14:textId="77777777" w:rsidR="00A506C5" w:rsidRPr="00251C29" w:rsidRDefault="00A506C5" w:rsidP="00A506C5"/>
    <w:p w14:paraId="0A993568" w14:textId="77777777" w:rsidR="00A506C5" w:rsidRPr="00251C29" w:rsidRDefault="00A506C5" w:rsidP="00A506C5"/>
    <w:p w14:paraId="32A29C04" w14:textId="77777777" w:rsidR="00A506C5" w:rsidRDefault="00A506C5" w:rsidP="00A506C5">
      <w:pPr>
        <w:ind w:left="426"/>
      </w:pPr>
    </w:p>
    <w:p w14:paraId="23481900" w14:textId="77777777" w:rsidR="00A506C5" w:rsidRDefault="00A506C5" w:rsidP="00A506C5">
      <w:pPr>
        <w:ind w:left="426"/>
      </w:pPr>
    </w:p>
    <w:p w14:paraId="1FF3DCC9" w14:textId="77777777" w:rsidR="00A506C5" w:rsidRDefault="00A506C5" w:rsidP="00A506C5">
      <w:pPr>
        <w:ind w:left="426"/>
      </w:pPr>
    </w:p>
    <w:p w14:paraId="6969BEF1" w14:textId="77777777" w:rsidR="00A506C5" w:rsidRDefault="00A506C5" w:rsidP="00A506C5">
      <w:pPr>
        <w:ind w:left="426"/>
        <w:jc w:val="center"/>
        <w:rPr>
          <w:rFonts w:ascii="UT Sans" w:hAnsi="UT Sans"/>
          <w:b/>
          <w:bCs/>
          <w:sz w:val="52"/>
          <w:szCs w:val="52"/>
        </w:rPr>
      </w:pPr>
      <w:r w:rsidRPr="005B77BF">
        <w:rPr>
          <w:rFonts w:ascii="UT Sans" w:hAnsi="UT Sans"/>
          <w:b/>
          <w:bCs/>
          <w:sz w:val="52"/>
          <w:szCs w:val="52"/>
          <w:lang w:val="fr-FR"/>
        </w:rPr>
        <w:t>PROIECT DE DIPLOMĂ</w:t>
      </w:r>
    </w:p>
    <w:p w14:paraId="18CF1F09" w14:textId="77777777" w:rsidR="00A506C5" w:rsidRDefault="00A506C5" w:rsidP="00A506C5">
      <w:pPr>
        <w:ind w:left="426"/>
        <w:jc w:val="center"/>
        <w:rPr>
          <w:rFonts w:ascii="UT Sans" w:hAnsi="UT Sans"/>
          <w:b/>
          <w:bCs/>
          <w:sz w:val="52"/>
          <w:szCs w:val="52"/>
        </w:rPr>
      </w:pPr>
    </w:p>
    <w:p w14:paraId="5CE65CEE" w14:textId="77777777" w:rsidR="00A506C5" w:rsidRDefault="00A506C5" w:rsidP="00A506C5">
      <w:pPr>
        <w:ind w:left="426"/>
        <w:rPr>
          <w:rFonts w:ascii="UT Sans" w:hAnsi="UT Sans"/>
          <w:b/>
          <w:bCs/>
          <w:sz w:val="52"/>
          <w:szCs w:val="52"/>
        </w:rPr>
      </w:pPr>
    </w:p>
    <w:p w14:paraId="0C880D4D" w14:textId="77777777" w:rsidR="00A506C5" w:rsidRPr="00251C29" w:rsidRDefault="00A506C5" w:rsidP="00A506C5">
      <w:pPr>
        <w:ind w:left="426"/>
        <w:rPr>
          <w:rFonts w:ascii="UT Sans" w:hAnsi="UT Sans"/>
          <w:b/>
          <w:bCs/>
          <w:sz w:val="32"/>
          <w:szCs w:val="52"/>
        </w:rPr>
      </w:pPr>
    </w:p>
    <w:p w14:paraId="5A72F998" w14:textId="77777777" w:rsidR="00A506C5" w:rsidRDefault="00A506C5" w:rsidP="00A506C5">
      <w:pPr>
        <w:ind w:left="426"/>
        <w:rPr>
          <w:rFonts w:ascii="UT Sans" w:hAnsi="UT Sans"/>
          <w:b/>
          <w:bCs/>
          <w:sz w:val="32"/>
          <w:szCs w:val="52"/>
        </w:rPr>
      </w:pPr>
      <w:r w:rsidRPr="00251C29">
        <w:rPr>
          <w:rFonts w:ascii="UT Sans" w:hAnsi="UT Sans"/>
          <w:b/>
          <w:bCs/>
          <w:sz w:val="32"/>
          <w:szCs w:val="52"/>
        </w:rPr>
        <w:t>Conducător științific:</w:t>
      </w:r>
    </w:p>
    <w:p w14:paraId="07DE2605" w14:textId="77777777" w:rsidR="00A506C5" w:rsidRDefault="00486651" w:rsidP="00A506C5">
      <w:pPr>
        <w:ind w:left="426"/>
        <w:rPr>
          <w:rFonts w:ascii="UT Sans" w:hAnsi="UT Sans"/>
          <w:b/>
          <w:bCs/>
          <w:sz w:val="32"/>
          <w:szCs w:val="52"/>
        </w:rPr>
      </w:pPr>
      <w:r>
        <w:rPr>
          <w:rFonts w:ascii="UT Sans" w:hAnsi="UT Sans"/>
          <w:b/>
          <w:bCs/>
          <w:sz w:val="32"/>
          <w:szCs w:val="52"/>
        </w:rPr>
        <w:t>Titulatura</w:t>
      </w:r>
      <w:r w:rsidR="00A506C5">
        <w:rPr>
          <w:rFonts w:ascii="UT Sans" w:hAnsi="UT Sans"/>
          <w:b/>
          <w:bCs/>
          <w:sz w:val="32"/>
          <w:szCs w:val="52"/>
        </w:rPr>
        <w:t>. Xxxxx Xxxxxxxx</w:t>
      </w:r>
    </w:p>
    <w:p w14:paraId="70655392" w14:textId="77777777" w:rsidR="00A506C5" w:rsidRDefault="00A506C5" w:rsidP="00A506C5">
      <w:pPr>
        <w:ind w:left="426"/>
        <w:rPr>
          <w:rFonts w:ascii="UT Sans" w:hAnsi="UT Sans"/>
          <w:b/>
          <w:bCs/>
          <w:sz w:val="32"/>
          <w:szCs w:val="52"/>
        </w:rPr>
      </w:pPr>
    </w:p>
    <w:p w14:paraId="7A440C5C" w14:textId="77777777" w:rsidR="00A506C5" w:rsidRDefault="00A506C5" w:rsidP="00A506C5">
      <w:pPr>
        <w:ind w:left="426"/>
        <w:rPr>
          <w:rFonts w:ascii="UT Sans" w:hAnsi="UT Sans"/>
          <w:b/>
          <w:bCs/>
          <w:sz w:val="32"/>
          <w:szCs w:val="52"/>
        </w:rPr>
      </w:pPr>
    </w:p>
    <w:p w14:paraId="1F9B1D3C" w14:textId="77777777" w:rsidR="00A506C5" w:rsidRDefault="00A506C5" w:rsidP="00A506C5">
      <w:pPr>
        <w:ind w:left="426"/>
        <w:jc w:val="right"/>
        <w:rPr>
          <w:rFonts w:ascii="UT Sans" w:hAnsi="UT Sans"/>
          <w:b/>
          <w:bCs/>
          <w:sz w:val="32"/>
          <w:szCs w:val="52"/>
        </w:rPr>
      </w:pPr>
      <w:r>
        <w:rPr>
          <w:rFonts w:ascii="UT Sans" w:hAnsi="UT Sans"/>
          <w:b/>
          <w:bCs/>
          <w:sz w:val="32"/>
          <w:szCs w:val="52"/>
        </w:rPr>
        <w:t>Absolvent:</w:t>
      </w:r>
    </w:p>
    <w:p w14:paraId="1CBD4B5C" w14:textId="77777777" w:rsidR="00A506C5" w:rsidRDefault="00A506C5" w:rsidP="00A506C5">
      <w:pPr>
        <w:ind w:left="426"/>
        <w:jc w:val="right"/>
        <w:rPr>
          <w:rFonts w:ascii="UT Sans" w:hAnsi="UT Sans"/>
          <w:b/>
          <w:bCs/>
          <w:sz w:val="32"/>
          <w:szCs w:val="52"/>
        </w:rPr>
      </w:pPr>
      <w:r>
        <w:rPr>
          <w:rFonts w:ascii="UT Sans" w:hAnsi="UT Sans"/>
          <w:b/>
          <w:bCs/>
          <w:sz w:val="32"/>
          <w:szCs w:val="52"/>
        </w:rPr>
        <w:t>Xxxxx Xxxxxx</w:t>
      </w:r>
    </w:p>
    <w:p w14:paraId="2500C39E" w14:textId="77777777" w:rsidR="00A506C5" w:rsidRDefault="00A506C5" w:rsidP="00A506C5">
      <w:pPr>
        <w:ind w:left="426"/>
        <w:jc w:val="right"/>
        <w:rPr>
          <w:rFonts w:ascii="UT Sans" w:hAnsi="UT Sans"/>
          <w:b/>
          <w:bCs/>
          <w:sz w:val="32"/>
          <w:szCs w:val="52"/>
        </w:rPr>
      </w:pPr>
    </w:p>
    <w:p w14:paraId="295D4AE8" w14:textId="77777777" w:rsidR="00A506C5" w:rsidRDefault="00A506C5" w:rsidP="00A506C5">
      <w:pPr>
        <w:ind w:left="426"/>
        <w:jc w:val="right"/>
        <w:rPr>
          <w:rFonts w:ascii="UT Sans" w:hAnsi="UT Sans"/>
          <w:b/>
          <w:bCs/>
          <w:sz w:val="32"/>
          <w:szCs w:val="52"/>
        </w:rPr>
      </w:pPr>
    </w:p>
    <w:p w14:paraId="7B0F7D32" w14:textId="77777777" w:rsidR="00A506C5" w:rsidRDefault="00A506C5" w:rsidP="00A506C5">
      <w:pPr>
        <w:ind w:left="426"/>
        <w:jc w:val="right"/>
        <w:rPr>
          <w:rFonts w:ascii="UT Sans" w:hAnsi="UT Sans"/>
          <w:b/>
          <w:bCs/>
          <w:sz w:val="32"/>
          <w:szCs w:val="52"/>
        </w:rPr>
      </w:pPr>
    </w:p>
    <w:p w14:paraId="1C42DBFB" w14:textId="77777777" w:rsidR="00A506C5" w:rsidRDefault="00A506C5" w:rsidP="00A506C5">
      <w:pPr>
        <w:ind w:left="426"/>
        <w:jc w:val="right"/>
        <w:rPr>
          <w:rFonts w:ascii="UT Sans" w:hAnsi="UT Sans"/>
          <w:b/>
          <w:bCs/>
          <w:sz w:val="32"/>
          <w:szCs w:val="52"/>
        </w:rPr>
      </w:pPr>
    </w:p>
    <w:p w14:paraId="4BFDE68D" w14:textId="77777777" w:rsidR="00A506C5" w:rsidRDefault="00A506C5" w:rsidP="00A506C5">
      <w:pPr>
        <w:ind w:left="426"/>
        <w:jc w:val="right"/>
        <w:rPr>
          <w:rFonts w:ascii="UT Sans" w:hAnsi="UT Sans"/>
          <w:b/>
          <w:bCs/>
          <w:sz w:val="32"/>
          <w:szCs w:val="52"/>
        </w:rPr>
      </w:pPr>
    </w:p>
    <w:p w14:paraId="66829C2B" w14:textId="77777777" w:rsidR="00A506C5" w:rsidRDefault="00A506C5" w:rsidP="00A506C5">
      <w:pPr>
        <w:ind w:left="426"/>
        <w:jc w:val="right"/>
        <w:rPr>
          <w:rFonts w:ascii="UT Sans" w:hAnsi="UT Sans"/>
          <w:b/>
          <w:bCs/>
          <w:sz w:val="32"/>
          <w:szCs w:val="52"/>
        </w:rPr>
      </w:pPr>
    </w:p>
    <w:p w14:paraId="3BADFB82" w14:textId="77777777" w:rsidR="00A506C5" w:rsidRPr="00251C29" w:rsidRDefault="00A506C5" w:rsidP="00A506C5">
      <w:pPr>
        <w:ind w:left="426"/>
        <w:jc w:val="center"/>
        <w:rPr>
          <w:rFonts w:ascii="UT Sans" w:hAnsi="UT Sans"/>
          <w:b/>
          <w:bCs/>
          <w:sz w:val="32"/>
          <w:szCs w:val="52"/>
        </w:rPr>
      </w:pPr>
      <w:r>
        <w:rPr>
          <w:rFonts w:ascii="UT Sans" w:hAnsi="UT Sans"/>
          <w:b/>
          <w:bCs/>
          <w:sz w:val="32"/>
          <w:szCs w:val="52"/>
        </w:rPr>
        <w:t>BRAȘOV, 202</w:t>
      </w:r>
      <w:r w:rsidR="00060A38">
        <w:rPr>
          <w:rFonts w:ascii="UT Sans" w:hAnsi="UT Sans"/>
          <w:b/>
          <w:bCs/>
          <w:sz w:val="32"/>
          <w:szCs w:val="52"/>
        </w:rPr>
        <w:t>6</w:t>
      </w:r>
    </w:p>
    <w:p w14:paraId="1C96748F" w14:textId="77777777" w:rsidR="00E315B8" w:rsidRPr="00990AB4" w:rsidRDefault="00E315B8" w:rsidP="00773B3A">
      <w:pPr>
        <w:ind w:firstLine="709"/>
        <w:rPr>
          <w:rFonts w:ascii="UT Sans" w:hAnsi="UT Sans"/>
          <w:sz w:val="28"/>
          <w:szCs w:val="28"/>
        </w:rPr>
      </w:pPr>
      <w:r w:rsidRPr="00990AB4">
        <w:rPr>
          <w:rFonts w:ascii="UT Sans" w:hAnsi="UT Sans"/>
          <w:sz w:val="28"/>
          <w:szCs w:val="28"/>
        </w:rPr>
        <w:br w:type="page"/>
      </w:r>
    </w:p>
    <w:p w14:paraId="53024C9E" w14:textId="37CBC261" w:rsidR="008A2D3D" w:rsidRPr="00990AB4" w:rsidRDefault="008A2D3D" w:rsidP="00773B3A">
      <w:pPr>
        <w:ind w:firstLine="709"/>
        <w:rPr>
          <w:rFonts w:ascii="UT Sans" w:hAnsi="UT Sans"/>
          <w:b/>
          <w:sz w:val="28"/>
          <w:szCs w:val="28"/>
        </w:rPr>
      </w:pPr>
      <w:r w:rsidRPr="00990AB4">
        <w:rPr>
          <w:rFonts w:ascii="UT Sans" w:hAnsi="UT Sans"/>
          <w:b/>
          <w:sz w:val="28"/>
          <w:szCs w:val="28"/>
        </w:rPr>
        <w:lastRenderedPageBreak/>
        <w:t xml:space="preserve">Departamentul </w:t>
      </w:r>
      <w:r w:rsidR="0036610F">
        <w:rPr>
          <w:rFonts w:ascii="UT Sans" w:hAnsi="UT Sans"/>
          <w:b/>
          <w:sz w:val="28"/>
          <w:szCs w:val="28"/>
        </w:rPr>
        <w:t>Inginerie Electrica si stiinta calculatoarelor</w:t>
      </w:r>
      <w:r w:rsidRPr="00990AB4">
        <w:rPr>
          <w:rFonts w:ascii="UT Sans" w:hAnsi="UT Sans"/>
          <w:b/>
          <w:sz w:val="28"/>
          <w:szCs w:val="28"/>
        </w:rPr>
        <w:t xml:space="preserve"> </w:t>
      </w:r>
    </w:p>
    <w:p w14:paraId="1A422BDB" w14:textId="3D3E2721" w:rsidR="008A2D3D" w:rsidRPr="00990AB4" w:rsidRDefault="008A2D3D" w:rsidP="00773B3A">
      <w:pPr>
        <w:ind w:firstLine="709"/>
        <w:rPr>
          <w:b/>
          <w:sz w:val="28"/>
          <w:szCs w:val="28"/>
        </w:rPr>
      </w:pPr>
      <w:r w:rsidRPr="00990AB4">
        <w:rPr>
          <w:rFonts w:ascii="UT Sans" w:hAnsi="UT Sans"/>
          <w:b/>
          <w:sz w:val="28"/>
          <w:szCs w:val="28"/>
        </w:rPr>
        <w:t xml:space="preserve">Programul de </w:t>
      </w:r>
      <w:r w:rsidRPr="00A15348">
        <w:rPr>
          <w:rFonts w:ascii="UT Sans" w:hAnsi="UT Sans"/>
          <w:b/>
          <w:sz w:val="28"/>
          <w:szCs w:val="28"/>
        </w:rPr>
        <w:t>studi</w:t>
      </w:r>
      <w:r w:rsidR="00B00DD5" w:rsidRPr="00A15348">
        <w:rPr>
          <w:rFonts w:ascii="UT Sans" w:hAnsi="UT Sans"/>
          <w:b/>
          <w:sz w:val="28"/>
          <w:szCs w:val="28"/>
        </w:rPr>
        <w:t>i</w:t>
      </w:r>
      <w:r w:rsidRPr="00A15348">
        <w:rPr>
          <w:rFonts w:ascii="UT Sans" w:hAnsi="UT Sans"/>
          <w:b/>
          <w:sz w:val="28"/>
          <w:szCs w:val="28"/>
        </w:rPr>
        <w:t>:</w:t>
      </w:r>
      <w:r w:rsidRPr="00990AB4">
        <w:rPr>
          <w:rFonts w:ascii="UT Sans" w:hAnsi="UT Sans"/>
          <w:b/>
          <w:sz w:val="28"/>
          <w:szCs w:val="28"/>
        </w:rPr>
        <w:t xml:space="preserve"> </w:t>
      </w:r>
      <w:r w:rsidR="0036610F">
        <w:rPr>
          <w:rFonts w:ascii="UT Sans" w:hAnsi="UT Sans"/>
          <w:b/>
          <w:sz w:val="28"/>
          <w:szCs w:val="28"/>
        </w:rPr>
        <w:t>Automatica si calculatoare</w:t>
      </w:r>
    </w:p>
    <w:p w14:paraId="77993DF5" w14:textId="77777777" w:rsidR="008A2D3D" w:rsidRPr="00990AB4" w:rsidRDefault="008A2D3D" w:rsidP="00773B3A">
      <w:pPr>
        <w:ind w:firstLine="709"/>
        <w:rPr>
          <w:sz w:val="28"/>
          <w:szCs w:val="28"/>
        </w:rPr>
      </w:pPr>
    </w:p>
    <w:p w14:paraId="678E9B1C" w14:textId="77777777" w:rsidR="008A2D3D" w:rsidRPr="00990AB4" w:rsidRDefault="008A2D3D" w:rsidP="00773B3A">
      <w:pPr>
        <w:ind w:firstLine="709"/>
        <w:rPr>
          <w:sz w:val="28"/>
          <w:szCs w:val="28"/>
        </w:rPr>
      </w:pPr>
    </w:p>
    <w:p w14:paraId="64E15DEE" w14:textId="77777777" w:rsidR="008A2D3D" w:rsidRPr="0036610F" w:rsidRDefault="008A2D3D" w:rsidP="00773B3A">
      <w:pPr>
        <w:ind w:firstLine="709"/>
        <w:rPr>
          <w:rStyle w:val="Strong"/>
        </w:rPr>
      </w:pPr>
    </w:p>
    <w:p w14:paraId="34DD6EB8" w14:textId="77777777" w:rsidR="008A2D3D" w:rsidRPr="00990AB4" w:rsidRDefault="008A2D3D" w:rsidP="00773B3A">
      <w:pPr>
        <w:ind w:firstLine="709"/>
        <w:rPr>
          <w:sz w:val="28"/>
          <w:szCs w:val="28"/>
        </w:rPr>
      </w:pPr>
    </w:p>
    <w:p w14:paraId="2DED5AF7" w14:textId="35AD5622" w:rsidR="008A2D3D" w:rsidRPr="00990AB4" w:rsidRDefault="0036610F" w:rsidP="00773B3A">
      <w:pPr>
        <w:ind w:firstLine="709"/>
        <w:jc w:val="center"/>
        <w:rPr>
          <w:rFonts w:ascii="UT Sans" w:hAnsi="UT Sans"/>
          <w:b/>
          <w:i/>
          <w:sz w:val="40"/>
          <w:szCs w:val="40"/>
        </w:rPr>
      </w:pPr>
      <w:r>
        <w:rPr>
          <w:rFonts w:ascii="UT Sans" w:hAnsi="UT Sans"/>
          <w:b/>
          <w:i/>
          <w:sz w:val="40"/>
          <w:szCs w:val="40"/>
        </w:rPr>
        <w:t>Chiriac Andrada-Bianca</w:t>
      </w:r>
    </w:p>
    <w:p w14:paraId="05C79292" w14:textId="77777777" w:rsidR="008A2D3D" w:rsidRPr="00990AB4" w:rsidRDefault="008A2D3D" w:rsidP="00773B3A">
      <w:pPr>
        <w:ind w:firstLine="709"/>
        <w:jc w:val="center"/>
        <w:rPr>
          <w:rFonts w:ascii="UT Sans" w:hAnsi="UT Sans"/>
          <w:sz w:val="40"/>
          <w:szCs w:val="40"/>
        </w:rPr>
      </w:pPr>
    </w:p>
    <w:p w14:paraId="544EA089" w14:textId="77777777" w:rsidR="008A2D3D" w:rsidRPr="00990AB4" w:rsidRDefault="008A2D3D" w:rsidP="00773B3A">
      <w:pPr>
        <w:ind w:firstLine="709"/>
        <w:jc w:val="center"/>
        <w:rPr>
          <w:rFonts w:ascii="UT Sans" w:hAnsi="UT Sans"/>
          <w:sz w:val="40"/>
          <w:szCs w:val="40"/>
        </w:rPr>
      </w:pPr>
    </w:p>
    <w:p w14:paraId="67719C22" w14:textId="77777777" w:rsidR="008A2D3D" w:rsidRPr="00990AB4" w:rsidRDefault="008A2D3D" w:rsidP="00773B3A">
      <w:pPr>
        <w:ind w:firstLine="709"/>
        <w:jc w:val="center"/>
        <w:rPr>
          <w:rFonts w:ascii="UT Sans" w:hAnsi="UT Sans"/>
          <w:sz w:val="40"/>
          <w:szCs w:val="40"/>
        </w:rPr>
      </w:pPr>
    </w:p>
    <w:p w14:paraId="0C7FA191" w14:textId="77777777" w:rsidR="00EE7368" w:rsidRPr="00990AB4" w:rsidRDefault="00EE7368" w:rsidP="00773B3A">
      <w:pPr>
        <w:ind w:firstLine="709"/>
        <w:jc w:val="center"/>
        <w:rPr>
          <w:rFonts w:ascii="UT Sans" w:hAnsi="UT Sans"/>
          <w:sz w:val="40"/>
          <w:szCs w:val="40"/>
        </w:rPr>
      </w:pPr>
    </w:p>
    <w:p w14:paraId="1765E9A8" w14:textId="77777777" w:rsidR="008A2D3D" w:rsidRPr="00990AB4" w:rsidRDefault="008A2D3D" w:rsidP="00773B3A">
      <w:pPr>
        <w:ind w:firstLine="709"/>
        <w:jc w:val="center"/>
        <w:rPr>
          <w:rFonts w:ascii="UT Sans" w:hAnsi="UT Sans"/>
          <w:sz w:val="80"/>
          <w:szCs w:val="80"/>
        </w:rPr>
      </w:pPr>
      <w:r w:rsidRPr="00990AB4">
        <w:rPr>
          <w:rFonts w:ascii="UT Sans" w:hAnsi="UT Sans"/>
          <w:sz w:val="80"/>
          <w:szCs w:val="80"/>
        </w:rPr>
        <w:t xml:space="preserve">Titlul proiectului de </w:t>
      </w:r>
    </w:p>
    <w:p w14:paraId="3BC18B6D" w14:textId="77777777" w:rsidR="008A2D3D" w:rsidRPr="00990AB4" w:rsidRDefault="008A2D3D" w:rsidP="00773B3A">
      <w:pPr>
        <w:ind w:firstLine="709"/>
        <w:jc w:val="center"/>
        <w:rPr>
          <w:rFonts w:ascii="UT Sans" w:hAnsi="UT Sans"/>
          <w:sz w:val="80"/>
          <w:szCs w:val="80"/>
        </w:rPr>
      </w:pPr>
      <w:r w:rsidRPr="00990AB4">
        <w:rPr>
          <w:rFonts w:ascii="UT Sans" w:hAnsi="UT Sans"/>
          <w:sz w:val="80"/>
          <w:szCs w:val="80"/>
        </w:rPr>
        <w:t>diplomă</w:t>
      </w:r>
    </w:p>
    <w:p w14:paraId="0B0EB3AF" w14:textId="77777777" w:rsidR="008A2D3D" w:rsidRPr="00990AB4" w:rsidRDefault="008A2D3D" w:rsidP="00773B3A">
      <w:pPr>
        <w:ind w:firstLine="709"/>
        <w:jc w:val="center"/>
        <w:rPr>
          <w:rFonts w:ascii="UT Sans" w:hAnsi="UT Sans"/>
        </w:rPr>
      </w:pPr>
    </w:p>
    <w:p w14:paraId="4E10074E" w14:textId="77777777" w:rsidR="008A2D3D" w:rsidRPr="00990AB4" w:rsidRDefault="008A2D3D" w:rsidP="00773B3A">
      <w:pPr>
        <w:ind w:firstLine="709"/>
        <w:jc w:val="center"/>
        <w:rPr>
          <w:rFonts w:ascii="UT Sans" w:hAnsi="UT Sans"/>
        </w:rPr>
      </w:pPr>
    </w:p>
    <w:p w14:paraId="57F52728" w14:textId="77777777" w:rsidR="008A2D3D" w:rsidRPr="00990AB4" w:rsidRDefault="008A2D3D" w:rsidP="00773B3A">
      <w:pPr>
        <w:ind w:firstLine="709"/>
        <w:jc w:val="center"/>
        <w:rPr>
          <w:rFonts w:ascii="UT Sans" w:hAnsi="UT Sans"/>
        </w:rPr>
      </w:pPr>
    </w:p>
    <w:p w14:paraId="72EC11FA" w14:textId="77777777" w:rsidR="008A2D3D" w:rsidRPr="00990AB4" w:rsidRDefault="008A2D3D" w:rsidP="00773B3A">
      <w:pPr>
        <w:ind w:firstLine="709"/>
        <w:jc w:val="center"/>
        <w:rPr>
          <w:rFonts w:ascii="UT Sans" w:hAnsi="UT Sans"/>
        </w:rPr>
      </w:pPr>
    </w:p>
    <w:p w14:paraId="657AABF7" w14:textId="77777777" w:rsidR="008A2D3D" w:rsidRPr="00990AB4" w:rsidRDefault="008A2D3D" w:rsidP="00773B3A">
      <w:pPr>
        <w:ind w:firstLine="709"/>
        <w:jc w:val="center"/>
        <w:rPr>
          <w:rFonts w:ascii="UT Sans" w:hAnsi="UT Sans"/>
        </w:rPr>
      </w:pPr>
    </w:p>
    <w:p w14:paraId="2E23FE38" w14:textId="77777777" w:rsidR="00EE7368" w:rsidRPr="00990AB4" w:rsidRDefault="00EE7368" w:rsidP="00773B3A">
      <w:pPr>
        <w:ind w:firstLine="709"/>
        <w:jc w:val="center"/>
        <w:rPr>
          <w:rFonts w:ascii="UT Sans" w:hAnsi="UT Sans"/>
        </w:rPr>
      </w:pPr>
    </w:p>
    <w:p w14:paraId="35DC7BDE" w14:textId="77777777" w:rsidR="008A2D3D" w:rsidRPr="00990AB4" w:rsidRDefault="008A2D3D" w:rsidP="00773B3A">
      <w:pPr>
        <w:ind w:firstLine="709"/>
        <w:jc w:val="center"/>
        <w:rPr>
          <w:rFonts w:ascii="UT Sans" w:hAnsi="UT Sans"/>
        </w:rPr>
      </w:pPr>
    </w:p>
    <w:p w14:paraId="6688BF19" w14:textId="77777777" w:rsidR="008A2D3D" w:rsidRPr="00990AB4" w:rsidRDefault="00A15348" w:rsidP="00773B3A">
      <w:pPr>
        <w:ind w:firstLine="709"/>
        <w:jc w:val="center"/>
        <w:rPr>
          <w:rFonts w:ascii="UT Sans" w:hAnsi="UT Sans"/>
          <w:b/>
          <w:sz w:val="32"/>
          <w:szCs w:val="32"/>
        </w:rPr>
      </w:pPr>
      <w:r w:rsidRPr="00D80A4C">
        <w:rPr>
          <w:rFonts w:ascii="UT Sans" w:hAnsi="UT Sans"/>
          <w:b/>
          <w:sz w:val="32"/>
          <w:szCs w:val="32"/>
        </w:rPr>
        <w:t>Conducător științific</w:t>
      </w:r>
      <w:r w:rsidR="008A2D3D" w:rsidRPr="00990AB4">
        <w:rPr>
          <w:rFonts w:ascii="UT Sans" w:hAnsi="UT Sans"/>
          <w:b/>
          <w:sz w:val="32"/>
          <w:szCs w:val="32"/>
        </w:rPr>
        <w:t>:</w:t>
      </w:r>
    </w:p>
    <w:p w14:paraId="27181EEA" w14:textId="6910E06D" w:rsidR="008A2D3D" w:rsidRPr="00990AB4" w:rsidRDefault="0036610F" w:rsidP="00773B3A">
      <w:pPr>
        <w:ind w:firstLine="709"/>
        <w:jc w:val="center"/>
        <w:rPr>
          <w:rFonts w:ascii="UT Sans" w:hAnsi="UT Sans"/>
          <w:i/>
          <w:sz w:val="28"/>
          <w:szCs w:val="28"/>
        </w:rPr>
      </w:pPr>
      <w:r>
        <w:rPr>
          <w:rFonts w:ascii="UT Sans" w:hAnsi="UT Sans"/>
          <w:sz w:val="28"/>
          <w:szCs w:val="28"/>
        </w:rPr>
        <w:t>Prof</w:t>
      </w:r>
      <w:r w:rsidR="008A2D3D" w:rsidRPr="00990AB4">
        <w:rPr>
          <w:rFonts w:ascii="UT Sans" w:hAnsi="UT Sans"/>
          <w:sz w:val="28"/>
          <w:szCs w:val="28"/>
        </w:rPr>
        <w:t xml:space="preserve">. </w:t>
      </w:r>
      <w:r>
        <w:rPr>
          <w:rFonts w:ascii="UT Sans" w:hAnsi="UT Sans"/>
          <w:i/>
          <w:sz w:val="28"/>
          <w:szCs w:val="28"/>
        </w:rPr>
        <w:t>Itu Lucian</w:t>
      </w:r>
    </w:p>
    <w:p w14:paraId="6366C202" w14:textId="77777777" w:rsidR="008A2D3D" w:rsidRPr="00990AB4" w:rsidRDefault="008A2D3D" w:rsidP="00773B3A">
      <w:pPr>
        <w:ind w:firstLine="709"/>
        <w:jc w:val="center"/>
        <w:rPr>
          <w:rFonts w:ascii="UT Sans" w:hAnsi="UT Sans"/>
          <w:sz w:val="28"/>
          <w:szCs w:val="28"/>
        </w:rPr>
      </w:pPr>
    </w:p>
    <w:p w14:paraId="782DC01B" w14:textId="77777777" w:rsidR="008A2D3D" w:rsidRPr="00990AB4" w:rsidRDefault="008A2D3D" w:rsidP="00773B3A">
      <w:pPr>
        <w:ind w:firstLine="709"/>
        <w:jc w:val="center"/>
        <w:rPr>
          <w:rFonts w:ascii="UT Sans" w:hAnsi="UT Sans"/>
          <w:sz w:val="28"/>
          <w:szCs w:val="28"/>
        </w:rPr>
      </w:pPr>
    </w:p>
    <w:p w14:paraId="0E2FD5E8" w14:textId="77777777" w:rsidR="008A2D3D" w:rsidRPr="00990AB4" w:rsidRDefault="008A2D3D" w:rsidP="00773B3A">
      <w:pPr>
        <w:ind w:firstLine="709"/>
        <w:jc w:val="center"/>
        <w:rPr>
          <w:rFonts w:ascii="UT Sans" w:hAnsi="UT Sans"/>
          <w:sz w:val="28"/>
          <w:szCs w:val="28"/>
        </w:rPr>
      </w:pPr>
    </w:p>
    <w:p w14:paraId="5C2DCFC4" w14:textId="77777777" w:rsidR="008A2D3D" w:rsidRPr="00990AB4" w:rsidRDefault="008A2D3D" w:rsidP="00773B3A">
      <w:pPr>
        <w:ind w:firstLine="709"/>
        <w:jc w:val="center"/>
        <w:rPr>
          <w:rFonts w:ascii="UT Sans" w:hAnsi="UT Sans"/>
          <w:sz w:val="28"/>
          <w:szCs w:val="28"/>
        </w:rPr>
      </w:pPr>
    </w:p>
    <w:p w14:paraId="64886BAA" w14:textId="77777777" w:rsidR="00EE7368" w:rsidRPr="00990AB4" w:rsidRDefault="00EE7368" w:rsidP="00773B3A">
      <w:pPr>
        <w:ind w:firstLine="709"/>
        <w:jc w:val="center"/>
        <w:rPr>
          <w:rFonts w:ascii="UT Sans" w:hAnsi="UT Sans"/>
          <w:sz w:val="28"/>
          <w:szCs w:val="28"/>
        </w:rPr>
      </w:pPr>
    </w:p>
    <w:p w14:paraId="60975450" w14:textId="77777777" w:rsidR="00EE7368" w:rsidRPr="00990AB4" w:rsidRDefault="00EE7368" w:rsidP="00773B3A">
      <w:pPr>
        <w:ind w:firstLine="709"/>
        <w:jc w:val="center"/>
        <w:rPr>
          <w:rFonts w:ascii="UT Sans" w:hAnsi="UT Sans"/>
          <w:sz w:val="28"/>
          <w:szCs w:val="28"/>
        </w:rPr>
      </w:pPr>
    </w:p>
    <w:p w14:paraId="288A6F0F" w14:textId="77777777" w:rsidR="008A2D3D" w:rsidRDefault="008A2D3D" w:rsidP="00773B3A">
      <w:pPr>
        <w:ind w:firstLine="709"/>
        <w:jc w:val="center"/>
        <w:rPr>
          <w:rFonts w:ascii="UT Sans" w:hAnsi="UT Sans"/>
          <w:sz w:val="28"/>
          <w:szCs w:val="28"/>
        </w:rPr>
      </w:pPr>
      <w:r w:rsidRPr="00990AB4">
        <w:rPr>
          <w:rFonts w:ascii="UT Sans" w:hAnsi="UT Sans"/>
          <w:sz w:val="28"/>
          <w:szCs w:val="28"/>
        </w:rPr>
        <w:t>Brașov</w:t>
      </w:r>
      <w:r w:rsidR="00486651">
        <w:rPr>
          <w:rFonts w:ascii="UT Sans" w:hAnsi="UT Sans"/>
          <w:sz w:val="28"/>
          <w:szCs w:val="28"/>
        </w:rPr>
        <w:t>,</w:t>
      </w:r>
      <w:r w:rsidRPr="00990AB4">
        <w:rPr>
          <w:rFonts w:ascii="UT Sans" w:hAnsi="UT Sans"/>
          <w:sz w:val="28"/>
          <w:szCs w:val="28"/>
        </w:rPr>
        <w:t xml:space="preserve"> 202</w:t>
      </w:r>
      <w:r w:rsidR="00060A38">
        <w:rPr>
          <w:rFonts w:ascii="UT Sans" w:hAnsi="UT Sans"/>
          <w:sz w:val="28"/>
          <w:szCs w:val="28"/>
        </w:rPr>
        <w:t>6</w:t>
      </w:r>
    </w:p>
    <w:p w14:paraId="61F4B7F2" w14:textId="77777777" w:rsidR="0036610F" w:rsidRDefault="0036610F" w:rsidP="00773B3A">
      <w:pPr>
        <w:ind w:firstLine="709"/>
        <w:jc w:val="center"/>
        <w:rPr>
          <w:rFonts w:ascii="UT Sans" w:hAnsi="UT Sans"/>
          <w:sz w:val="28"/>
          <w:szCs w:val="28"/>
        </w:rPr>
      </w:pPr>
    </w:p>
    <w:p w14:paraId="6722EC87" w14:textId="77777777" w:rsidR="0036610F" w:rsidRDefault="0036610F" w:rsidP="00773B3A">
      <w:pPr>
        <w:ind w:firstLine="709"/>
        <w:jc w:val="center"/>
        <w:rPr>
          <w:rFonts w:ascii="UT Sans" w:hAnsi="UT Sans"/>
          <w:sz w:val="28"/>
          <w:szCs w:val="28"/>
        </w:rPr>
      </w:pPr>
    </w:p>
    <w:p w14:paraId="39F6F00E" w14:textId="77777777" w:rsidR="0036610F" w:rsidRDefault="0036610F" w:rsidP="00773B3A">
      <w:pPr>
        <w:ind w:firstLine="709"/>
        <w:jc w:val="center"/>
        <w:rPr>
          <w:rFonts w:ascii="UT Sans" w:hAnsi="UT Sans"/>
          <w:sz w:val="28"/>
          <w:szCs w:val="28"/>
        </w:rPr>
      </w:pPr>
    </w:p>
    <w:p w14:paraId="05DF7AD7" w14:textId="77777777" w:rsidR="0036610F" w:rsidRDefault="0036610F" w:rsidP="00773B3A">
      <w:pPr>
        <w:ind w:firstLine="709"/>
        <w:jc w:val="center"/>
        <w:rPr>
          <w:rFonts w:ascii="UT Sans" w:hAnsi="UT Sans"/>
          <w:sz w:val="28"/>
          <w:szCs w:val="28"/>
        </w:rPr>
      </w:pPr>
    </w:p>
    <w:p w14:paraId="437DBEB5" w14:textId="77777777" w:rsidR="0036610F" w:rsidRDefault="0036610F" w:rsidP="00773B3A">
      <w:pPr>
        <w:ind w:firstLine="709"/>
        <w:jc w:val="center"/>
        <w:rPr>
          <w:rFonts w:ascii="UT Sans" w:hAnsi="UT Sans"/>
          <w:sz w:val="28"/>
          <w:szCs w:val="28"/>
        </w:rPr>
      </w:pPr>
    </w:p>
    <w:p w14:paraId="7DC74E91" w14:textId="77777777" w:rsidR="0036610F" w:rsidRDefault="0036610F" w:rsidP="00773B3A">
      <w:pPr>
        <w:ind w:firstLine="709"/>
        <w:jc w:val="center"/>
        <w:rPr>
          <w:rFonts w:ascii="UT Sans" w:hAnsi="UT Sans"/>
          <w:sz w:val="28"/>
          <w:szCs w:val="28"/>
        </w:rPr>
      </w:pPr>
    </w:p>
    <w:p w14:paraId="360A3E74" w14:textId="77777777" w:rsidR="0036610F" w:rsidRDefault="0036610F" w:rsidP="00773B3A">
      <w:pPr>
        <w:ind w:firstLine="709"/>
        <w:jc w:val="center"/>
        <w:rPr>
          <w:rFonts w:ascii="UT Sans" w:hAnsi="UT Sans"/>
          <w:sz w:val="28"/>
          <w:szCs w:val="28"/>
        </w:rPr>
      </w:pPr>
    </w:p>
    <w:p w14:paraId="32C62017" w14:textId="77777777" w:rsidR="0036610F" w:rsidRDefault="0036610F" w:rsidP="00773B3A">
      <w:pPr>
        <w:ind w:firstLine="709"/>
        <w:jc w:val="center"/>
        <w:rPr>
          <w:rFonts w:ascii="UT Sans" w:hAnsi="UT Sans"/>
          <w:sz w:val="28"/>
          <w:szCs w:val="28"/>
        </w:rPr>
      </w:pPr>
    </w:p>
    <w:p w14:paraId="59F09FF4" w14:textId="77777777" w:rsidR="0036610F" w:rsidRDefault="0036610F" w:rsidP="00773B3A">
      <w:pPr>
        <w:ind w:firstLine="709"/>
        <w:jc w:val="center"/>
        <w:rPr>
          <w:rFonts w:ascii="UT Sans" w:hAnsi="UT Sans"/>
          <w:sz w:val="28"/>
          <w:szCs w:val="28"/>
        </w:rPr>
      </w:pPr>
    </w:p>
    <w:p w14:paraId="37BC86BC" w14:textId="77777777" w:rsidR="0036610F" w:rsidRPr="00990AB4" w:rsidRDefault="0036610F" w:rsidP="00773B3A">
      <w:pPr>
        <w:ind w:firstLine="709"/>
        <w:jc w:val="center"/>
        <w:rPr>
          <w:rFonts w:ascii="UT Sans" w:hAnsi="UT Sans"/>
          <w:sz w:val="28"/>
          <w:szCs w:val="28"/>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6"/>
        <w:gridCol w:w="3264"/>
      </w:tblGrid>
      <w:tr w:rsidR="00E315B8" w:rsidRPr="00990AB4" w14:paraId="04E8BBD6" w14:textId="77777777" w:rsidTr="00392440">
        <w:tc>
          <w:tcPr>
            <w:tcW w:w="9360" w:type="dxa"/>
            <w:gridSpan w:val="2"/>
            <w:tcBorders>
              <w:top w:val="nil"/>
              <w:left w:val="nil"/>
              <w:bottom w:val="single" w:sz="4" w:space="0" w:color="auto"/>
              <w:right w:val="nil"/>
            </w:tcBorders>
            <w:hideMark/>
          </w:tcPr>
          <w:p w14:paraId="61D35ECD" w14:textId="77777777" w:rsidR="00E315B8" w:rsidRPr="00990AB4" w:rsidRDefault="008A2D3D" w:rsidP="000874D6">
            <w:pPr>
              <w:jc w:val="center"/>
              <w:rPr>
                <w:rFonts w:ascii="UT Sans" w:hAnsi="UT Sans"/>
                <w:b/>
                <w:lang w:eastAsia="zh-CN"/>
              </w:rPr>
            </w:pPr>
            <w:r w:rsidRPr="00990AB4">
              <w:rPr>
                <w:rFonts w:ascii="UT Sans" w:hAnsi="UT Sans"/>
                <w:sz w:val="28"/>
                <w:szCs w:val="28"/>
              </w:rPr>
              <w:br w:type="page"/>
            </w:r>
            <w:r w:rsidR="00E315B8" w:rsidRPr="00990AB4">
              <w:rPr>
                <w:rFonts w:ascii="UT Sans" w:hAnsi="UT Sans"/>
                <w:b/>
                <w:lang w:eastAsia="zh-CN"/>
              </w:rPr>
              <w:t>FIȘA PROIECTULUI DE DIPLOMĂ</w:t>
            </w:r>
          </w:p>
        </w:tc>
      </w:tr>
      <w:tr w:rsidR="00E315B8" w:rsidRPr="00990AB4" w14:paraId="03AA0EB2" w14:textId="77777777" w:rsidTr="00392440">
        <w:tc>
          <w:tcPr>
            <w:tcW w:w="6096" w:type="dxa"/>
            <w:tcBorders>
              <w:top w:val="single" w:sz="4" w:space="0" w:color="auto"/>
              <w:left w:val="single" w:sz="4" w:space="0" w:color="auto"/>
              <w:bottom w:val="single" w:sz="4" w:space="0" w:color="auto"/>
              <w:right w:val="single" w:sz="4" w:space="0" w:color="auto"/>
            </w:tcBorders>
            <w:hideMark/>
          </w:tcPr>
          <w:p w14:paraId="6F7AC0A7" w14:textId="77777777" w:rsidR="00E315B8" w:rsidRPr="00990AB4" w:rsidRDefault="00E315B8" w:rsidP="000874D6">
            <w:pPr>
              <w:rPr>
                <w:rFonts w:ascii="UT Sans" w:hAnsi="UT Sans"/>
                <w:sz w:val="22"/>
                <w:szCs w:val="22"/>
                <w:lang w:eastAsia="en-US"/>
              </w:rPr>
            </w:pPr>
            <w:r w:rsidRPr="00990AB4">
              <w:rPr>
                <w:rFonts w:ascii="UT Sans" w:hAnsi="UT Sans"/>
                <w:sz w:val="22"/>
                <w:szCs w:val="22"/>
              </w:rPr>
              <w:t>Universitatea Transilvania din Braşov</w:t>
            </w:r>
          </w:p>
        </w:tc>
        <w:tc>
          <w:tcPr>
            <w:tcW w:w="3264" w:type="dxa"/>
            <w:vMerge w:val="restart"/>
            <w:tcBorders>
              <w:top w:val="single" w:sz="4" w:space="0" w:color="auto"/>
              <w:left w:val="single" w:sz="4" w:space="0" w:color="auto"/>
              <w:bottom w:val="single" w:sz="4" w:space="0" w:color="auto"/>
              <w:right w:val="single" w:sz="4" w:space="0" w:color="auto"/>
            </w:tcBorders>
            <w:hideMark/>
          </w:tcPr>
          <w:p w14:paraId="533DC48C" w14:textId="77777777" w:rsidR="00E315B8" w:rsidRPr="00990AB4" w:rsidRDefault="00E315B8" w:rsidP="000874D6">
            <w:pPr>
              <w:rPr>
                <w:rFonts w:ascii="UT Sans" w:hAnsi="UT Sans"/>
                <w:sz w:val="22"/>
                <w:szCs w:val="22"/>
                <w:lang w:eastAsia="en-US"/>
              </w:rPr>
            </w:pPr>
            <w:r w:rsidRPr="00990AB4">
              <w:rPr>
                <w:rFonts w:ascii="UT Sans" w:hAnsi="UT Sans"/>
                <w:sz w:val="22"/>
                <w:szCs w:val="22"/>
              </w:rPr>
              <w:t>Proiect de diplomă nr. ..........</w:t>
            </w:r>
          </w:p>
        </w:tc>
      </w:tr>
      <w:tr w:rsidR="00E315B8" w:rsidRPr="00990AB4" w14:paraId="56AD4F51" w14:textId="77777777" w:rsidTr="00392440">
        <w:tc>
          <w:tcPr>
            <w:tcW w:w="6096" w:type="dxa"/>
            <w:tcBorders>
              <w:top w:val="single" w:sz="4" w:space="0" w:color="auto"/>
              <w:left w:val="single" w:sz="4" w:space="0" w:color="auto"/>
              <w:bottom w:val="single" w:sz="4" w:space="0" w:color="auto"/>
              <w:right w:val="single" w:sz="4" w:space="0" w:color="auto"/>
            </w:tcBorders>
            <w:hideMark/>
          </w:tcPr>
          <w:p w14:paraId="2E02825B" w14:textId="77777777" w:rsidR="00E315B8" w:rsidRPr="00990AB4" w:rsidRDefault="00E315B8" w:rsidP="000874D6">
            <w:pPr>
              <w:rPr>
                <w:rFonts w:ascii="UT Sans" w:hAnsi="UT Sans"/>
                <w:sz w:val="22"/>
                <w:szCs w:val="22"/>
                <w:lang w:eastAsia="zh-CN"/>
              </w:rPr>
            </w:pPr>
            <w:r w:rsidRPr="00990AB4">
              <w:rPr>
                <w:rFonts w:ascii="UT Sans" w:hAnsi="UT Sans"/>
                <w:sz w:val="22"/>
                <w:szCs w:val="22"/>
              </w:rPr>
              <w:t>Facultatea de Inginerie Electrică şi Ştiin</w:t>
            </w:r>
            <w:r w:rsidR="006455AF" w:rsidRPr="00990AB4">
              <w:rPr>
                <w:rFonts w:ascii="UT Sans" w:hAnsi="UT Sans"/>
                <w:sz w:val="22"/>
                <w:szCs w:val="22"/>
              </w:rPr>
              <w:t>ț</w:t>
            </w:r>
            <w:r w:rsidRPr="00990AB4">
              <w:rPr>
                <w:rFonts w:ascii="UT Sans" w:hAnsi="UT Sans"/>
                <w:sz w:val="22"/>
                <w:szCs w:val="22"/>
              </w:rPr>
              <w:t>a Calculatoarelor</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14F9FAC" w14:textId="77777777" w:rsidR="00E315B8" w:rsidRPr="00990AB4" w:rsidRDefault="00E315B8" w:rsidP="000874D6">
            <w:pPr>
              <w:rPr>
                <w:rFonts w:ascii="UT Sans" w:hAnsi="UT Sans"/>
                <w:sz w:val="22"/>
                <w:szCs w:val="22"/>
                <w:lang w:eastAsia="en-US"/>
              </w:rPr>
            </w:pPr>
          </w:p>
        </w:tc>
      </w:tr>
      <w:tr w:rsidR="00E315B8" w:rsidRPr="00990AB4" w14:paraId="62EFC21C" w14:textId="77777777" w:rsidTr="00392440">
        <w:tc>
          <w:tcPr>
            <w:tcW w:w="6096" w:type="dxa"/>
            <w:tcBorders>
              <w:top w:val="single" w:sz="4" w:space="0" w:color="auto"/>
              <w:left w:val="single" w:sz="4" w:space="0" w:color="auto"/>
              <w:bottom w:val="single" w:sz="4" w:space="0" w:color="auto"/>
              <w:right w:val="single" w:sz="4" w:space="0" w:color="auto"/>
            </w:tcBorders>
          </w:tcPr>
          <w:p w14:paraId="51C8BB5A" w14:textId="77777777" w:rsidR="00E315B8" w:rsidRPr="00990AB4" w:rsidRDefault="00E315B8" w:rsidP="000874D6">
            <w:pPr>
              <w:rPr>
                <w:rFonts w:ascii="UT Sans" w:hAnsi="UT Sans"/>
                <w:sz w:val="22"/>
                <w:szCs w:val="22"/>
                <w:lang w:eastAsia="zh-CN"/>
              </w:rPr>
            </w:pPr>
            <w:r w:rsidRPr="00990AB4">
              <w:rPr>
                <w:rFonts w:ascii="UT Sans" w:hAnsi="UT Sans"/>
                <w:sz w:val="22"/>
                <w:szCs w:val="22"/>
              </w:rPr>
              <w:t>Departamentul de ...............................................................................</w:t>
            </w:r>
          </w:p>
          <w:p w14:paraId="1CC85F3D" w14:textId="77777777" w:rsidR="00E315B8" w:rsidRPr="00990AB4" w:rsidRDefault="00E315B8" w:rsidP="000874D6">
            <w:pPr>
              <w:rPr>
                <w:rFonts w:ascii="UT Sans" w:hAnsi="UT Sans"/>
                <w:sz w:val="22"/>
                <w:szCs w:val="22"/>
                <w:lang w:eastAsia="zh-CN"/>
              </w:rPr>
            </w:pPr>
          </w:p>
        </w:tc>
        <w:tc>
          <w:tcPr>
            <w:tcW w:w="3264" w:type="dxa"/>
            <w:tcBorders>
              <w:top w:val="single" w:sz="4" w:space="0" w:color="auto"/>
              <w:left w:val="single" w:sz="4" w:space="0" w:color="auto"/>
              <w:bottom w:val="single" w:sz="4" w:space="0" w:color="auto"/>
              <w:right w:val="single" w:sz="4" w:space="0" w:color="auto"/>
            </w:tcBorders>
          </w:tcPr>
          <w:p w14:paraId="4DFA5E15" w14:textId="77777777" w:rsidR="00E315B8" w:rsidRPr="00990AB4" w:rsidRDefault="00E315B8" w:rsidP="000874D6">
            <w:pPr>
              <w:rPr>
                <w:rFonts w:ascii="UT Sans" w:hAnsi="UT Sans"/>
                <w:sz w:val="22"/>
                <w:szCs w:val="22"/>
                <w:lang w:eastAsia="en-US"/>
              </w:rPr>
            </w:pPr>
            <w:r w:rsidRPr="00990AB4">
              <w:rPr>
                <w:rFonts w:ascii="UT Sans" w:hAnsi="UT Sans"/>
                <w:sz w:val="22"/>
                <w:szCs w:val="22"/>
              </w:rPr>
              <w:t>Viza facultă</w:t>
            </w:r>
            <w:r w:rsidR="006455AF" w:rsidRPr="00990AB4">
              <w:rPr>
                <w:rFonts w:ascii="UT Sans" w:hAnsi="UT Sans"/>
                <w:sz w:val="22"/>
                <w:szCs w:val="22"/>
              </w:rPr>
              <w:t>ț</w:t>
            </w:r>
            <w:r w:rsidRPr="00990AB4">
              <w:rPr>
                <w:rFonts w:ascii="UT Sans" w:hAnsi="UT Sans"/>
                <w:sz w:val="22"/>
                <w:szCs w:val="22"/>
              </w:rPr>
              <w:t>ii</w:t>
            </w:r>
          </w:p>
          <w:p w14:paraId="18F82AF1" w14:textId="77777777" w:rsidR="00E315B8" w:rsidRPr="00990AB4" w:rsidRDefault="00E315B8" w:rsidP="000874D6">
            <w:pPr>
              <w:rPr>
                <w:rFonts w:ascii="UT Sans" w:hAnsi="UT Sans"/>
                <w:sz w:val="22"/>
                <w:szCs w:val="22"/>
              </w:rPr>
            </w:pPr>
          </w:p>
          <w:p w14:paraId="039414D4" w14:textId="77777777" w:rsidR="00E315B8" w:rsidRPr="00990AB4" w:rsidRDefault="00E315B8" w:rsidP="000874D6">
            <w:pPr>
              <w:rPr>
                <w:rFonts w:ascii="UT Sans" w:hAnsi="UT Sans"/>
                <w:sz w:val="22"/>
                <w:szCs w:val="22"/>
                <w:lang w:eastAsia="zh-CN"/>
              </w:rPr>
            </w:pPr>
          </w:p>
        </w:tc>
      </w:tr>
      <w:tr w:rsidR="00E315B8" w:rsidRPr="00990AB4" w14:paraId="555397A3" w14:textId="77777777" w:rsidTr="00392440">
        <w:tc>
          <w:tcPr>
            <w:tcW w:w="6096" w:type="dxa"/>
            <w:tcBorders>
              <w:top w:val="single" w:sz="4" w:space="0" w:color="auto"/>
              <w:left w:val="single" w:sz="4" w:space="0" w:color="auto"/>
              <w:bottom w:val="single" w:sz="4" w:space="0" w:color="auto"/>
              <w:right w:val="single" w:sz="4" w:space="0" w:color="auto"/>
            </w:tcBorders>
            <w:hideMark/>
          </w:tcPr>
          <w:p w14:paraId="22F695BF" w14:textId="77777777" w:rsidR="00E315B8" w:rsidRPr="00990AB4" w:rsidRDefault="00E315B8" w:rsidP="000874D6">
            <w:pPr>
              <w:rPr>
                <w:rFonts w:ascii="UT Sans" w:hAnsi="UT Sans"/>
                <w:sz w:val="22"/>
                <w:szCs w:val="22"/>
                <w:lang w:eastAsia="zh-CN"/>
              </w:rPr>
            </w:pPr>
            <w:r w:rsidRPr="00990AB4">
              <w:rPr>
                <w:rFonts w:ascii="UT Sans" w:hAnsi="UT Sans"/>
                <w:sz w:val="22"/>
                <w:szCs w:val="22"/>
              </w:rPr>
              <w:t>Programul de studii:</w:t>
            </w:r>
          </w:p>
          <w:p w14:paraId="68DB979A" w14:textId="77777777" w:rsidR="00E315B8" w:rsidRPr="00990AB4" w:rsidRDefault="00E315B8" w:rsidP="000874D6">
            <w:pPr>
              <w:rPr>
                <w:rFonts w:ascii="UT Sans" w:hAnsi="UT Sans"/>
                <w:b/>
                <w:sz w:val="22"/>
                <w:szCs w:val="22"/>
                <w:lang w:eastAsia="zh-CN"/>
              </w:rPr>
            </w:pPr>
            <w:r w:rsidRPr="00990AB4">
              <w:rPr>
                <w:rFonts w:ascii="UT Sans" w:hAnsi="UT Sans"/>
                <w:b/>
                <w:sz w:val="22"/>
                <w:szCs w:val="22"/>
              </w:rPr>
              <w:t>..................................................................</w:t>
            </w:r>
          </w:p>
        </w:tc>
        <w:tc>
          <w:tcPr>
            <w:tcW w:w="3264" w:type="dxa"/>
            <w:tcBorders>
              <w:top w:val="single" w:sz="4" w:space="0" w:color="auto"/>
              <w:left w:val="single" w:sz="4" w:space="0" w:color="auto"/>
              <w:bottom w:val="single" w:sz="4" w:space="0" w:color="auto"/>
              <w:right w:val="single" w:sz="4" w:space="0" w:color="auto"/>
            </w:tcBorders>
            <w:hideMark/>
          </w:tcPr>
          <w:p w14:paraId="4B53D945" w14:textId="77777777" w:rsidR="00E315B8" w:rsidRPr="00990AB4" w:rsidRDefault="00E315B8" w:rsidP="000874D6">
            <w:pPr>
              <w:rPr>
                <w:rFonts w:ascii="UT Sans" w:hAnsi="UT Sans"/>
                <w:sz w:val="22"/>
                <w:szCs w:val="22"/>
                <w:lang w:eastAsia="zh-CN"/>
              </w:rPr>
            </w:pPr>
            <w:r w:rsidRPr="00990AB4">
              <w:rPr>
                <w:rFonts w:ascii="UT Sans" w:hAnsi="UT Sans"/>
                <w:sz w:val="22"/>
                <w:szCs w:val="22"/>
              </w:rPr>
              <w:t>Anul universitar:</w:t>
            </w:r>
          </w:p>
          <w:p w14:paraId="6AC2FC3D" w14:textId="77777777" w:rsidR="00E315B8" w:rsidRPr="00990AB4" w:rsidRDefault="00E315B8" w:rsidP="00060A38">
            <w:pPr>
              <w:rPr>
                <w:rFonts w:ascii="UT Sans" w:hAnsi="UT Sans"/>
                <w:sz w:val="22"/>
                <w:szCs w:val="22"/>
                <w:lang w:eastAsia="zh-CN"/>
              </w:rPr>
            </w:pPr>
            <w:r w:rsidRPr="00990AB4">
              <w:rPr>
                <w:rFonts w:ascii="UT Sans" w:hAnsi="UT Sans"/>
                <w:sz w:val="22"/>
                <w:szCs w:val="22"/>
              </w:rPr>
              <w:t>20</w:t>
            </w:r>
            <w:r w:rsidR="004F7867">
              <w:rPr>
                <w:rFonts w:ascii="UT Sans" w:hAnsi="UT Sans"/>
                <w:sz w:val="22"/>
                <w:szCs w:val="22"/>
              </w:rPr>
              <w:t>2</w:t>
            </w:r>
            <w:r w:rsidR="00060A38">
              <w:rPr>
                <w:rFonts w:ascii="UT Sans" w:hAnsi="UT Sans"/>
                <w:sz w:val="22"/>
                <w:szCs w:val="22"/>
              </w:rPr>
              <w:t>5</w:t>
            </w:r>
            <w:r w:rsidRPr="00990AB4">
              <w:rPr>
                <w:rFonts w:ascii="UT Sans" w:hAnsi="UT Sans"/>
                <w:sz w:val="22"/>
                <w:szCs w:val="22"/>
              </w:rPr>
              <w:t xml:space="preserve"> </w:t>
            </w:r>
            <w:r w:rsidR="00C1649B">
              <w:rPr>
                <w:rFonts w:ascii="UT Sans" w:hAnsi="UT Sans"/>
                <w:sz w:val="22"/>
                <w:szCs w:val="22"/>
              </w:rPr>
              <w:t>–</w:t>
            </w:r>
            <w:r w:rsidRPr="00990AB4">
              <w:rPr>
                <w:rFonts w:ascii="UT Sans" w:hAnsi="UT Sans"/>
                <w:sz w:val="22"/>
                <w:szCs w:val="22"/>
              </w:rPr>
              <w:t xml:space="preserve"> 202</w:t>
            </w:r>
            <w:r w:rsidR="00060A38">
              <w:rPr>
                <w:rFonts w:ascii="UT Sans" w:hAnsi="UT Sans"/>
                <w:sz w:val="22"/>
                <w:szCs w:val="22"/>
              </w:rPr>
              <w:t>6</w:t>
            </w:r>
          </w:p>
        </w:tc>
      </w:tr>
      <w:tr w:rsidR="00E315B8" w:rsidRPr="00990AB4" w14:paraId="7D30C045" w14:textId="77777777" w:rsidTr="00392440">
        <w:tc>
          <w:tcPr>
            <w:tcW w:w="6096" w:type="dxa"/>
            <w:tcBorders>
              <w:top w:val="single" w:sz="4" w:space="0" w:color="auto"/>
              <w:left w:val="single" w:sz="4" w:space="0" w:color="auto"/>
              <w:bottom w:val="single" w:sz="4" w:space="0" w:color="auto"/>
              <w:right w:val="single" w:sz="4" w:space="0" w:color="auto"/>
            </w:tcBorders>
            <w:hideMark/>
          </w:tcPr>
          <w:p w14:paraId="02ED1C23" w14:textId="77777777" w:rsidR="00E315B8" w:rsidRPr="00990AB4" w:rsidRDefault="00E315B8" w:rsidP="000874D6">
            <w:pPr>
              <w:rPr>
                <w:rFonts w:ascii="UT Sans" w:hAnsi="UT Sans"/>
                <w:sz w:val="22"/>
                <w:szCs w:val="22"/>
                <w:lang w:eastAsia="zh-CN"/>
              </w:rPr>
            </w:pPr>
            <w:r w:rsidRPr="00990AB4">
              <w:rPr>
                <w:rFonts w:ascii="UT Sans" w:hAnsi="UT Sans"/>
                <w:sz w:val="22"/>
                <w:szCs w:val="22"/>
              </w:rPr>
              <w:t>Candidat:</w:t>
            </w:r>
          </w:p>
          <w:p w14:paraId="5D5D2EF9" w14:textId="77777777" w:rsidR="00E315B8" w:rsidRPr="00990AB4" w:rsidRDefault="00E315B8" w:rsidP="000874D6">
            <w:pPr>
              <w:rPr>
                <w:rFonts w:ascii="UT Sans" w:hAnsi="UT Sans"/>
                <w:b/>
                <w:sz w:val="22"/>
                <w:szCs w:val="22"/>
                <w:lang w:eastAsia="zh-CN"/>
              </w:rPr>
            </w:pPr>
            <w:r w:rsidRPr="00990AB4">
              <w:rPr>
                <w:rFonts w:ascii="UT Sans" w:hAnsi="UT Sans"/>
                <w:b/>
                <w:sz w:val="22"/>
                <w:szCs w:val="22"/>
              </w:rPr>
              <w:t>Numele si Prenumele</w:t>
            </w:r>
          </w:p>
        </w:tc>
        <w:tc>
          <w:tcPr>
            <w:tcW w:w="3264" w:type="dxa"/>
            <w:tcBorders>
              <w:top w:val="single" w:sz="4" w:space="0" w:color="auto"/>
              <w:left w:val="single" w:sz="4" w:space="0" w:color="auto"/>
              <w:bottom w:val="single" w:sz="4" w:space="0" w:color="auto"/>
              <w:right w:val="single" w:sz="4" w:space="0" w:color="auto"/>
            </w:tcBorders>
            <w:hideMark/>
          </w:tcPr>
          <w:p w14:paraId="5ADFF281" w14:textId="77777777" w:rsidR="00E315B8" w:rsidRPr="00990AB4" w:rsidRDefault="00E315B8" w:rsidP="000874D6">
            <w:pPr>
              <w:rPr>
                <w:rFonts w:ascii="UT Sans" w:hAnsi="UT Sans"/>
                <w:sz w:val="22"/>
                <w:szCs w:val="22"/>
                <w:lang w:eastAsia="zh-CN"/>
              </w:rPr>
            </w:pPr>
            <w:r w:rsidRPr="00990AB4">
              <w:rPr>
                <w:rFonts w:ascii="UT Sans" w:hAnsi="UT Sans"/>
                <w:sz w:val="22"/>
                <w:szCs w:val="22"/>
              </w:rPr>
              <w:t>Promo</w:t>
            </w:r>
            <w:r w:rsidR="006455AF" w:rsidRPr="00990AB4">
              <w:rPr>
                <w:rFonts w:ascii="UT Sans" w:hAnsi="UT Sans"/>
                <w:sz w:val="22"/>
                <w:szCs w:val="22"/>
              </w:rPr>
              <w:t>ț</w:t>
            </w:r>
            <w:r w:rsidRPr="00990AB4">
              <w:rPr>
                <w:rFonts w:ascii="UT Sans" w:hAnsi="UT Sans"/>
                <w:sz w:val="22"/>
                <w:szCs w:val="22"/>
              </w:rPr>
              <w:t>ia:</w:t>
            </w:r>
          </w:p>
          <w:p w14:paraId="5C672CDB" w14:textId="77777777" w:rsidR="00E315B8" w:rsidRPr="00990AB4" w:rsidRDefault="00E315B8" w:rsidP="00060A38">
            <w:pPr>
              <w:rPr>
                <w:rFonts w:ascii="UT Sans" w:hAnsi="UT Sans"/>
                <w:sz w:val="22"/>
                <w:szCs w:val="22"/>
                <w:lang w:eastAsia="zh-CN"/>
              </w:rPr>
            </w:pPr>
            <w:r w:rsidRPr="00990AB4">
              <w:rPr>
                <w:rFonts w:ascii="UT Sans" w:hAnsi="UT Sans"/>
                <w:sz w:val="22"/>
                <w:szCs w:val="22"/>
              </w:rPr>
              <w:t>202</w:t>
            </w:r>
            <w:r w:rsidR="00060A38">
              <w:rPr>
                <w:rFonts w:ascii="UT Sans" w:hAnsi="UT Sans"/>
                <w:sz w:val="22"/>
                <w:szCs w:val="22"/>
              </w:rPr>
              <w:t>6</w:t>
            </w:r>
          </w:p>
        </w:tc>
      </w:tr>
      <w:tr w:rsidR="00E315B8" w:rsidRPr="00990AB4" w14:paraId="0D4B256A" w14:textId="77777777" w:rsidTr="00392440">
        <w:tc>
          <w:tcPr>
            <w:tcW w:w="6096" w:type="dxa"/>
            <w:tcBorders>
              <w:top w:val="single" w:sz="4" w:space="0" w:color="auto"/>
              <w:left w:val="single" w:sz="4" w:space="0" w:color="auto"/>
              <w:bottom w:val="single" w:sz="4" w:space="0" w:color="auto"/>
              <w:right w:val="single" w:sz="4" w:space="0" w:color="auto"/>
            </w:tcBorders>
            <w:hideMark/>
          </w:tcPr>
          <w:p w14:paraId="524D1ACA" w14:textId="77777777" w:rsidR="00E315B8" w:rsidRPr="00990AB4" w:rsidRDefault="00392440" w:rsidP="000874D6">
            <w:pPr>
              <w:rPr>
                <w:rFonts w:ascii="UT Sans" w:hAnsi="UT Sans"/>
                <w:sz w:val="22"/>
                <w:szCs w:val="22"/>
                <w:lang w:eastAsia="zh-CN"/>
              </w:rPr>
            </w:pPr>
            <w:r w:rsidRPr="00A15348">
              <w:rPr>
                <w:rFonts w:ascii="UT Sans" w:hAnsi="UT Sans"/>
                <w:sz w:val="20"/>
                <w:szCs w:val="20"/>
              </w:rPr>
              <w:t>Conducător ştiin</w:t>
            </w:r>
            <w:r w:rsidR="006455AF" w:rsidRPr="00A15348">
              <w:rPr>
                <w:rFonts w:ascii="UT Sans" w:hAnsi="UT Sans"/>
                <w:sz w:val="20"/>
                <w:szCs w:val="20"/>
              </w:rPr>
              <w:t>ț</w:t>
            </w:r>
            <w:r w:rsidRPr="00A15348">
              <w:rPr>
                <w:rFonts w:ascii="UT Sans" w:hAnsi="UT Sans"/>
                <w:sz w:val="20"/>
                <w:szCs w:val="20"/>
              </w:rPr>
              <w:t>ific</w:t>
            </w:r>
            <w:r w:rsidR="00E315B8" w:rsidRPr="00A15348">
              <w:rPr>
                <w:rFonts w:ascii="UT Sans" w:hAnsi="UT Sans"/>
                <w:sz w:val="22"/>
                <w:szCs w:val="22"/>
              </w:rPr>
              <w:t>:</w:t>
            </w:r>
          </w:p>
          <w:p w14:paraId="73099DCF" w14:textId="77777777" w:rsidR="00E315B8" w:rsidRPr="00990AB4" w:rsidRDefault="00E315B8" w:rsidP="000874D6">
            <w:pPr>
              <w:rPr>
                <w:rFonts w:ascii="UT Sans" w:hAnsi="UT Sans"/>
                <w:b/>
                <w:sz w:val="22"/>
                <w:szCs w:val="22"/>
                <w:lang w:eastAsia="zh-CN"/>
              </w:rPr>
            </w:pPr>
            <w:r w:rsidRPr="00990AB4">
              <w:rPr>
                <w:rFonts w:ascii="UT Sans" w:hAnsi="UT Sans"/>
                <w:b/>
                <w:sz w:val="22"/>
                <w:szCs w:val="22"/>
              </w:rPr>
              <w:t>Titulatura. Numele și prenumele</w:t>
            </w:r>
          </w:p>
        </w:tc>
        <w:tc>
          <w:tcPr>
            <w:tcW w:w="3264" w:type="dxa"/>
            <w:tcBorders>
              <w:top w:val="single" w:sz="4" w:space="0" w:color="auto"/>
              <w:left w:val="single" w:sz="4" w:space="0" w:color="auto"/>
              <w:bottom w:val="single" w:sz="4" w:space="0" w:color="auto"/>
              <w:right w:val="single" w:sz="4" w:space="0" w:color="auto"/>
            </w:tcBorders>
          </w:tcPr>
          <w:p w14:paraId="52F7F3A7" w14:textId="77777777" w:rsidR="00E315B8" w:rsidRPr="00990AB4" w:rsidRDefault="00E315B8" w:rsidP="000874D6">
            <w:pPr>
              <w:rPr>
                <w:rFonts w:ascii="UT Sans" w:hAnsi="UT Sans"/>
                <w:sz w:val="22"/>
                <w:szCs w:val="22"/>
                <w:lang w:eastAsia="zh-CN"/>
              </w:rPr>
            </w:pPr>
          </w:p>
        </w:tc>
      </w:tr>
      <w:tr w:rsidR="00E315B8" w:rsidRPr="00990AB4" w14:paraId="364BF702" w14:textId="77777777" w:rsidTr="00392440">
        <w:tc>
          <w:tcPr>
            <w:tcW w:w="9360" w:type="dxa"/>
            <w:gridSpan w:val="2"/>
            <w:tcBorders>
              <w:top w:val="single" w:sz="4" w:space="0" w:color="auto"/>
              <w:left w:val="single" w:sz="4" w:space="0" w:color="auto"/>
              <w:bottom w:val="single" w:sz="4" w:space="0" w:color="auto"/>
              <w:right w:val="single" w:sz="4" w:space="0" w:color="auto"/>
            </w:tcBorders>
            <w:hideMark/>
          </w:tcPr>
          <w:p w14:paraId="16E6FB86" w14:textId="77777777" w:rsidR="00E315B8" w:rsidRPr="00990AB4" w:rsidRDefault="00E315B8" w:rsidP="000874D6">
            <w:pPr>
              <w:jc w:val="center"/>
              <w:rPr>
                <w:rFonts w:ascii="UT Sans" w:hAnsi="UT Sans"/>
                <w:b/>
                <w:lang w:eastAsia="zh-CN"/>
              </w:rPr>
            </w:pPr>
            <w:r w:rsidRPr="00990AB4">
              <w:rPr>
                <w:rFonts w:ascii="UT Sans" w:hAnsi="UT Sans"/>
                <w:b/>
              </w:rPr>
              <w:t xml:space="preserve">PROIECT DE </w:t>
            </w:r>
            <w:r w:rsidRPr="00990AB4">
              <w:rPr>
                <w:rFonts w:ascii="UT Sans" w:hAnsi="UT Sans"/>
                <w:b/>
                <w:lang w:val="pt-BR"/>
              </w:rPr>
              <w:t>DIPLOM</w:t>
            </w:r>
            <w:r w:rsidRPr="00990AB4">
              <w:rPr>
                <w:rFonts w:ascii="UT Sans" w:hAnsi="UT Sans"/>
                <w:b/>
              </w:rPr>
              <w:t>Ă</w:t>
            </w:r>
          </w:p>
        </w:tc>
      </w:tr>
      <w:tr w:rsidR="00E315B8" w:rsidRPr="00990AB4" w14:paraId="4E1FAEFA" w14:textId="77777777" w:rsidTr="00392440">
        <w:tc>
          <w:tcPr>
            <w:tcW w:w="9360" w:type="dxa"/>
            <w:gridSpan w:val="2"/>
            <w:tcBorders>
              <w:top w:val="single" w:sz="4" w:space="0" w:color="auto"/>
              <w:left w:val="single" w:sz="4" w:space="0" w:color="auto"/>
              <w:bottom w:val="single" w:sz="4" w:space="0" w:color="auto"/>
              <w:right w:val="single" w:sz="4" w:space="0" w:color="auto"/>
            </w:tcBorders>
            <w:hideMark/>
          </w:tcPr>
          <w:p w14:paraId="1B4FCB77" w14:textId="77777777" w:rsidR="00E315B8" w:rsidRPr="00990AB4" w:rsidRDefault="00E315B8" w:rsidP="000874D6">
            <w:pPr>
              <w:rPr>
                <w:rFonts w:ascii="UT Sans" w:hAnsi="UT Sans"/>
                <w:i/>
                <w:sz w:val="22"/>
                <w:szCs w:val="22"/>
              </w:rPr>
            </w:pPr>
            <w:r w:rsidRPr="00990AB4">
              <w:rPr>
                <w:rFonts w:ascii="UT Sans" w:hAnsi="UT Sans"/>
                <w:sz w:val="22"/>
                <w:szCs w:val="22"/>
              </w:rPr>
              <w:t>Titlul lucrării</w:t>
            </w:r>
            <w:r w:rsidRPr="00990AB4">
              <w:rPr>
                <w:rFonts w:ascii="UT Sans" w:hAnsi="UT Sans"/>
                <w:i/>
                <w:sz w:val="22"/>
                <w:szCs w:val="22"/>
              </w:rPr>
              <w:t>: .................................................</w:t>
            </w:r>
          </w:p>
          <w:p w14:paraId="5F3D4F7F" w14:textId="77777777" w:rsidR="00392440" w:rsidRPr="00990AB4" w:rsidRDefault="00392440" w:rsidP="000874D6">
            <w:pPr>
              <w:rPr>
                <w:rFonts w:ascii="UT Sans" w:hAnsi="UT Sans"/>
                <w:sz w:val="22"/>
                <w:szCs w:val="22"/>
                <w:lang w:eastAsia="zh-CN"/>
              </w:rPr>
            </w:pPr>
          </w:p>
        </w:tc>
      </w:tr>
      <w:tr w:rsidR="00E315B8" w:rsidRPr="00990AB4" w14:paraId="4A0C406F" w14:textId="77777777" w:rsidTr="00392440">
        <w:tc>
          <w:tcPr>
            <w:tcW w:w="9360" w:type="dxa"/>
            <w:gridSpan w:val="2"/>
            <w:tcBorders>
              <w:top w:val="single" w:sz="4" w:space="0" w:color="auto"/>
              <w:left w:val="single" w:sz="4" w:space="0" w:color="auto"/>
              <w:bottom w:val="single" w:sz="4" w:space="0" w:color="auto"/>
              <w:right w:val="single" w:sz="4" w:space="0" w:color="auto"/>
            </w:tcBorders>
          </w:tcPr>
          <w:p w14:paraId="30887F9E" w14:textId="77777777" w:rsidR="00E315B8" w:rsidRPr="00990AB4" w:rsidRDefault="00E315B8" w:rsidP="000874D6">
            <w:pPr>
              <w:rPr>
                <w:rFonts w:ascii="UT Sans" w:hAnsi="UT Sans"/>
                <w:sz w:val="22"/>
                <w:szCs w:val="22"/>
                <w:lang w:eastAsia="zh-CN"/>
              </w:rPr>
            </w:pPr>
            <w:r w:rsidRPr="00990AB4">
              <w:rPr>
                <w:rFonts w:ascii="UT Sans" w:hAnsi="UT Sans"/>
                <w:sz w:val="22"/>
                <w:szCs w:val="22"/>
              </w:rPr>
              <w:t>Problemele principale tratate:</w:t>
            </w:r>
          </w:p>
          <w:p w14:paraId="7F949F38" w14:textId="77777777" w:rsidR="00E315B8" w:rsidRPr="00990AB4" w:rsidRDefault="00E315B8" w:rsidP="000874D6">
            <w:pPr>
              <w:numPr>
                <w:ilvl w:val="0"/>
                <w:numId w:val="1"/>
              </w:numPr>
              <w:ind w:left="0" w:firstLine="0"/>
              <w:rPr>
                <w:rFonts w:ascii="UT Sans" w:hAnsi="UT Sans"/>
                <w:sz w:val="22"/>
                <w:szCs w:val="22"/>
                <w:lang w:eastAsia="zh-CN"/>
              </w:rPr>
            </w:pPr>
          </w:p>
          <w:p w14:paraId="03AD2AD9" w14:textId="77777777" w:rsidR="00E315B8" w:rsidRPr="00990AB4" w:rsidRDefault="00E315B8" w:rsidP="000874D6">
            <w:pPr>
              <w:numPr>
                <w:ilvl w:val="0"/>
                <w:numId w:val="1"/>
              </w:numPr>
              <w:ind w:left="0" w:firstLine="0"/>
              <w:rPr>
                <w:rFonts w:ascii="UT Sans" w:hAnsi="UT Sans"/>
                <w:sz w:val="22"/>
                <w:szCs w:val="22"/>
                <w:lang w:eastAsia="zh-CN"/>
              </w:rPr>
            </w:pPr>
          </w:p>
          <w:p w14:paraId="255171EB" w14:textId="77777777" w:rsidR="00E315B8" w:rsidRPr="00990AB4" w:rsidRDefault="00E315B8" w:rsidP="000874D6">
            <w:pPr>
              <w:numPr>
                <w:ilvl w:val="0"/>
                <w:numId w:val="1"/>
              </w:numPr>
              <w:ind w:left="0" w:firstLine="0"/>
              <w:rPr>
                <w:rFonts w:ascii="UT Sans" w:hAnsi="UT Sans"/>
                <w:sz w:val="22"/>
                <w:szCs w:val="22"/>
                <w:lang w:eastAsia="zh-CN"/>
              </w:rPr>
            </w:pPr>
          </w:p>
          <w:p w14:paraId="408C08DB" w14:textId="77777777" w:rsidR="00E315B8" w:rsidRPr="00990AB4" w:rsidRDefault="00E315B8" w:rsidP="000874D6">
            <w:pPr>
              <w:numPr>
                <w:ilvl w:val="0"/>
                <w:numId w:val="1"/>
              </w:numPr>
              <w:ind w:left="0" w:firstLine="0"/>
              <w:rPr>
                <w:rFonts w:ascii="UT Sans" w:hAnsi="UT Sans"/>
                <w:sz w:val="22"/>
                <w:szCs w:val="22"/>
                <w:lang w:eastAsia="zh-CN"/>
              </w:rPr>
            </w:pPr>
          </w:p>
          <w:p w14:paraId="573C9425" w14:textId="77777777" w:rsidR="00E315B8" w:rsidRPr="00990AB4" w:rsidRDefault="00E315B8" w:rsidP="000874D6">
            <w:pPr>
              <w:rPr>
                <w:rFonts w:ascii="UT Sans" w:hAnsi="UT Sans"/>
                <w:sz w:val="22"/>
                <w:szCs w:val="22"/>
                <w:lang w:eastAsia="zh-CN"/>
              </w:rPr>
            </w:pPr>
          </w:p>
        </w:tc>
      </w:tr>
      <w:tr w:rsidR="00E315B8" w:rsidRPr="00990AB4" w14:paraId="2A1F18AA" w14:textId="77777777" w:rsidTr="00392440">
        <w:tc>
          <w:tcPr>
            <w:tcW w:w="9360" w:type="dxa"/>
            <w:gridSpan w:val="2"/>
            <w:tcBorders>
              <w:top w:val="single" w:sz="4" w:space="0" w:color="auto"/>
              <w:left w:val="single" w:sz="4" w:space="0" w:color="auto"/>
              <w:bottom w:val="single" w:sz="4" w:space="0" w:color="auto"/>
              <w:right w:val="single" w:sz="4" w:space="0" w:color="auto"/>
            </w:tcBorders>
          </w:tcPr>
          <w:p w14:paraId="5310B8DE" w14:textId="77777777" w:rsidR="00E315B8" w:rsidRPr="00990AB4" w:rsidRDefault="00E315B8" w:rsidP="000874D6">
            <w:pPr>
              <w:rPr>
                <w:rFonts w:ascii="UT Sans" w:hAnsi="UT Sans"/>
                <w:sz w:val="22"/>
                <w:szCs w:val="22"/>
                <w:lang w:eastAsia="zh-CN"/>
              </w:rPr>
            </w:pPr>
            <w:r w:rsidRPr="00990AB4">
              <w:rPr>
                <w:rFonts w:ascii="UT Sans" w:hAnsi="UT Sans"/>
                <w:sz w:val="22"/>
                <w:szCs w:val="22"/>
              </w:rPr>
              <w:t>Locul şi durata practicii:</w:t>
            </w:r>
          </w:p>
          <w:p w14:paraId="4390EE9F" w14:textId="77777777" w:rsidR="00E315B8" w:rsidRPr="00990AB4" w:rsidRDefault="00E315B8" w:rsidP="000874D6">
            <w:pPr>
              <w:rPr>
                <w:rFonts w:ascii="UT Sans" w:hAnsi="UT Sans"/>
                <w:sz w:val="22"/>
                <w:szCs w:val="22"/>
                <w:lang w:eastAsia="zh-CN"/>
              </w:rPr>
            </w:pPr>
          </w:p>
        </w:tc>
      </w:tr>
      <w:tr w:rsidR="00E315B8" w:rsidRPr="00990AB4" w14:paraId="3CAEDA3C" w14:textId="77777777" w:rsidTr="00392440">
        <w:tc>
          <w:tcPr>
            <w:tcW w:w="9360" w:type="dxa"/>
            <w:gridSpan w:val="2"/>
            <w:tcBorders>
              <w:top w:val="single" w:sz="4" w:space="0" w:color="auto"/>
              <w:left w:val="single" w:sz="4" w:space="0" w:color="auto"/>
              <w:bottom w:val="single" w:sz="4" w:space="0" w:color="auto"/>
              <w:right w:val="single" w:sz="4" w:space="0" w:color="auto"/>
            </w:tcBorders>
            <w:hideMark/>
          </w:tcPr>
          <w:p w14:paraId="0601EF81" w14:textId="77777777" w:rsidR="00E315B8" w:rsidRPr="00990AB4" w:rsidRDefault="00E315B8" w:rsidP="000874D6">
            <w:pPr>
              <w:rPr>
                <w:rFonts w:ascii="UT Sans" w:hAnsi="UT Sans"/>
                <w:sz w:val="22"/>
                <w:szCs w:val="22"/>
                <w:lang w:eastAsia="zh-CN"/>
              </w:rPr>
            </w:pPr>
            <w:r w:rsidRPr="00990AB4">
              <w:rPr>
                <w:rFonts w:ascii="UT Sans" w:hAnsi="UT Sans"/>
                <w:sz w:val="22"/>
                <w:szCs w:val="22"/>
              </w:rPr>
              <w:t>Bibliografie:</w:t>
            </w:r>
          </w:p>
          <w:p w14:paraId="134DCEC1" w14:textId="77777777" w:rsidR="00E315B8" w:rsidRPr="00990AB4" w:rsidRDefault="00E315B8" w:rsidP="003600FB">
            <w:pPr>
              <w:numPr>
                <w:ilvl w:val="0"/>
                <w:numId w:val="2"/>
              </w:numPr>
              <w:ind w:left="176" w:firstLine="0"/>
              <w:rPr>
                <w:rFonts w:ascii="UT Sans" w:hAnsi="UT Sans"/>
                <w:sz w:val="22"/>
                <w:szCs w:val="22"/>
                <w:lang w:val="en-US" w:eastAsia="en-US"/>
              </w:rPr>
            </w:pPr>
            <w:r w:rsidRPr="00990AB4">
              <w:rPr>
                <w:rFonts w:ascii="UT Sans" w:hAnsi="UT Sans"/>
                <w:sz w:val="22"/>
                <w:szCs w:val="22"/>
              </w:rPr>
              <w:t>..........................</w:t>
            </w:r>
          </w:p>
          <w:p w14:paraId="2B018001" w14:textId="77777777" w:rsidR="00E315B8" w:rsidRPr="00990AB4" w:rsidRDefault="00E315B8" w:rsidP="003600FB">
            <w:pPr>
              <w:numPr>
                <w:ilvl w:val="0"/>
                <w:numId w:val="2"/>
              </w:numPr>
              <w:ind w:left="176" w:firstLine="0"/>
              <w:rPr>
                <w:rFonts w:ascii="UT Sans" w:hAnsi="UT Sans"/>
                <w:sz w:val="22"/>
                <w:szCs w:val="22"/>
                <w:lang w:val="en-US" w:eastAsia="en-US"/>
              </w:rPr>
            </w:pPr>
            <w:r w:rsidRPr="00990AB4">
              <w:rPr>
                <w:rFonts w:ascii="UT Sans" w:hAnsi="UT Sans"/>
                <w:sz w:val="22"/>
                <w:szCs w:val="22"/>
              </w:rPr>
              <w:t>..........................</w:t>
            </w:r>
          </w:p>
          <w:p w14:paraId="7398818C" w14:textId="77777777" w:rsidR="00E315B8" w:rsidRPr="00990AB4" w:rsidRDefault="00E315B8" w:rsidP="003600FB">
            <w:pPr>
              <w:numPr>
                <w:ilvl w:val="0"/>
                <w:numId w:val="2"/>
              </w:numPr>
              <w:ind w:left="176" w:firstLine="0"/>
              <w:rPr>
                <w:rFonts w:ascii="UT Sans" w:hAnsi="UT Sans"/>
                <w:sz w:val="22"/>
                <w:szCs w:val="22"/>
                <w:lang w:val="en-GB" w:eastAsia="en-US"/>
              </w:rPr>
            </w:pPr>
            <w:r w:rsidRPr="00990AB4">
              <w:rPr>
                <w:rFonts w:ascii="UT Sans" w:hAnsi="UT Sans"/>
                <w:sz w:val="22"/>
                <w:szCs w:val="22"/>
              </w:rPr>
              <w:t>........................</w:t>
            </w:r>
            <w:r w:rsidR="00F01832" w:rsidRPr="00990AB4">
              <w:rPr>
                <w:rFonts w:ascii="UT Sans" w:hAnsi="UT Sans"/>
                <w:sz w:val="22"/>
                <w:szCs w:val="22"/>
              </w:rPr>
              <w:t>...</w:t>
            </w:r>
          </w:p>
        </w:tc>
      </w:tr>
      <w:tr w:rsidR="00E315B8" w:rsidRPr="00990AB4" w14:paraId="105B501B" w14:textId="77777777" w:rsidTr="00392440">
        <w:tc>
          <w:tcPr>
            <w:tcW w:w="9360" w:type="dxa"/>
            <w:gridSpan w:val="2"/>
            <w:tcBorders>
              <w:top w:val="single" w:sz="4" w:space="0" w:color="auto"/>
              <w:left w:val="single" w:sz="4" w:space="0" w:color="auto"/>
              <w:bottom w:val="single" w:sz="4" w:space="0" w:color="auto"/>
              <w:right w:val="single" w:sz="4" w:space="0" w:color="auto"/>
            </w:tcBorders>
            <w:hideMark/>
          </w:tcPr>
          <w:p w14:paraId="1AF70BBD" w14:textId="77777777" w:rsidR="00E315B8" w:rsidRPr="00990AB4" w:rsidRDefault="00E315B8" w:rsidP="000874D6">
            <w:pPr>
              <w:rPr>
                <w:rFonts w:ascii="UT Sans" w:hAnsi="UT Sans"/>
                <w:sz w:val="22"/>
                <w:szCs w:val="22"/>
                <w:lang w:eastAsia="zh-CN"/>
              </w:rPr>
            </w:pPr>
            <w:r w:rsidRPr="00990AB4">
              <w:rPr>
                <w:rFonts w:ascii="UT Sans" w:hAnsi="UT Sans"/>
                <w:sz w:val="22"/>
                <w:szCs w:val="22"/>
              </w:rPr>
              <w:t>Aspecte particulare:</w:t>
            </w:r>
          </w:p>
          <w:p w14:paraId="128A0045" w14:textId="77777777" w:rsidR="00E315B8" w:rsidRPr="00990AB4" w:rsidRDefault="00E315B8" w:rsidP="000874D6">
            <w:pPr>
              <w:rPr>
                <w:rFonts w:ascii="UT Sans" w:hAnsi="UT Sans"/>
                <w:sz w:val="22"/>
                <w:szCs w:val="22"/>
                <w:lang w:val="en-US" w:eastAsia="en-US"/>
              </w:rPr>
            </w:pPr>
            <w:r w:rsidRPr="00990AB4">
              <w:rPr>
                <w:rFonts w:ascii="UT Sans" w:hAnsi="UT Sans"/>
                <w:sz w:val="22"/>
                <w:szCs w:val="22"/>
              </w:rPr>
              <w:t xml:space="preserve">- </w:t>
            </w:r>
            <w:r w:rsidR="00F01832" w:rsidRPr="00990AB4">
              <w:rPr>
                <w:rFonts w:ascii="UT Sans" w:hAnsi="UT Sans"/>
                <w:sz w:val="22"/>
                <w:szCs w:val="22"/>
              </w:rPr>
              <w:t>............................................................</w:t>
            </w:r>
            <w:r w:rsidRPr="00990AB4">
              <w:rPr>
                <w:rFonts w:ascii="UT Sans" w:hAnsi="UT Sans"/>
                <w:sz w:val="22"/>
                <w:szCs w:val="22"/>
              </w:rPr>
              <w:t>;</w:t>
            </w:r>
          </w:p>
          <w:p w14:paraId="533909CB" w14:textId="77777777" w:rsidR="00E315B8" w:rsidRPr="00990AB4" w:rsidRDefault="00E315B8" w:rsidP="000874D6">
            <w:pPr>
              <w:rPr>
                <w:rFonts w:ascii="UT Sans" w:hAnsi="UT Sans"/>
                <w:sz w:val="22"/>
                <w:szCs w:val="22"/>
              </w:rPr>
            </w:pPr>
            <w:r w:rsidRPr="00990AB4">
              <w:rPr>
                <w:rFonts w:ascii="UT Sans" w:hAnsi="UT Sans"/>
                <w:sz w:val="22"/>
                <w:szCs w:val="22"/>
              </w:rPr>
              <w:t xml:space="preserve">- </w:t>
            </w:r>
            <w:r w:rsidR="00F01832" w:rsidRPr="00990AB4">
              <w:rPr>
                <w:rFonts w:ascii="UT Sans" w:hAnsi="UT Sans"/>
                <w:sz w:val="22"/>
                <w:szCs w:val="22"/>
              </w:rPr>
              <w:t>...........................................................</w:t>
            </w:r>
          </w:p>
          <w:p w14:paraId="4E398976" w14:textId="77777777" w:rsidR="00392440" w:rsidRPr="00990AB4" w:rsidRDefault="00392440" w:rsidP="000874D6">
            <w:pPr>
              <w:rPr>
                <w:rFonts w:ascii="UT Sans" w:hAnsi="UT Sans"/>
                <w:sz w:val="22"/>
                <w:szCs w:val="22"/>
                <w:lang w:eastAsia="zh-CN"/>
              </w:rPr>
            </w:pPr>
            <w:r w:rsidRPr="00990AB4">
              <w:rPr>
                <w:rFonts w:ascii="UT Sans" w:hAnsi="UT Sans"/>
                <w:sz w:val="20"/>
                <w:szCs w:val="20"/>
              </w:rPr>
              <w:t>(desene, aplica</w:t>
            </w:r>
            <w:r w:rsidR="006455AF" w:rsidRPr="00990AB4">
              <w:rPr>
                <w:rFonts w:ascii="UT Sans" w:hAnsi="UT Sans"/>
                <w:sz w:val="20"/>
                <w:szCs w:val="20"/>
              </w:rPr>
              <w:t>ț</w:t>
            </w:r>
            <w:r w:rsidRPr="00990AB4">
              <w:rPr>
                <w:rFonts w:ascii="UT Sans" w:hAnsi="UT Sans"/>
                <w:sz w:val="20"/>
                <w:szCs w:val="20"/>
              </w:rPr>
              <w:t>ii practice, metode specifice etc.)</w:t>
            </w:r>
          </w:p>
        </w:tc>
      </w:tr>
      <w:tr w:rsidR="00E315B8" w:rsidRPr="00990AB4" w14:paraId="6E642E9F" w14:textId="77777777" w:rsidTr="00392440">
        <w:tc>
          <w:tcPr>
            <w:tcW w:w="9360" w:type="dxa"/>
            <w:gridSpan w:val="2"/>
            <w:tcBorders>
              <w:top w:val="single" w:sz="4" w:space="0" w:color="auto"/>
              <w:left w:val="single" w:sz="4" w:space="0" w:color="auto"/>
              <w:bottom w:val="single" w:sz="4" w:space="0" w:color="auto"/>
              <w:right w:val="single" w:sz="4" w:space="0" w:color="auto"/>
            </w:tcBorders>
          </w:tcPr>
          <w:p w14:paraId="1A1CE64A" w14:textId="77777777" w:rsidR="00E315B8" w:rsidRPr="00990AB4" w:rsidRDefault="00E315B8" w:rsidP="000874D6">
            <w:pPr>
              <w:rPr>
                <w:rFonts w:ascii="UT Sans" w:hAnsi="UT Sans"/>
                <w:sz w:val="22"/>
                <w:szCs w:val="22"/>
                <w:lang w:eastAsia="zh-CN"/>
              </w:rPr>
            </w:pPr>
            <w:r w:rsidRPr="00990AB4">
              <w:rPr>
                <w:rFonts w:ascii="UT Sans" w:hAnsi="UT Sans"/>
                <w:sz w:val="22"/>
                <w:szCs w:val="22"/>
              </w:rPr>
              <w:t xml:space="preserve">Primit tema la data de: </w:t>
            </w:r>
            <w:r w:rsidR="00F01832" w:rsidRPr="00990AB4">
              <w:rPr>
                <w:rFonts w:ascii="UT Sans" w:hAnsi="UT Sans"/>
                <w:sz w:val="22"/>
                <w:szCs w:val="22"/>
              </w:rPr>
              <w:t>..............................................</w:t>
            </w:r>
          </w:p>
          <w:p w14:paraId="61BB6D7D" w14:textId="77777777" w:rsidR="00E315B8" w:rsidRPr="00990AB4" w:rsidRDefault="00E315B8" w:rsidP="000874D6">
            <w:pPr>
              <w:rPr>
                <w:rFonts w:ascii="UT Sans" w:hAnsi="UT Sans"/>
                <w:sz w:val="22"/>
                <w:szCs w:val="22"/>
                <w:lang w:eastAsia="zh-CN"/>
              </w:rPr>
            </w:pPr>
          </w:p>
        </w:tc>
      </w:tr>
      <w:tr w:rsidR="00E315B8" w:rsidRPr="00990AB4" w14:paraId="718493BB" w14:textId="77777777" w:rsidTr="00392440">
        <w:tc>
          <w:tcPr>
            <w:tcW w:w="9360" w:type="dxa"/>
            <w:gridSpan w:val="2"/>
            <w:tcBorders>
              <w:top w:val="single" w:sz="4" w:space="0" w:color="auto"/>
              <w:left w:val="single" w:sz="4" w:space="0" w:color="auto"/>
              <w:bottom w:val="single" w:sz="4" w:space="0" w:color="auto"/>
              <w:right w:val="single" w:sz="4" w:space="0" w:color="auto"/>
            </w:tcBorders>
            <w:hideMark/>
          </w:tcPr>
          <w:p w14:paraId="145D7E47" w14:textId="77777777" w:rsidR="00E315B8" w:rsidRPr="00990AB4" w:rsidRDefault="00E315B8" w:rsidP="000874D6">
            <w:pPr>
              <w:rPr>
                <w:rFonts w:ascii="UT Sans" w:hAnsi="UT Sans"/>
                <w:sz w:val="22"/>
                <w:szCs w:val="22"/>
              </w:rPr>
            </w:pPr>
            <w:r w:rsidRPr="00990AB4">
              <w:rPr>
                <w:rFonts w:ascii="UT Sans" w:hAnsi="UT Sans"/>
                <w:sz w:val="22"/>
                <w:szCs w:val="22"/>
              </w:rPr>
              <w:t xml:space="preserve">Data predării lucrării: </w:t>
            </w:r>
            <w:r w:rsidR="00F01832" w:rsidRPr="00990AB4">
              <w:rPr>
                <w:rFonts w:ascii="UT Sans" w:hAnsi="UT Sans"/>
                <w:sz w:val="22"/>
                <w:szCs w:val="22"/>
              </w:rPr>
              <w:t>.................................................</w:t>
            </w:r>
          </w:p>
          <w:p w14:paraId="61C22EA6" w14:textId="77777777" w:rsidR="00392440" w:rsidRPr="00990AB4" w:rsidRDefault="00392440" w:rsidP="000874D6">
            <w:pPr>
              <w:rPr>
                <w:rFonts w:ascii="UT Sans" w:hAnsi="UT Sans"/>
                <w:sz w:val="22"/>
                <w:szCs w:val="22"/>
                <w:lang w:eastAsia="zh-CN"/>
              </w:rPr>
            </w:pPr>
          </w:p>
        </w:tc>
      </w:tr>
      <w:tr w:rsidR="00E315B8" w:rsidRPr="00990AB4" w14:paraId="6068C611" w14:textId="77777777" w:rsidTr="00392440">
        <w:tc>
          <w:tcPr>
            <w:tcW w:w="9360" w:type="dxa"/>
            <w:gridSpan w:val="2"/>
            <w:tcBorders>
              <w:top w:val="single" w:sz="4" w:space="0" w:color="auto"/>
              <w:left w:val="single" w:sz="4" w:space="0" w:color="auto"/>
              <w:bottom w:val="single" w:sz="4" w:space="0" w:color="auto"/>
              <w:right w:val="single" w:sz="4" w:space="0" w:color="auto"/>
            </w:tcBorders>
            <w:hideMark/>
          </w:tcPr>
          <w:p w14:paraId="06246FB0" w14:textId="77777777" w:rsidR="00E315B8" w:rsidRPr="00990AB4" w:rsidRDefault="00E315B8" w:rsidP="000874D6">
            <w:pPr>
              <w:rPr>
                <w:rFonts w:ascii="UT Sans" w:hAnsi="UT Sans"/>
                <w:sz w:val="22"/>
                <w:szCs w:val="22"/>
                <w:lang w:eastAsia="zh-CN"/>
              </w:rPr>
            </w:pPr>
            <w:r w:rsidRPr="00990AB4">
              <w:rPr>
                <w:rFonts w:ascii="UT Sans" w:hAnsi="UT Sans"/>
                <w:sz w:val="22"/>
                <w:szCs w:val="22"/>
              </w:rPr>
              <w:t>Director departament,                                                                                 C</w:t>
            </w:r>
            <w:r w:rsidR="00A10952">
              <w:rPr>
                <w:rFonts w:ascii="UT Sans" w:hAnsi="UT Sans"/>
                <w:sz w:val="22"/>
                <w:szCs w:val="22"/>
              </w:rPr>
              <w:t>onducător științific</w:t>
            </w:r>
            <w:r w:rsidRPr="00990AB4">
              <w:rPr>
                <w:rFonts w:ascii="UT Sans" w:hAnsi="UT Sans"/>
                <w:sz w:val="22"/>
                <w:szCs w:val="22"/>
              </w:rPr>
              <w:t>,</w:t>
            </w:r>
          </w:p>
          <w:p w14:paraId="3EDD6511" w14:textId="77777777" w:rsidR="00E315B8" w:rsidRPr="00990AB4" w:rsidRDefault="00F01832" w:rsidP="000874D6">
            <w:pPr>
              <w:rPr>
                <w:rFonts w:ascii="UT Sans" w:hAnsi="UT Sans"/>
                <w:i/>
                <w:sz w:val="22"/>
                <w:szCs w:val="22"/>
              </w:rPr>
            </w:pPr>
            <w:r w:rsidRPr="00990AB4">
              <w:rPr>
                <w:rFonts w:ascii="UT Sans" w:hAnsi="UT Sans"/>
                <w:i/>
                <w:sz w:val="22"/>
                <w:szCs w:val="22"/>
              </w:rPr>
              <w:t>Titulatura. Numele și prenumele</w:t>
            </w:r>
            <w:r w:rsidR="00E315B8" w:rsidRPr="00990AB4">
              <w:rPr>
                <w:rFonts w:ascii="UT Sans" w:hAnsi="UT Sans"/>
                <w:i/>
                <w:sz w:val="22"/>
                <w:szCs w:val="22"/>
                <w:lang w:val="en-US"/>
              </w:rPr>
              <w:tab/>
            </w:r>
            <w:r w:rsidR="00E315B8" w:rsidRPr="00990AB4">
              <w:rPr>
                <w:rFonts w:ascii="UT Sans" w:hAnsi="UT Sans"/>
                <w:i/>
                <w:sz w:val="22"/>
                <w:szCs w:val="22"/>
                <w:lang w:val="en-US"/>
              </w:rPr>
              <w:tab/>
            </w:r>
            <w:r w:rsidR="00E315B8" w:rsidRPr="00990AB4">
              <w:rPr>
                <w:rFonts w:ascii="UT Sans" w:hAnsi="UT Sans"/>
                <w:i/>
                <w:sz w:val="22"/>
                <w:szCs w:val="22"/>
                <w:lang w:val="en-US"/>
              </w:rPr>
              <w:tab/>
            </w:r>
            <w:r w:rsidR="00E315B8" w:rsidRPr="00990AB4">
              <w:rPr>
                <w:rFonts w:ascii="UT Sans" w:hAnsi="UT Sans"/>
                <w:i/>
                <w:sz w:val="22"/>
                <w:szCs w:val="22"/>
                <w:lang w:val="en-US"/>
              </w:rPr>
              <w:tab/>
            </w:r>
            <w:r w:rsidRPr="00990AB4">
              <w:rPr>
                <w:rFonts w:ascii="UT Sans" w:hAnsi="UT Sans"/>
                <w:i/>
                <w:sz w:val="22"/>
                <w:szCs w:val="22"/>
              </w:rPr>
              <w:t>Titulatura. Numele și prenumele</w:t>
            </w:r>
          </w:p>
          <w:p w14:paraId="4E7B0482" w14:textId="77777777" w:rsidR="00392440" w:rsidRPr="00990AB4" w:rsidRDefault="00392440" w:rsidP="000874D6">
            <w:pPr>
              <w:rPr>
                <w:rFonts w:ascii="UT Sans" w:hAnsi="UT Sans"/>
                <w:i/>
                <w:sz w:val="22"/>
                <w:szCs w:val="22"/>
                <w:lang w:eastAsia="zh-CN"/>
              </w:rPr>
            </w:pPr>
          </w:p>
        </w:tc>
      </w:tr>
      <w:tr w:rsidR="00E315B8" w:rsidRPr="00990AB4" w14:paraId="3844A5D2" w14:textId="77777777" w:rsidTr="00392440">
        <w:tc>
          <w:tcPr>
            <w:tcW w:w="9360" w:type="dxa"/>
            <w:gridSpan w:val="2"/>
            <w:tcBorders>
              <w:top w:val="single" w:sz="4" w:space="0" w:color="auto"/>
              <w:left w:val="single" w:sz="4" w:space="0" w:color="auto"/>
              <w:bottom w:val="single" w:sz="4" w:space="0" w:color="auto"/>
              <w:right w:val="single" w:sz="4" w:space="0" w:color="auto"/>
            </w:tcBorders>
            <w:hideMark/>
          </w:tcPr>
          <w:p w14:paraId="2E836806" w14:textId="77777777" w:rsidR="00E315B8" w:rsidRPr="00990AB4" w:rsidRDefault="00E315B8" w:rsidP="000874D6">
            <w:pPr>
              <w:rPr>
                <w:rFonts w:ascii="UT Sans" w:hAnsi="UT Sans"/>
                <w:sz w:val="22"/>
                <w:szCs w:val="22"/>
                <w:lang w:eastAsia="zh-CN"/>
              </w:rPr>
            </w:pPr>
            <w:r w:rsidRPr="00990AB4">
              <w:rPr>
                <w:rFonts w:ascii="UT Sans" w:hAnsi="UT Sans"/>
                <w:sz w:val="22"/>
                <w:szCs w:val="22"/>
              </w:rPr>
              <w:t>Candidat,</w:t>
            </w:r>
          </w:p>
          <w:p w14:paraId="023A6C99" w14:textId="77777777" w:rsidR="00E315B8" w:rsidRPr="00990AB4" w:rsidRDefault="00F01832" w:rsidP="000874D6">
            <w:pPr>
              <w:rPr>
                <w:rFonts w:ascii="UT Sans" w:hAnsi="UT Sans"/>
                <w:i/>
                <w:sz w:val="22"/>
                <w:szCs w:val="22"/>
              </w:rPr>
            </w:pPr>
            <w:r w:rsidRPr="00990AB4">
              <w:rPr>
                <w:rFonts w:ascii="UT Sans" w:hAnsi="UT Sans"/>
                <w:i/>
                <w:sz w:val="22"/>
                <w:szCs w:val="22"/>
              </w:rPr>
              <w:t>Numele și prenumele</w:t>
            </w:r>
          </w:p>
          <w:p w14:paraId="1664E8D3" w14:textId="77777777" w:rsidR="00392440" w:rsidRPr="00990AB4" w:rsidRDefault="00392440" w:rsidP="000874D6">
            <w:pPr>
              <w:rPr>
                <w:rFonts w:ascii="UT Sans" w:hAnsi="UT Sans"/>
                <w:i/>
                <w:sz w:val="22"/>
                <w:szCs w:val="22"/>
                <w:lang w:eastAsia="en-US"/>
              </w:rPr>
            </w:pPr>
          </w:p>
        </w:tc>
      </w:tr>
    </w:tbl>
    <w:p w14:paraId="3C9A387D" w14:textId="77777777" w:rsidR="00F01832" w:rsidRPr="00990AB4" w:rsidRDefault="00F01832" w:rsidP="00773B3A">
      <w:pPr>
        <w:ind w:firstLine="709"/>
      </w:pPr>
      <w:r w:rsidRPr="00990AB4">
        <w:br w:type="page"/>
      </w:r>
    </w:p>
    <w:tbl>
      <w:tblPr>
        <w:tblW w:w="9393"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3"/>
        <w:gridCol w:w="207"/>
        <w:gridCol w:w="840"/>
        <w:gridCol w:w="1920"/>
        <w:gridCol w:w="2463"/>
        <w:gridCol w:w="2130"/>
      </w:tblGrid>
      <w:tr w:rsidR="00E315B8" w:rsidRPr="00990AB4" w14:paraId="5E12E24F" w14:textId="77777777" w:rsidTr="003600FB">
        <w:tc>
          <w:tcPr>
            <w:tcW w:w="9393" w:type="dxa"/>
            <w:gridSpan w:val="6"/>
            <w:tcBorders>
              <w:top w:val="single" w:sz="4" w:space="0" w:color="auto"/>
              <w:left w:val="single" w:sz="4" w:space="0" w:color="auto"/>
              <w:bottom w:val="single" w:sz="4" w:space="0" w:color="auto"/>
              <w:right w:val="single" w:sz="4" w:space="0" w:color="auto"/>
            </w:tcBorders>
            <w:hideMark/>
          </w:tcPr>
          <w:p w14:paraId="0375ED07" w14:textId="77777777" w:rsidR="00E315B8" w:rsidRPr="00990AB4" w:rsidRDefault="00E315B8" w:rsidP="006D0900">
            <w:pPr>
              <w:jc w:val="center"/>
              <w:rPr>
                <w:rFonts w:ascii="UT Sans" w:hAnsi="UT Sans"/>
                <w:b/>
                <w:lang w:eastAsia="zh-CN"/>
              </w:rPr>
            </w:pPr>
            <w:r w:rsidRPr="00990AB4">
              <w:rPr>
                <w:rFonts w:ascii="UT Sans" w:hAnsi="UT Sans"/>
                <w:b/>
                <w:lang w:val="pt-BR"/>
              </w:rPr>
              <w:lastRenderedPageBreak/>
              <w:t>PROIECT DE DIPLOM</w:t>
            </w:r>
            <w:r w:rsidRPr="00990AB4">
              <w:rPr>
                <w:rFonts w:ascii="UT Sans" w:hAnsi="UT Sans"/>
                <w:b/>
              </w:rPr>
              <w:t>Ă – VIZE</w:t>
            </w:r>
          </w:p>
        </w:tc>
      </w:tr>
      <w:tr w:rsidR="00E315B8" w:rsidRPr="00990AB4" w14:paraId="5410D089" w14:textId="77777777" w:rsidTr="00A10952">
        <w:tc>
          <w:tcPr>
            <w:tcW w:w="1833" w:type="dxa"/>
            <w:tcBorders>
              <w:top w:val="single" w:sz="4" w:space="0" w:color="auto"/>
              <w:left w:val="single" w:sz="4" w:space="0" w:color="auto"/>
              <w:bottom w:val="single" w:sz="4" w:space="0" w:color="auto"/>
              <w:right w:val="single" w:sz="4" w:space="0" w:color="auto"/>
            </w:tcBorders>
            <w:vAlign w:val="center"/>
            <w:hideMark/>
          </w:tcPr>
          <w:p w14:paraId="1580D674" w14:textId="77777777" w:rsidR="00E315B8" w:rsidRPr="00990AB4" w:rsidRDefault="00E315B8" w:rsidP="006D0900">
            <w:pPr>
              <w:jc w:val="center"/>
              <w:rPr>
                <w:rFonts w:ascii="UT Sans" w:hAnsi="UT Sans"/>
                <w:sz w:val="22"/>
                <w:szCs w:val="22"/>
                <w:lang w:eastAsia="zh-CN"/>
              </w:rPr>
            </w:pPr>
            <w:r w:rsidRPr="00990AB4">
              <w:rPr>
                <w:rFonts w:ascii="UT Sans" w:hAnsi="UT Sans"/>
                <w:sz w:val="22"/>
                <w:szCs w:val="22"/>
              </w:rPr>
              <w:t>Data vizei</w:t>
            </w:r>
          </w:p>
        </w:tc>
        <w:tc>
          <w:tcPr>
            <w:tcW w:w="5430" w:type="dxa"/>
            <w:gridSpan w:val="4"/>
            <w:tcBorders>
              <w:top w:val="single" w:sz="4" w:space="0" w:color="auto"/>
              <w:left w:val="single" w:sz="4" w:space="0" w:color="auto"/>
              <w:bottom w:val="single" w:sz="4" w:space="0" w:color="auto"/>
              <w:right w:val="single" w:sz="4" w:space="0" w:color="auto"/>
            </w:tcBorders>
            <w:vAlign w:val="center"/>
            <w:hideMark/>
          </w:tcPr>
          <w:p w14:paraId="0AAFED3F" w14:textId="77777777" w:rsidR="00E315B8" w:rsidRPr="00990AB4" w:rsidRDefault="00E315B8" w:rsidP="006D0900">
            <w:pPr>
              <w:jc w:val="center"/>
              <w:rPr>
                <w:rFonts w:ascii="UT Sans" w:hAnsi="UT Sans"/>
                <w:sz w:val="22"/>
                <w:szCs w:val="22"/>
                <w:lang w:eastAsia="zh-CN"/>
              </w:rPr>
            </w:pPr>
            <w:r w:rsidRPr="00990AB4">
              <w:rPr>
                <w:rFonts w:ascii="UT Sans" w:hAnsi="UT Sans"/>
                <w:sz w:val="22"/>
                <w:szCs w:val="22"/>
              </w:rPr>
              <w:t>Capitole/ problemele analizate</w:t>
            </w:r>
          </w:p>
        </w:tc>
        <w:tc>
          <w:tcPr>
            <w:tcW w:w="2130" w:type="dxa"/>
            <w:tcBorders>
              <w:top w:val="single" w:sz="4" w:space="0" w:color="auto"/>
              <w:left w:val="single" w:sz="4" w:space="0" w:color="auto"/>
              <w:bottom w:val="single" w:sz="4" w:space="0" w:color="auto"/>
              <w:right w:val="single" w:sz="4" w:space="0" w:color="auto"/>
            </w:tcBorders>
            <w:vAlign w:val="center"/>
            <w:hideMark/>
          </w:tcPr>
          <w:p w14:paraId="1A2D39D8" w14:textId="77777777" w:rsidR="00E315B8" w:rsidRPr="00990AB4" w:rsidRDefault="00E315B8" w:rsidP="00A10952">
            <w:pPr>
              <w:jc w:val="center"/>
              <w:rPr>
                <w:rFonts w:ascii="UT Sans" w:hAnsi="UT Sans"/>
                <w:sz w:val="22"/>
                <w:szCs w:val="22"/>
                <w:lang w:eastAsia="zh-CN"/>
              </w:rPr>
            </w:pPr>
            <w:r w:rsidRPr="00990AB4">
              <w:rPr>
                <w:rFonts w:ascii="UT Sans" w:hAnsi="UT Sans"/>
                <w:sz w:val="22"/>
                <w:szCs w:val="22"/>
              </w:rPr>
              <w:t xml:space="preserve">Semnătura </w:t>
            </w:r>
            <w:r w:rsidR="00A10952">
              <w:rPr>
                <w:rFonts w:ascii="UT Sans" w:hAnsi="UT Sans"/>
                <w:sz w:val="22"/>
                <w:szCs w:val="22"/>
              </w:rPr>
              <w:t>conducătorului științific</w:t>
            </w:r>
          </w:p>
        </w:tc>
      </w:tr>
      <w:tr w:rsidR="00E315B8" w:rsidRPr="00990AB4" w14:paraId="59BDC780" w14:textId="77777777" w:rsidTr="00A10952">
        <w:trPr>
          <w:trHeight w:val="389"/>
        </w:trPr>
        <w:tc>
          <w:tcPr>
            <w:tcW w:w="1833" w:type="dxa"/>
            <w:tcBorders>
              <w:top w:val="single" w:sz="4" w:space="0" w:color="auto"/>
              <w:left w:val="single" w:sz="4" w:space="0" w:color="auto"/>
              <w:bottom w:val="single" w:sz="4" w:space="0" w:color="auto"/>
              <w:right w:val="single" w:sz="4" w:space="0" w:color="auto"/>
            </w:tcBorders>
            <w:vAlign w:val="center"/>
            <w:hideMark/>
          </w:tcPr>
          <w:p w14:paraId="241CF309" w14:textId="77777777" w:rsidR="00E315B8" w:rsidRPr="00990AB4" w:rsidRDefault="00E315B8" w:rsidP="006D0900">
            <w:pPr>
              <w:jc w:val="center"/>
              <w:rPr>
                <w:rFonts w:ascii="UT Sans" w:hAnsi="UT Sans"/>
                <w:sz w:val="22"/>
                <w:szCs w:val="22"/>
                <w:lang w:eastAsia="zh-CN"/>
              </w:rPr>
            </w:pPr>
          </w:p>
        </w:tc>
        <w:tc>
          <w:tcPr>
            <w:tcW w:w="5430" w:type="dxa"/>
            <w:gridSpan w:val="4"/>
            <w:tcBorders>
              <w:top w:val="single" w:sz="4" w:space="0" w:color="auto"/>
              <w:left w:val="single" w:sz="4" w:space="0" w:color="auto"/>
              <w:bottom w:val="single" w:sz="4" w:space="0" w:color="auto"/>
              <w:right w:val="single" w:sz="4" w:space="0" w:color="auto"/>
            </w:tcBorders>
            <w:hideMark/>
          </w:tcPr>
          <w:p w14:paraId="05A45CE4" w14:textId="77777777" w:rsidR="00E315B8" w:rsidRPr="00990AB4" w:rsidRDefault="00E315B8" w:rsidP="006D0900">
            <w:pPr>
              <w:rPr>
                <w:rFonts w:ascii="UT Sans" w:hAnsi="UT Sans"/>
                <w:sz w:val="22"/>
                <w:szCs w:val="22"/>
                <w:lang w:eastAsia="zh-CN"/>
              </w:rPr>
            </w:pPr>
            <w:r w:rsidRPr="00990AB4">
              <w:rPr>
                <w:rFonts w:ascii="UT Sans" w:hAnsi="UT Sans"/>
                <w:sz w:val="22"/>
                <w:szCs w:val="22"/>
              </w:rPr>
              <w:t>.....</w:t>
            </w:r>
          </w:p>
        </w:tc>
        <w:tc>
          <w:tcPr>
            <w:tcW w:w="2130" w:type="dxa"/>
            <w:tcBorders>
              <w:top w:val="single" w:sz="4" w:space="0" w:color="auto"/>
              <w:left w:val="single" w:sz="4" w:space="0" w:color="auto"/>
              <w:bottom w:val="single" w:sz="4" w:space="0" w:color="auto"/>
              <w:right w:val="single" w:sz="4" w:space="0" w:color="auto"/>
            </w:tcBorders>
          </w:tcPr>
          <w:p w14:paraId="0D8C4849" w14:textId="77777777" w:rsidR="00E315B8" w:rsidRPr="003600FB" w:rsidRDefault="00E315B8" w:rsidP="006D0900">
            <w:pPr>
              <w:rPr>
                <w:rFonts w:ascii="UT Sans" w:hAnsi="UT Sans"/>
                <w:color w:val="C2D69B" w:themeColor="accent3" w:themeTint="99"/>
                <w:sz w:val="22"/>
                <w:szCs w:val="22"/>
                <w:u w:val="dotted"/>
                <w:lang w:eastAsia="zh-CN"/>
              </w:rPr>
            </w:pPr>
          </w:p>
        </w:tc>
      </w:tr>
      <w:tr w:rsidR="00E315B8" w:rsidRPr="00990AB4" w14:paraId="1B08F8BF" w14:textId="77777777" w:rsidTr="00A10952">
        <w:trPr>
          <w:trHeight w:val="389"/>
        </w:trPr>
        <w:tc>
          <w:tcPr>
            <w:tcW w:w="1833" w:type="dxa"/>
            <w:tcBorders>
              <w:top w:val="single" w:sz="4" w:space="0" w:color="auto"/>
              <w:left w:val="single" w:sz="4" w:space="0" w:color="auto"/>
              <w:bottom w:val="single" w:sz="4" w:space="0" w:color="auto"/>
              <w:right w:val="single" w:sz="4" w:space="0" w:color="auto"/>
            </w:tcBorders>
            <w:vAlign w:val="center"/>
            <w:hideMark/>
          </w:tcPr>
          <w:p w14:paraId="609B4F11" w14:textId="77777777" w:rsidR="00E315B8" w:rsidRPr="00990AB4" w:rsidRDefault="00E315B8" w:rsidP="006D0900">
            <w:pPr>
              <w:jc w:val="center"/>
              <w:rPr>
                <w:rFonts w:ascii="UT Sans" w:hAnsi="UT Sans"/>
                <w:sz w:val="22"/>
                <w:szCs w:val="22"/>
                <w:lang w:eastAsia="zh-CN"/>
              </w:rPr>
            </w:pPr>
          </w:p>
        </w:tc>
        <w:tc>
          <w:tcPr>
            <w:tcW w:w="5430" w:type="dxa"/>
            <w:gridSpan w:val="4"/>
            <w:tcBorders>
              <w:top w:val="single" w:sz="4" w:space="0" w:color="auto"/>
              <w:left w:val="single" w:sz="4" w:space="0" w:color="auto"/>
              <w:bottom w:val="single" w:sz="4" w:space="0" w:color="auto"/>
              <w:right w:val="single" w:sz="4" w:space="0" w:color="auto"/>
            </w:tcBorders>
            <w:hideMark/>
          </w:tcPr>
          <w:p w14:paraId="413529A6" w14:textId="77777777" w:rsidR="00E315B8" w:rsidRPr="00990AB4" w:rsidRDefault="00E315B8" w:rsidP="006D0900">
            <w:pPr>
              <w:rPr>
                <w:rFonts w:ascii="UT Sans" w:hAnsi="UT Sans"/>
                <w:sz w:val="22"/>
                <w:szCs w:val="22"/>
                <w:lang w:eastAsia="zh-CN"/>
              </w:rPr>
            </w:pPr>
            <w:r w:rsidRPr="00990AB4">
              <w:rPr>
                <w:rFonts w:ascii="UT Sans" w:hAnsi="UT Sans"/>
                <w:sz w:val="22"/>
                <w:szCs w:val="22"/>
              </w:rPr>
              <w:t>.....</w:t>
            </w:r>
          </w:p>
        </w:tc>
        <w:tc>
          <w:tcPr>
            <w:tcW w:w="2130" w:type="dxa"/>
            <w:tcBorders>
              <w:top w:val="single" w:sz="4" w:space="0" w:color="auto"/>
              <w:left w:val="single" w:sz="4" w:space="0" w:color="auto"/>
              <w:bottom w:val="single" w:sz="4" w:space="0" w:color="auto"/>
              <w:right w:val="single" w:sz="4" w:space="0" w:color="auto"/>
            </w:tcBorders>
          </w:tcPr>
          <w:p w14:paraId="2F8BA36A" w14:textId="77777777" w:rsidR="00E315B8" w:rsidRPr="003600FB" w:rsidRDefault="00E315B8" w:rsidP="006D0900">
            <w:pPr>
              <w:rPr>
                <w:rFonts w:ascii="UT Sans" w:hAnsi="UT Sans"/>
                <w:color w:val="C2D69B" w:themeColor="accent3" w:themeTint="99"/>
                <w:sz w:val="22"/>
                <w:szCs w:val="22"/>
                <w:u w:val="dotted"/>
                <w:lang w:eastAsia="zh-CN"/>
              </w:rPr>
            </w:pPr>
          </w:p>
        </w:tc>
      </w:tr>
      <w:tr w:rsidR="00E315B8" w:rsidRPr="00990AB4" w14:paraId="19685BEE" w14:textId="77777777" w:rsidTr="00A10952">
        <w:trPr>
          <w:trHeight w:val="389"/>
        </w:trPr>
        <w:tc>
          <w:tcPr>
            <w:tcW w:w="1833" w:type="dxa"/>
            <w:tcBorders>
              <w:top w:val="single" w:sz="4" w:space="0" w:color="auto"/>
              <w:left w:val="single" w:sz="4" w:space="0" w:color="auto"/>
              <w:bottom w:val="single" w:sz="4" w:space="0" w:color="auto"/>
              <w:right w:val="single" w:sz="4" w:space="0" w:color="auto"/>
            </w:tcBorders>
            <w:vAlign w:val="center"/>
            <w:hideMark/>
          </w:tcPr>
          <w:p w14:paraId="423B65B1" w14:textId="77777777" w:rsidR="00E315B8" w:rsidRPr="00990AB4" w:rsidRDefault="00E315B8" w:rsidP="006D0900">
            <w:pPr>
              <w:jc w:val="center"/>
              <w:rPr>
                <w:rFonts w:ascii="UT Sans" w:hAnsi="UT Sans"/>
                <w:sz w:val="22"/>
                <w:szCs w:val="22"/>
                <w:lang w:eastAsia="zh-CN"/>
              </w:rPr>
            </w:pPr>
          </w:p>
        </w:tc>
        <w:tc>
          <w:tcPr>
            <w:tcW w:w="5430" w:type="dxa"/>
            <w:gridSpan w:val="4"/>
            <w:tcBorders>
              <w:top w:val="single" w:sz="4" w:space="0" w:color="auto"/>
              <w:left w:val="single" w:sz="4" w:space="0" w:color="auto"/>
              <w:bottom w:val="single" w:sz="4" w:space="0" w:color="auto"/>
              <w:right w:val="single" w:sz="4" w:space="0" w:color="auto"/>
            </w:tcBorders>
            <w:hideMark/>
          </w:tcPr>
          <w:p w14:paraId="7BB91AE1" w14:textId="77777777" w:rsidR="00E315B8" w:rsidRPr="00990AB4" w:rsidRDefault="00E315B8" w:rsidP="006D0900">
            <w:pPr>
              <w:rPr>
                <w:rFonts w:ascii="UT Sans" w:hAnsi="UT Sans"/>
                <w:sz w:val="22"/>
                <w:szCs w:val="22"/>
                <w:lang w:eastAsia="zh-CN"/>
              </w:rPr>
            </w:pPr>
            <w:r w:rsidRPr="00990AB4">
              <w:rPr>
                <w:rFonts w:ascii="UT Sans" w:hAnsi="UT Sans"/>
                <w:sz w:val="22"/>
                <w:szCs w:val="22"/>
              </w:rPr>
              <w:t>.....</w:t>
            </w:r>
          </w:p>
        </w:tc>
        <w:tc>
          <w:tcPr>
            <w:tcW w:w="2130" w:type="dxa"/>
            <w:tcBorders>
              <w:top w:val="single" w:sz="4" w:space="0" w:color="auto"/>
              <w:left w:val="single" w:sz="4" w:space="0" w:color="auto"/>
              <w:bottom w:val="single" w:sz="4" w:space="0" w:color="auto"/>
              <w:right w:val="single" w:sz="4" w:space="0" w:color="auto"/>
            </w:tcBorders>
          </w:tcPr>
          <w:p w14:paraId="074912F1" w14:textId="77777777" w:rsidR="00E315B8" w:rsidRPr="003600FB" w:rsidRDefault="00E315B8" w:rsidP="006D0900">
            <w:pPr>
              <w:rPr>
                <w:rFonts w:ascii="UT Sans" w:hAnsi="UT Sans"/>
                <w:color w:val="C2D69B" w:themeColor="accent3" w:themeTint="99"/>
                <w:sz w:val="22"/>
                <w:szCs w:val="22"/>
                <w:u w:val="dotted"/>
                <w:lang w:eastAsia="zh-CN"/>
              </w:rPr>
            </w:pPr>
          </w:p>
        </w:tc>
      </w:tr>
      <w:tr w:rsidR="00E315B8" w:rsidRPr="00990AB4" w14:paraId="371088D7" w14:textId="77777777" w:rsidTr="00A10952">
        <w:trPr>
          <w:trHeight w:val="389"/>
        </w:trPr>
        <w:tc>
          <w:tcPr>
            <w:tcW w:w="1833" w:type="dxa"/>
            <w:tcBorders>
              <w:top w:val="single" w:sz="4" w:space="0" w:color="auto"/>
              <w:left w:val="single" w:sz="4" w:space="0" w:color="auto"/>
              <w:bottom w:val="single" w:sz="4" w:space="0" w:color="auto"/>
              <w:right w:val="single" w:sz="4" w:space="0" w:color="auto"/>
            </w:tcBorders>
            <w:vAlign w:val="center"/>
            <w:hideMark/>
          </w:tcPr>
          <w:p w14:paraId="539B6BA9" w14:textId="77777777" w:rsidR="00E315B8" w:rsidRPr="00990AB4" w:rsidRDefault="00E315B8" w:rsidP="006D0900">
            <w:pPr>
              <w:jc w:val="center"/>
              <w:rPr>
                <w:rFonts w:ascii="UT Sans" w:hAnsi="UT Sans"/>
                <w:sz w:val="22"/>
                <w:szCs w:val="22"/>
                <w:lang w:eastAsia="zh-CN"/>
              </w:rPr>
            </w:pPr>
          </w:p>
        </w:tc>
        <w:tc>
          <w:tcPr>
            <w:tcW w:w="5430" w:type="dxa"/>
            <w:gridSpan w:val="4"/>
            <w:tcBorders>
              <w:top w:val="single" w:sz="4" w:space="0" w:color="auto"/>
              <w:left w:val="single" w:sz="4" w:space="0" w:color="auto"/>
              <w:bottom w:val="single" w:sz="4" w:space="0" w:color="auto"/>
              <w:right w:val="single" w:sz="4" w:space="0" w:color="auto"/>
            </w:tcBorders>
            <w:hideMark/>
          </w:tcPr>
          <w:p w14:paraId="0C7E2710" w14:textId="77777777" w:rsidR="00E315B8" w:rsidRPr="00990AB4" w:rsidRDefault="00E315B8" w:rsidP="006D0900">
            <w:pPr>
              <w:rPr>
                <w:rFonts w:ascii="UT Sans" w:hAnsi="UT Sans"/>
                <w:sz w:val="22"/>
                <w:szCs w:val="22"/>
                <w:lang w:eastAsia="zh-CN"/>
              </w:rPr>
            </w:pPr>
            <w:r w:rsidRPr="00990AB4">
              <w:rPr>
                <w:rFonts w:ascii="UT Sans" w:hAnsi="UT Sans"/>
                <w:sz w:val="22"/>
                <w:szCs w:val="22"/>
              </w:rPr>
              <w:t>......</w:t>
            </w:r>
          </w:p>
        </w:tc>
        <w:tc>
          <w:tcPr>
            <w:tcW w:w="2130" w:type="dxa"/>
            <w:tcBorders>
              <w:top w:val="single" w:sz="4" w:space="0" w:color="auto"/>
              <w:left w:val="single" w:sz="4" w:space="0" w:color="auto"/>
              <w:bottom w:val="single" w:sz="4" w:space="0" w:color="auto"/>
              <w:right w:val="single" w:sz="4" w:space="0" w:color="auto"/>
            </w:tcBorders>
          </w:tcPr>
          <w:p w14:paraId="5EAD3D2B" w14:textId="77777777" w:rsidR="00E315B8" w:rsidRPr="003600FB" w:rsidRDefault="00E315B8" w:rsidP="006D0900">
            <w:pPr>
              <w:rPr>
                <w:rFonts w:ascii="UT Sans" w:hAnsi="UT Sans"/>
                <w:color w:val="C2D69B" w:themeColor="accent3" w:themeTint="99"/>
                <w:sz w:val="22"/>
                <w:szCs w:val="22"/>
                <w:u w:val="dotted"/>
                <w:lang w:eastAsia="zh-CN"/>
              </w:rPr>
            </w:pPr>
          </w:p>
        </w:tc>
      </w:tr>
      <w:tr w:rsidR="00E315B8" w:rsidRPr="00990AB4" w14:paraId="1843B167" w14:textId="77777777" w:rsidTr="00A10952">
        <w:trPr>
          <w:trHeight w:val="389"/>
        </w:trPr>
        <w:tc>
          <w:tcPr>
            <w:tcW w:w="1833" w:type="dxa"/>
            <w:tcBorders>
              <w:top w:val="single" w:sz="4" w:space="0" w:color="auto"/>
              <w:left w:val="single" w:sz="4" w:space="0" w:color="auto"/>
              <w:bottom w:val="single" w:sz="4" w:space="0" w:color="auto"/>
              <w:right w:val="single" w:sz="4" w:space="0" w:color="auto"/>
            </w:tcBorders>
            <w:vAlign w:val="center"/>
            <w:hideMark/>
          </w:tcPr>
          <w:p w14:paraId="105E815E" w14:textId="77777777" w:rsidR="00E315B8" w:rsidRPr="00990AB4" w:rsidRDefault="00E315B8" w:rsidP="006D0900">
            <w:pPr>
              <w:jc w:val="center"/>
              <w:rPr>
                <w:rFonts w:ascii="UT Sans" w:hAnsi="UT Sans"/>
                <w:sz w:val="22"/>
                <w:szCs w:val="22"/>
                <w:lang w:eastAsia="zh-CN"/>
              </w:rPr>
            </w:pPr>
          </w:p>
        </w:tc>
        <w:tc>
          <w:tcPr>
            <w:tcW w:w="5430" w:type="dxa"/>
            <w:gridSpan w:val="4"/>
            <w:tcBorders>
              <w:top w:val="single" w:sz="4" w:space="0" w:color="auto"/>
              <w:left w:val="single" w:sz="4" w:space="0" w:color="auto"/>
              <w:bottom w:val="single" w:sz="4" w:space="0" w:color="auto"/>
              <w:right w:val="single" w:sz="4" w:space="0" w:color="auto"/>
            </w:tcBorders>
            <w:hideMark/>
          </w:tcPr>
          <w:p w14:paraId="14959DC9" w14:textId="77777777" w:rsidR="00E315B8" w:rsidRPr="003F5F3F" w:rsidRDefault="0099569B" w:rsidP="00146F7C">
            <w:pPr>
              <w:rPr>
                <w:rFonts w:ascii="UT Sans" w:hAnsi="UT Sans"/>
                <w:b/>
                <w:sz w:val="20"/>
                <w:szCs w:val="20"/>
                <w:lang w:eastAsia="zh-CN"/>
              </w:rPr>
            </w:pPr>
            <w:r w:rsidRPr="003F5F3F">
              <w:rPr>
                <w:rFonts w:ascii="UT Sans" w:hAnsi="UT Sans"/>
                <w:b/>
                <w:color w:val="FF0000"/>
                <w:sz w:val="20"/>
                <w:szCs w:val="20"/>
              </w:rPr>
              <w:t>Verificare procentaj similaritate Turnitin (</w:t>
            </w:r>
            <w:r w:rsidR="00486651">
              <w:rPr>
                <w:rFonts w:ascii="UT Sans" w:hAnsi="UT Sans"/>
                <w:b/>
                <w:color w:val="FF0000"/>
                <w:sz w:val="20"/>
                <w:szCs w:val="20"/>
              </w:rPr>
              <w:t>total</w:t>
            </w:r>
            <w:r w:rsidRPr="003F5F3F">
              <w:rPr>
                <w:rFonts w:ascii="UT Sans" w:hAnsi="UT Sans"/>
                <w:b/>
                <w:color w:val="FF0000"/>
                <w:sz w:val="20"/>
                <w:szCs w:val="20"/>
              </w:rPr>
              <w:t xml:space="preserve"> ≤</w:t>
            </w:r>
            <w:r w:rsidR="00146F7C">
              <w:rPr>
                <w:rFonts w:ascii="UT Sans" w:hAnsi="UT Sans"/>
                <w:b/>
                <w:color w:val="FF0000"/>
                <w:sz w:val="20"/>
                <w:szCs w:val="20"/>
              </w:rPr>
              <w:t>15</w:t>
            </w:r>
            <w:r w:rsidRPr="003F5F3F">
              <w:rPr>
                <w:rFonts w:ascii="UT Sans" w:hAnsi="UT Sans"/>
                <w:b/>
                <w:color w:val="FF0000"/>
                <w:sz w:val="20"/>
                <w:szCs w:val="20"/>
              </w:rPr>
              <w:t>%</w:t>
            </w:r>
            <w:r w:rsidR="00060A38">
              <w:rPr>
                <w:rFonts w:ascii="UT Sans" w:hAnsi="UT Sans"/>
                <w:b/>
                <w:color w:val="FF0000"/>
                <w:sz w:val="20"/>
                <w:szCs w:val="20"/>
              </w:rPr>
              <w:t xml:space="preserve"> </w:t>
            </w:r>
            <w:r w:rsidR="00486651" w:rsidRPr="00486651">
              <w:rPr>
                <w:rFonts w:ascii="UT Sans" w:hAnsi="UT Sans"/>
                <w:b/>
                <w:color w:val="FF0000"/>
                <w:sz w:val="20"/>
                <w:szCs w:val="20"/>
              </w:rPr>
              <w:t>și</w:t>
            </w:r>
            <w:r w:rsidR="00486651">
              <w:rPr>
                <w:rFonts w:ascii="UT Sans" w:hAnsi="UT Sans"/>
                <w:b/>
                <w:color w:val="FF0000"/>
                <w:sz w:val="20"/>
                <w:szCs w:val="20"/>
              </w:rPr>
              <w:t xml:space="preserve"> o singura sursa </w:t>
            </w:r>
            <w:r w:rsidR="00486651" w:rsidRPr="003F5F3F">
              <w:rPr>
                <w:rFonts w:ascii="UT Sans" w:hAnsi="UT Sans"/>
                <w:b/>
                <w:color w:val="FF0000"/>
                <w:sz w:val="20"/>
                <w:szCs w:val="20"/>
              </w:rPr>
              <w:t>≤</w:t>
            </w:r>
            <w:r w:rsidR="00146F7C">
              <w:rPr>
                <w:rFonts w:ascii="UT Sans" w:hAnsi="UT Sans"/>
                <w:b/>
                <w:color w:val="FF0000"/>
                <w:sz w:val="20"/>
                <w:szCs w:val="20"/>
              </w:rPr>
              <w:t>5</w:t>
            </w:r>
            <w:r w:rsidR="00486651" w:rsidRPr="003F5F3F">
              <w:rPr>
                <w:rFonts w:ascii="UT Sans" w:hAnsi="UT Sans"/>
                <w:b/>
                <w:color w:val="FF0000"/>
                <w:sz w:val="20"/>
                <w:szCs w:val="20"/>
              </w:rPr>
              <w:t>%</w:t>
            </w:r>
            <w:r w:rsidRPr="003F5F3F">
              <w:rPr>
                <w:rFonts w:ascii="UT Sans" w:hAnsi="UT Sans"/>
                <w:b/>
                <w:color w:val="FF0000"/>
                <w:sz w:val="20"/>
                <w:szCs w:val="20"/>
              </w:rPr>
              <w:t>)</w:t>
            </w:r>
          </w:p>
        </w:tc>
        <w:tc>
          <w:tcPr>
            <w:tcW w:w="2130" w:type="dxa"/>
            <w:tcBorders>
              <w:top w:val="single" w:sz="4" w:space="0" w:color="auto"/>
              <w:left w:val="single" w:sz="4" w:space="0" w:color="auto"/>
              <w:bottom w:val="single" w:sz="4" w:space="0" w:color="auto"/>
              <w:right w:val="single" w:sz="4" w:space="0" w:color="auto"/>
            </w:tcBorders>
          </w:tcPr>
          <w:p w14:paraId="4AD2E90F" w14:textId="77777777" w:rsidR="00E315B8" w:rsidRPr="003600FB" w:rsidRDefault="00E315B8" w:rsidP="006D0900">
            <w:pPr>
              <w:rPr>
                <w:rFonts w:ascii="UT Sans" w:hAnsi="UT Sans"/>
                <w:color w:val="C2D69B" w:themeColor="accent3" w:themeTint="99"/>
                <w:sz w:val="22"/>
                <w:szCs w:val="22"/>
                <w:u w:val="dotted"/>
                <w:lang w:eastAsia="zh-CN"/>
              </w:rPr>
            </w:pPr>
          </w:p>
        </w:tc>
      </w:tr>
      <w:tr w:rsidR="00E315B8" w:rsidRPr="00990AB4" w14:paraId="3A6871C8" w14:textId="77777777" w:rsidTr="003600FB">
        <w:tc>
          <w:tcPr>
            <w:tcW w:w="9393" w:type="dxa"/>
            <w:gridSpan w:val="6"/>
            <w:tcBorders>
              <w:top w:val="single" w:sz="4" w:space="0" w:color="auto"/>
              <w:left w:val="single" w:sz="4" w:space="0" w:color="auto"/>
              <w:bottom w:val="single" w:sz="4" w:space="0" w:color="auto"/>
              <w:right w:val="single" w:sz="4" w:space="0" w:color="auto"/>
            </w:tcBorders>
            <w:hideMark/>
          </w:tcPr>
          <w:p w14:paraId="77F984CC" w14:textId="77777777" w:rsidR="00E315B8" w:rsidRPr="00990AB4" w:rsidRDefault="00E315B8" w:rsidP="00A10952">
            <w:pPr>
              <w:jc w:val="center"/>
              <w:rPr>
                <w:rFonts w:ascii="UT Sans" w:hAnsi="UT Sans"/>
                <w:b/>
                <w:lang w:eastAsia="zh-CN"/>
              </w:rPr>
            </w:pPr>
            <w:r w:rsidRPr="00990AB4">
              <w:rPr>
                <w:rFonts w:ascii="UT Sans" w:hAnsi="UT Sans"/>
                <w:b/>
              </w:rPr>
              <w:t xml:space="preserve">APRECIEREA ŞI AVIZUL </w:t>
            </w:r>
            <w:r w:rsidR="00A10952">
              <w:rPr>
                <w:rFonts w:ascii="UT Sans" w:hAnsi="UT Sans"/>
                <w:b/>
              </w:rPr>
              <w:t>CONDUCĂTORULUI ȘTIINȚIFIC</w:t>
            </w:r>
          </w:p>
        </w:tc>
      </w:tr>
      <w:tr w:rsidR="00E315B8" w:rsidRPr="00990AB4" w14:paraId="60EF7E62" w14:textId="77777777" w:rsidTr="003600FB">
        <w:tc>
          <w:tcPr>
            <w:tcW w:w="9393" w:type="dxa"/>
            <w:gridSpan w:val="6"/>
            <w:tcBorders>
              <w:top w:val="single" w:sz="4" w:space="0" w:color="auto"/>
              <w:left w:val="single" w:sz="4" w:space="0" w:color="auto"/>
              <w:bottom w:val="single" w:sz="4" w:space="0" w:color="auto"/>
              <w:right w:val="single" w:sz="4" w:space="0" w:color="auto"/>
            </w:tcBorders>
          </w:tcPr>
          <w:p w14:paraId="53E1E03E" w14:textId="77777777" w:rsidR="00392440" w:rsidRPr="00990AB4" w:rsidRDefault="00392440" w:rsidP="006D0900">
            <w:pPr>
              <w:rPr>
                <w:rFonts w:ascii="UT Sans" w:hAnsi="UT Sans"/>
                <w:sz w:val="20"/>
                <w:szCs w:val="20"/>
              </w:rPr>
            </w:pPr>
          </w:p>
          <w:p w14:paraId="1B649B85" w14:textId="77777777" w:rsidR="00392440" w:rsidRPr="00990AB4" w:rsidRDefault="00392440" w:rsidP="006D0900">
            <w:pPr>
              <w:rPr>
                <w:rFonts w:ascii="UT Sans" w:hAnsi="UT Sans"/>
                <w:sz w:val="20"/>
                <w:szCs w:val="20"/>
              </w:rPr>
            </w:pPr>
          </w:p>
          <w:p w14:paraId="7DAEED7E" w14:textId="77777777" w:rsidR="00392440" w:rsidRPr="00990AB4" w:rsidRDefault="00392440" w:rsidP="006D0900">
            <w:pPr>
              <w:rPr>
                <w:rFonts w:ascii="UT Sans" w:hAnsi="UT Sans"/>
                <w:sz w:val="20"/>
                <w:szCs w:val="20"/>
              </w:rPr>
            </w:pPr>
            <w:r w:rsidRPr="00990AB4">
              <w:rPr>
                <w:rFonts w:ascii="UT Sans" w:hAnsi="UT Sans"/>
                <w:sz w:val="20"/>
                <w:szCs w:val="20"/>
              </w:rPr>
              <w:t>(</w:t>
            </w:r>
            <w:r w:rsidRPr="00990AB4">
              <w:rPr>
                <w:rFonts w:ascii="UT Sans" w:hAnsi="UT Sans"/>
                <w:i/>
                <w:sz w:val="20"/>
                <w:szCs w:val="20"/>
              </w:rPr>
              <w:t>aprecierea lucrării/ proiectului se face prin raportare la cerin</w:t>
            </w:r>
            <w:r w:rsidR="006455AF" w:rsidRPr="00990AB4">
              <w:rPr>
                <w:rFonts w:ascii="UT Sans" w:hAnsi="UT Sans"/>
                <w:i/>
                <w:sz w:val="20"/>
                <w:szCs w:val="20"/>
              </w:rPr>
              <w:t>ț</w:t>
            </w:r>
            <w:r w:rsidRPr="00990AB4">
              <w:rPr>
                <w:rFonts w:ascii="UT Sans" w:hAnsi="UT Sans"/>
                <w:i/>
                <w:sz w:val="20"/>
                <w:szCs w:val="20"/>
              </w:rPr>
              <w:t>ele privind elaborarea şi redactarea stabilite pe PS/ facultate; pot fi utilizate instrumente de evaluare, grile cu criterii unitare de apreciere adoptate de facultate/ departament</w:t>
            </w:r>
            <w:r w:rsidRPr="00990AB4">
              <w:rPr>
                <w:rFonts w:ascii="UT Sans" w:hAnsi="UT Sans"/>
                <w:sz w:val="20"/>
                <w:szCs w:val="20"/>
              </w:rPr>
              <w:t xml:space="preserve">) </w:t>
            </w:r>
          </w:p>
          <w:p w14:paraId="3AD9F31C" w14:textId="77777777" w:rsidR="00392440" w:rsidRPr="00990AB4" w:rsidRDefault="00392440" w:rsidP="006D0900">
            <w:pPr>
              <w:jc w:val="center"/>
              <w:rPr>
                <w:rFonts w:ascii="UT Sans" w:hAnsi="UT Sans"/>
                <w:b/>
                <w:sz w:val="20"/>
                <w:szCs w:val="20"/>
              </w:rPr>
            </w:pPr>
          </w:p>
          <w:p w14:paraId="56504838" w14:textId="77777777" w:rsidR="00E315B8" w:rsidRPr="00990AB4" w:rsidRDefault="00E315B8" w:rsidP="006D0900">
            <w:pPr>
              <w:jc w:val="both"/>
              <w:rPr>
                <w:rFonts w:ascii="UT Sans" w:hAnsi="UT Sans"/>
                <w:sz w:val="22"/>
                <w:szCs w:val="22"/>
                <w:lang w:eastAsia="zh-CN"/>
              </w:rPr>
            </w:pPr>
          </w:p>
        </w:tc>
      </w:tr>
      <w:tr w:rsidR="00E315B8" w:rsidRPr="00990AB4" w14:paraId="5DFF780D" w14:textId="77777777" w:rsidTr="003600FB">
        <w:tc>
          <w:tcPr>
            <w:tcW w:w="2040" w:type="dxa"/>
            <w:gridSpan w:val="2"/>
            <w:tcBorders>
              <w:top w:val="single" w:sz="4" w:space="0" w:color="auto"/>
              <w:left w:val="single" w:sz="4" w:space="0" w:color="auto"/>
              <w:bottom w:val="single" w:sz="4" w:space="0" w:color="auto"/>
              <w:right w:val="single" w:sz="4" w:space="0" w:color="auto"/>
            </w:tcBorders>
            <w:hideMark/>
          </w:tcPr>
          <w:p w14:paraId="5ED060F9" w14:textId="77777777" w:rsidR="00E315B8" w:rsidRPr="00990AB4" w:rsidRDefault="00E315B8" w:rsidP="006D0900">
            <w:pPr>
              <w:rPr>
                <w:rFonts w:ascii="UT Sans" w:hAnsi="UT Sans"/>
                <w:sz w:val="22"/>
                <w:szCs w:val="22"/>
                <w:lang w:eastAsia="zh-CN"/>
              </w:rPr>
            </w:pPr>
            <w:r w:rsidRPr="00990AB4">
              <w:rPr>
                <w:rFonts w:ascii="UT Sans" w:hAnsi="UT Sans"/>
                <w:sz w:val="22"/>
                <w:szCs w:val="22"/>
              </w:rPr>
              <w:t>Data:</w:t>
            </w:r>
          </w:p>
          <w:p w14:paraId="7B251575" w14:textId="77777777" w:rsidR="00E315B8" w:rsidRPr="00990AB4" w:rsidRDefault="00F01832" w:rsidP="006D0900">
            <w:pPr>
              <w:rPr>
                <w:rFonts w:ascii="UT Sans" w:hAnsi="UT Sans"/>
                <w:sz w:val="22"/>
                <w:szCs w:val="22"/>
                <w:lang w:eastAsia="zh-CN"/>
              </w:rPr>
            </w:pPr>
            <w:r w:rsidRPr="00990AB4">
              <w:rPr>
                <w:rFonts w:ascii="UT Sans" w:hAnsi="UT Sans"/>
                <w:sz w:val="22"/>
                <w:szCs w:val="22"/>
              </w:rPr>
              <w:t>................................</w:t>
            </w:r>
          </w:p>
        </w:tc>
        <w:tc>
          <w:tcPr>
            <w:tcW w:w="2760" w:type="dxa"/>
            <w:gridSpan w:val="2"/>
            <w:tcBorders>
              <w:top w:val="single" w:sz="4" w:space="0" w:color="auto"/>
              <w:left w:val="single" w:sz="4" w:space="0" w:color="auto"/>
              <w:bottom w:val="single" w:sz="4" w:space="0" w:color="auto"/>
              <w:right w:val="single" w:sz="4" w:space="0" w:color="auto"/>
            </w:tcBorders>
            <w:hideMark/>
          </w:tcPr>
          <w:p w14:paraId="58B52403" w14:textId="77777777" w:rsidR="00E315B8" w:rsidRPr="00990AB4" w:rsidRDefault="00E315B8" w:rsidP="006D0900">
            <w:pPr>
              <w:jc w:val="center"/>
              <w:rPr>
                <w:rFonts w:ascii="UT Sans" w:hAnsi="UT Sans"/>
                <w:sz w:val="22"/>
                <w:szCs w:val="22"/>
              </w:rPr>
            </w:pPr>
            <w:r w:rsidRPr="00990AB4">
              <w:rPr>
                <w:rFonts w:ascii="UT Sans" w:hAnsi="UT Sans"/>
                <w:sz w:val="22"/>
                <w:szCs w:val="22"/>
              </w:rPr>
              <w:t>ADMIS pentru sus</w:t>
            </w:r>
            <w:r w:rsidR="006455AF" w:rsidRPr="00990AB4">
              <w:rPr>
                <w:rFonts w:ascii="UT Sans" w:hAnsi="UT Sans"/>
                <w:sz w:val="22"/>
                <w:szCs w:val="22"/>
              </w:rPr>
              <w:t>ț</w:t>
            </w:r>
            <w:r w:rsidRPr="00990AB4">
              <w:rPr>
                <w:rFonts w:ascii="UT Sans" w:hAnsi="UT Sans"/>
                <w:sz w:val="22"/>
                <w:szCs w:val="22"/>
              </w:rPr>
              <w:t>inere/ RESPINS</w:t>
            </w:r>
          </w:p>
          <w:p w14:paraId="38336055" w14:textId="77777777" w:rsidR="00EC0A59" w:rsidRPr="00990AB4" w:rsidRDefault="00EC0A59" w:rsidP="006D0900">
            <w:pPr>
              <w:jc w:val="center"/>
              <w:rPr>
                <w:rFonts w:ascii="UT Sans" w:hAnsi="UT Sans"/>
                <w:sz w:val="22"/>
                <w:szCs w:val="22"/>
                <w:lang w:eastAsia="zh-CN"/>
              </w:rPr>
            </w:pPr>
          </w:p>
        </w:tc>
        <w:tc>
          <w:tcPr>
            <w:tcW w:w="4593" w:type="dxa"/>
            <w:gridSpan w:val="2"/>
            <w:tcBorders>
              <w:top w:val="single" w:sz="4" w:space="0" w:color="auto"/>
              <w:left w:val="single" w:sz="4" w:space="0" w:color="auto"/>
              <w:bottom w:val="single" w:sz="4" w:space="0" w:color="auto"/>
              <w:right w:val="single" w:sz="4" w:space="0" w:color="auto"/>
            </w:tcBorders>
            <w:hideMark/>
          </w:tcPr>
          <w:p w14:paraId="26035D2B" w14:textId="77777777" w:rsidR="00E315B8" w:rsidRPr="00990AB4" w:rsidRDefault="00A15348" w:rsidP="006D0900">
            <w:pPr>
              <w:jc w:val="center"/>
              <w:rPr>
                <w:rFonts w:ascii="UT Sans" w:hAnsi="UT Sans"/>
                <w:sz w:val="22"/>
                <w:szCs w:val="22"/>
              </w:rPr>
            </w:pPr>
            <w:r w:rsidRPr="00A15348">
              <w:rPr>
                <w:rFonts w:ascii="UT Sans" w:hAnsi="UT Sans"/>
                <w:sz w:val="22"/>
                <w:szCs w:val="22"/>
              </w:rPr>
              <w:t>Conducător științific</w:t>
            </w:r>
          </w:p>
          <w:p w14:paraId="6A1A0E9D" w14:textId="77777777" w:rsidR="00E315B8" w:rsidRPr="00990AB4" w:rsidRDefault="00F01832" w:rsidP="006D0900">
            <w:pPr>
              <w:jc w:val="center"/>
              <w:rPr>
                <w:rFonts w:ascii="UT Sans" w:hAnsi="UT Sans"/>
                <w:i/>
                <w:sz w:val="22"/>
                <w:szCs w:val="22"/>
              </w:rPr>
            </w:pPr>
            <w:r w:rsidRPr="00990AB4">
              <w:rPr>
                <w:rFonts w:ascii="UT Sans" w:hAnsi="UT Sans"/>
                <w:i/>
                <w:sz w:val="22"/>
                <w:szCs w:val="22"/>
              </w:rPr>
              <w:t>Titulatura. Numele și prenumele</w:t>
            </w:r>
          </w:p>
          <w:p w14:paraId="04AF8EA1" w14:textId="77777777" w:rsidR="00EC0A59" w:rsidRPr="00990AB4" w:rsidRDefault="00D4064B" w:rsidP="006D0900">
            <w:pPr>
              <w:jc w:val="center"/>
              <w:rPr>
                <w:rFonts w:ascii="UT Sans" w:hAnsi="UT Sans"/>
                <w:i/>
                <w:sz w:val="22"/>
                <w:szCs w:val="22"/>
                <w:lang w:eastAsia="zh-CN"/>
              </w:rPr>
            </w:pPr>
            <w:r w:rsidRPr="00990AB4">
              <w:rPr>
                <w:rFonts w:ascii="UT Sans" w:hAnsi="UT Sans"/>
                <w:i/>
                <w:sz w:val="22"/>
                <w:szCs w:val="22"/>
                <w:lang w:eastAsia="zh-CN"/>
              </w:rPr>
              <w:t>...............................(</w:t>
            </w:r>
            <w:r w:rsidR="00EC0A59" w:rsidRPr="00990AB4">
              <w:rPr>
                <w:rFonts w:ascii="UT Sans" w:hAnsi="UT Sans"/>
                <w:i/>
                <w:sz w:val="22"/>
                <w:szCs w:val="22"/>
                <w:lang w:eastAsia="zh-CN"/>
              </w:rPr>
              <w:t>semnatura</w:t>
            </w:r>
            <w:r w:rsidRPr="00990AB4">
              <w:rPr>
                <w:rFonts w:ascii="UT Sans" w:hAnsi="UT Sans"/>
                <w:i/>
                <w:sz w:val="22"/>
                <w:szCs w:val="22"/>
                <w:lang w:eastAsia="zh-CN"/>
              </w:rPr>
              <w:t>)</w:t>
            </w:r>
          </w:p>
        </w:tc>
      </w:tr>
      <w:tr w:rsidR="00E315B8" w:rsidRPr="00990AB4" w14:paraId="1298DE41" w14:textId="77777777" w:rsidTr="003600FB">
        <w:tc>
          <w:tcPr>
            <w:tcW w:w="9393" w:type="dxa"/>
            <w:gridSpan w:val="6"/>
            <w:tcBorders>
              <w:top w:val="single" w:sz="4" w:space="0" w:color="auto"/>
              <w:left w:val="single" w:sz="4" w:space="0" w:color="auto"/>
              <w:bottom w:val="single" w:sz="4" w:space="0" w:color="auto"/>
              <w:right w:val="single" w:sz="4" w:space="0" w:color="auto"/>
            </w:tcBorders>
            <w:hideMark/>
          </w:tcPr>
          <w:p w14:paraId="2CAD6217" w14:textId="77777777" w:rsidR="00E315B8" w:rsidRPr="00990AB4" w:rsidRDefault="00E315B8" w:rsidP="006D0900">
            <w:pPr>
              <w:jc w:val="center"/>
              <w:rPr>
                <w:rFonts w:ascii="UT Sans" w:hAnsi="UT Sans"/>
                <w:b/>
                <w:lang w:eastAsia="zh-CN"/>
              </w:rPr>
            </w:pPr>
            <w:r w:rsidRPr="00990AB4">
              <w:rPr>
                <w:rFonts w:ascii="UT Sans" w:hAnsi="UT Sans"/>
                <w:b/>
              </w:rPr>
              <w:t>AVIZUL DIRECTORULUI DE DEPARTAMENT</w:t>
            </w:r>
          </w:p>
        </w:tc>
      </w:tr>
      <w:tr w:rsidR="00E315B8" w:rsidRPr="00990AB4" w14:paraId="1606E3A9" w14:textId="77777777" w:rsidTr="003600FB">
        <w:tc>
          <w:tcPr>
            <w:tcW w:w="2040" w:type="dxa"/>
            <w:gridSpan w:val="2"/>
            <w:tcBorders>
              <w:top w:val="single" w:sz="4" w:space="0" w:color="auto"/>
              <w:left w:val="single" w:sz="4" w:space="0" w:color="auto"/>
              <w:bottom w:val="single" w:sz="4" w:space="0" w:color="auto"/>
              <w:right w:val="single" w:sz="4" w:space="0" w:color="auto"/>
            </w:tcBorders>
            <w:hideMark/>
          </w:tcPr>
          <w:p w14:paraId="0D932B8C" w14:textId="77777777" w:rsidR="00E315B8" w:rsidRPr="00990AB4" w:rsidRDefault="00E315B8" w:rsidP="006D0900">
            <w:pPr>
              <w:rPr>
                <w:rFonts w:ascii="UT Sans" w:hAnsi="UT Sans"/>
                <w:sz w:val="22"/>
                <w:szCs w:val="22"/>
                <w:lang w:eastAsia="zh-CN"/>
              </w:rPr>
            </w:pPr>
            <w:r w:rsidRPr="00990AB4">
              <w:rPr>
                <w:rFonts w:ascii="UT Sans" w:hAnsi="UT Sans"/>
                <w:sz w:val="22"/>
                <w:szCs w:val="22"/>
              </w:rPr>
              <w:t>Data:</w:t>
            </w:r>
          </w:p>
          <w:p w14:paraId="61FA5BB8" w14:textId="77777777" w:rsidR="00E315B8" w:rsidRPr="00990AB4" w:rsidRDefault="00F01832" w:rsidP="006D0900">
            <w:pPr>
              <w:rPr>
                <w:rFonts w:ascii="UT Sans" w:hAnsi="UT Sans"/>
                <w:sz w:val="22"/>
                <w:szCs w:val="22"/>
                <w:lang w:eastAsia="zh-CN"/>
              </w:rPr>
            </w:pPr>
            <w:r w:rsidRPr="00990AB4">
              <w:rPr>
                <w:rFonts w:ascii="UT Sans" w:hAnsi="UT Sans"/>
                <w:sz w:val="22"/>
                <w:szCs w:val="22"/>
              </w:rPr>
              <w:t>................................</w:t>
            </w:r>
          </w:p>
        </w:tc>
        <w:tc>
          <w:tcPr>
            <w:tcW w:w="2760" w:type="dxa"/>
            <w:gridSpan w:val="2"/>
            <w:tcBorders>
              <w:top w:val="single" w:sz="4" w:space="0" w:color="auto"/>
              <w:left w:val="single" w:sz="4" w:space="0" w:color="auto"/>
              <w:bottom w:val="single" w:sz="4" w:space="0" w:color="auto"/>
              <w:right w:val="single" w:sz="4" w:space="0" w:color="auto"/>
            </w:tcBorders>
            <w:hideMark/>
          </w:tcPr>
          <w:p w14:paraId="5C9D9515" w14:textId="77777777" w:rsidR="00E315B8" w:rsidRPr="00990AB4" w:rsidRDefault="00E315B8" w:rsidP="006D0900">
            <w:pPr>
              <w:jc w:val="center"/>
              <w:rPr>
                <w:rFonts w:ascii="UT Sans" w:hAnsi="UT Sans"/>
                <w:sz w:val="22"/>
                <w:szCs w:val="22"/>
                <w:lang w:eastAsia="zh-CN"/>
              </w:rPr>
            </w:pPr>
            <w:r w:rsidRPr="00990AB4">
              <w:rPr>
                <w:rFonts w:ascii="UT Sans" w:hAnsi="UT Sans"/>
                <w:sz w:val="22"/>
                <w:szCs w:val="22"/>
              </w:rPr>
              <w:t>ADMIS pentru sus</w:t>
            </w:r>
            <w:r w:rsidR="006455AF" w:rsidRPr="00990AB4">
              <w:rPr>
                <w:rFonts w:ascii="UT Sans" w:hAnsi="UT Sans"/>
                <w:sz w:val="22"/>
                <w:szCs w:val="22"/>
              </w:rPr>
              <w:t>ț</w:t>
            </w:r>
            <w:r w:rsidRPr="00990AB4">
              <w:rPr>
                <w:rFonts w:ascii="UT Sans" w:hAnsi="UT Sans"/>
                <w:sz w:val="22"/>
                <w:szCs w:val="22"/>
              </w:rPr>
              <w:t>inere/ RESPINS</w:t>
            </w:r>
          </w:p>
        </w:tc>
        <w:tc>
          <w:tcPr>
            <w:tcW w:w="4593" w:type="dxa"/>
            <w:gridSpan w:val="2"/>
            <w:tcBorders>
              <w:top w:val="single" w:sz="4" w:space="0" w:color="auto"/>
              <w:left w:val="single" w:sz="4" w:space="0" w:color="auto"/>
              <w:bottom w:val="single" w:sz="4" w:space="0" w:color="auto"/>
              <w:right w:val="single" w:sz="4" w:space="0" w:color="auto"/>
            </w:tcBorders>
            <w:hideMark/>
          </w:tcPr>
          <w:p w14:paraId="246D2E68" w14:textId="77777777" w:rsidR="00E315B8" w:rsidRPr="00990AB4" w:rsidRDefault="00E315B8" w:rsidP="006D0900">
            <w:pPr>
              <w:jc w:val="center"/>
              <w:rPr>
                <w:rFonts w:ascii="UT Sans" w:hAnsi="UT Sans"/>
                <w:sz w:val="22"/>
                <w:szCs w:val="22"/>
                <w:lang w:eastAsia="zh-CN"/>
              </w:rPr>
            </w:pPr>
            <w:r w:rsidRPr="00990AB4">
              <w:rPr>
                <w:rFonts w:ascii="UT Sans" w:hAnsi="UT Sans"/>
                <w:sz w:val="22"/>
                <w:szCs w:val="22"/>
              </w:rPr>
              <w:t>Director departament,</w:t>
            </w:r>
          </w:p>
          <w:p w14:paraId="0B9A1537" w14:textId="77777777" w:rsidR="00E315B8" w:rsidRPr="00990AB4" w:rsidRDefault="00F01832" w:rsidP="006D0900">
            <w:pPr>
              <w:jc w:val="center"/>
              <w:rPr>
                <w:rFonts w:ascii="UT Sans" w:hAnsi="UT Sans"/>
                <w:i/>
                <w:sz w:val="22"/>
                <w:szCs w:val="22"/>
              </w:rPr>
            </w:pPr>
            <w:r w:rsidRPr="00990AB4">
              <w:rPr>
                <w:rFonts w:ascii="UT Sans" w:hAnsi="UT Sans"/>
                <w:i/>
                <w:sz w:val="22"/>
                <w:szCs w:val="22"/>
              </w:rPr>
              <w:t>Titulatura. Numele și prenumele</w:t>
            </w:r>
          </w:p>
          <w:p w14:paraId="312C92C2" w14:textId="77777777" w:rsidR="00EC0A59" w:rsidRPr="00990AB4" w:rsidRDefault="00D4064B" w:rsidP="006D0900">
            <w:pPr>
              <w:jc w:val="center"/>
              <w:rPr>
                <w:rFonts w:ascii="UT Sans" w:hAnsi="UT Sans"/>
                <w:i/>
                <w:sz w:val="22"/>
                <w:szCs w:val="22"/>
                <w:lang w:eastAsia="en-US"/>
              </w:rPr>
            </w:pPr>
            <w:r w:rsidRPr="00990AB4">
              <w:rPr>
                <w:rFonts w:ascii="UT Sans" w:hAnsi="UT Sans"/>
                <w:i/>
                <w:sz w:val="22"/>
                <w:szCs w:val="22"/>
                <w:lang w:eastAsia="en-US"/>
              </w:rPr>
              <w:t>..............................(</w:t>
            </w:r>
            <w:r w:rsidR="00EC0A59" w:rsidRPr="00990AB4">
              <w:rPr>
                <w:rFonts w:ascii="UT Sans" w:hAnsi="UT Sans"/>
                <w:i/>
                <w:sz w:val="22"/>
                <w:szCs w:val="22"/>
                <w:lang w:eastAsia="en-US"/>
              </w:rPr>
              <w:t>semnatura</w:t>
            </w:r>
            <w:r w:rsidRPr="00990AB4">
              <w:rPr>
                <w:rFonts w:ascii="UT Sans" w:hAnsi="UT Sans"/>
                <w:i/>
                <w:sz w:val="22"/>
                <w:szCs w:val="22"/>
                <w:lang w:eastAsia="en-US"/>
              </w:rPr>
              <w:t>)</w:t>
            </w:r>
          </w:p>
        </w:tc>
      </w:tr>
      <w:tr w:rsidR="00E315B8" w:rsidRPr="00990AB4" w14:paraId="5E17C0B2" w14:textId="77777777" w:rsidTr="003600FB">
        <w:tc>
          <w:tcPr>
            <w:tcW w:w="9393" w:type="dxa"/>
            <w:gridSpan w:val="6"/>
            <w:tcBorders>
              <w:top w:val="single" w:sz="4" w:space="0" w:color="auto"/>
              <w:left w:val="single" w:sz="4" w:space="0" w:color="auto"/>
              <w:bottom w:val="single" w:sz="4" w:space="0" w:color="auto"/>
              <w:right w:val="single" w:sz="4" w:space="0" w:color="auto"/>
            </w:tcBorders>
            <w:hideMark/>
          </w:tcPr>
          <w:p w14:paraId="2158934D" w14:textId="77777777" w:rsidR="00E315B8" w:rsidRPr="00990AB4" w:rsidRDefault="00E315B8" w:rsidP="006D0900">
            <w:pPr>
              <w:jc w:val="center"/>
              <w:rPr>
                <w:rFonts w:ascii="UT Sans" w:hAnsi="UT Sans"/>
                <w:b/>
                <w:lang w:eastAsia="zh-CN"/>
              </w:rPr>
            </w:pPr>
            <w:r w:rsidRPr="00990AB4">
              <w:rPr>
                <w:rFonts w:ascii="UT Sans" w:hAnsi="UT Sans"/>
                <w:b/>
              </w:rPr>
              <w:t>SUS</w:t>
            </w:r>
            <w:r w:rsidR="006455AF" w:rsidRPr="00990AB4">
              <w:rPr>
                <w:rFonts w:ascii="UT Sans" w:hAnsi="UT Sans"/>
                <w:b/>
              </w:rPr>
              <w:t>Ț</w:t>
            </w:r>
            <w:r w:rsidRPr="00990AB4">
              <w:rPr>
                <w:rFonts w:ascii="UT Sans" w:hAnsi="UT Sans"/>
                <w:b/>
              </w:rPr>
              <w:t xml:space="preserve">INEREA </w:t>
            </w:r>
            <w:r w:rsidRPr="00990AB4">
              <w:rPr>
                <w:rFonts w:ascii="UT Sans" w:hAnsi="UT Sans"/>
                <w:b/>
                <w:lang w:val="pt-BR"/>
              </w:rPr>
              <w:t>PROIECTULUI DE DIPLOM</w:t>
            </w:r>
            <w:r w:rsidRPr="00990AB4">
              <w:rPr>
                <w:rFonts w:ascii="UT Sans" w:hAnsi="UT Sans"/>
                <w:b/>
              </w:rPr>
              <w:t>Ă</w:t>
            </w:r>
          </w:p>
        </w:tc>
      </w:tr>
      <w:tr w:rsidR="00E315B8" w:rsidRPr="00990AB4" w14:paraId="014C82F3" w14:textId="77777777" w:rsidTr="003600FB">
        <w:tc>
          <w:tcPr>
            <w:tcW w:w="9393" w:type="dxa"/>
            <w:gridSpan w:val="6"/>
            <w:tcBorders>
              <w:top w:val="single" w:sz="4" w:space="0" w:color="auto"/>
              <w:left w:val="single" w:sz="4" w:space="0" w:color="auto"/>
              <w:bottom w:val="single" w:sz="4" w:space="0" w:color="auto"/>
              <w:right w:val="single" w:sz="4" w:space="0" w:color="auto"/>
            </w:tcBorders>
            <w:hideMark/>
          </w:tcPr>
          <w:p w14:paraId="504850B1" w14:textId="77777777" w:rsidR="00E315B8" w:rsidRPr="00990AB4" w:rsidRDefault="00E315B8" w:rsidP="006D0900">
            <w:pPr>
              <w:rPr>
                <w:rFonts w:ascii="UT Sans" w:hAnsi="UT Sans"/>
                <w:sz w:val="22"/>
                <w:szCs w:val="22"/>
                <w:lang w:eastAsia="zh-CN"/>
              </w:rPr>
            </w:pPr>
            <w:r w:rsidRPr="00990AB4">
              <w:rPr>
                <w:rFonts w:ascii="UT Sans" w:hAnsi="UT Sans"/>
                <w:sz w:val="22"/>
                <w:szCs w:val="22"/>
              </w:rPr>
              <w:t xml:space="preserve">Sesiunea: </w:t>
            </w:r>
            <w:r w:rsidR="00F01832" w:rsidRPr="00990AB4">
              <w:rPr>
                <w:rFonts w:ascii="UT Sans" w:hAnsi="UT Sans"/>
                <w:sz w:val="22"/>
                <w:szCs w:val="22"/>
              </w:rPr>
              <w:t>.................................</w:t>
            </w:r>
          </w:p>
        </w:tc>
      </w:tr>
      <w:tr w:rsidR="00E315B8" w:rsidRPr="00990AB4" w14:paraId="035BE1C3" w14:textId="77777777" w:rsidTr="003600FB">
        <w:tc>
          <w:tcPr>
            <w:tcW w:w="2880" w:type="dxa"/>
            <w:gridSpan w:val="3"/>
            <w:vMerge w:val="restart"/>
            <w:tcBorders>
              <w:top w:val="single" w:sz="4" w:space="0" w:color="auto"/>
              <w:left w:val="single" w:sz="4" w:space="0" w:color="auto"/>
              <w:bottom w:val="single" w:sz="4" w:space="0" w:color="auto"/>
              <w:right w:val="single" w:sz="4" w:space="0" w:color="auto"/>
            </w:tcBorders>
          </w:tcPr>
          <w:p w14:paraId="6F486649" w14:textId="77777777" w:rsidR="00E315B8" w:rsidRPr="00990AB4" w:rsidRDefault="00E315B8" w:rsidP="006D0900">
            <w:pPr>
              <w:rPr>
                <w:rFonts w:ascii="UT Sans" w:hAnsi="UT Sans"/>
                <w:sz w:val="22"/>
                <w:szCs w:val="22"/>
                <w:lang w:eastAsia="zh-CN"/>
              </w:rPr>
            </w:pPr>
          </w:p>
          <w:p w14:paraId="4788FFB2" w14:textId="77777777" w:rsidR="00E315B8" w:rsidRPr="00990AB4" w:rsidRDefault="00E315B8" w:rsidP="006D0900">
            <w:pPr>
              <w:rPr>
                <w:rFonts w:ascii="UT Sans" w:hAnsi="UT Sans"/>
                <w:sz w:val="22"/>
                <w:szCs w:val="22"/>
                <w:lang w:eastAsia="en-US"/>
              </w:rPr>
            </w:pPr>
            <w:r w:rsidRPr="00990AB4">
              <w:rPr>
                <w:rFonts w:ascii="UT Sans" w:hAnsi="UT Sans"/>
                <w:sz w:val="22"/>
                <w:szCs w:val="22"/>
              </w:rPr>
              <w:t>Rezultatul</w:t>
            </w:r>
          </w:p>
          <w:p w14:paraId="6DC63ABC" w14:textId="77777777" w:rsidR="00E315B8" w:rsidRPr="00990AB4" w:rsidRDefault="00E315B8" w:rsidP="006D0900">
            <w:pPr>
              <w:rPr>
                <w:rFonts w:ascii="UT Sans" w:hAnsi="UT Sans"/>
                <w:sz w:val="22"/>
                <w:szCs w:val="22"/>
                <w:lang w:eastAsia="zh-CN"/>
              </w:rPr>
            </w:pPr>
            <w:r w:rsidRPr="00990AB4">
              <w:rPr>
                <w:rFonts w:ascii="UT Sans" w:hAnsi="UT Sans"/>
                <w:sz w:val="22"/>
                <w:szCs w:val="22"/>
              </w:rPr>
              <w:t>sus</w:t>
            </w:r>
            <w:r w:rsidR="006455AF" w:rsidRPr="00990AB4">
              <w:rPr>
                <w:rFonts w:ascii="UT Sans" w:hAnsi="UT Sans"/>
                <w:sz w:val="22"/>
                <w:szCs w:val="22"/>
              </w:rPr>
              <w:t>ț</w:t>
            </w:r>
            <w:r w:rsidRPr="00990AB4">
              <w:rPr>
                <w:rFonts w:ascii="UT Sans" w:hAnsi="UT Sans"/>
                <w:sz w:val="22"/>
                <w:szCs w:val="22"/>
              </w:rPr>
              <w:t>inerii</w:t>
            </w:r>
          </w:p>
        </w:tc>
        <w:tc>
          <w:tcPr>
            <w:tcW w:w="6513" w:type="dxa"/>
            <w:gridSpan w:val="3"/>
            <w:tcBorders>
              <w:top w:val="single" w:sz="4" w:space="0" w:color="auto"/>
              <w:left w:val="single" w:sz="4" w:space="0" w:color="auto"/>
              <w:bottom w:val="single" w:sz="4" w:space="0" w:color="auto"/>
              <w:right w:val="single" w:sz="4" w:space="0" w:color="auto"/>
            </w:tcBorders>
          </w:tcPr>
          <w:p w14:paraId="68C82DCA" w14:textId="77777777" w:rsidR="00E315B8" w:rsidRPr="00990AB4" w:rsidRDefault="00E315B8" w:rsidP="006D0900">
            <w:pPr>
              <w:rPr>
                <w:rFonts w:ascii="UT Sans" w:hAnsi="UT Sans"/>
                <w:sz w:val="22"/>
                <w:szCs w:val="22"/>
                <w:lang w:eastAsia="zh-CN"/>
              </w:rPr>
            </w:pPr>
            <w:r w:rsidRPr="00990AB4">
              <w:rPr>
                <w:rFonts w:ascii="UT Sans" w:hAnsi="UT Sans"/>
                <w:sz w:val="22"/>
                <w:szCs w:val="22"/>
              </w:rPr>
              <w:t>PROMOVAT cu media:</w:t>
            </w:r>
          </w:p>
          <w:p w14:paraId="62918302" w14:textId="77777777" w:rsidR="00E315B8" w:rsidRPr="00990AB4" w:rsidRDefault="00E315B8" w:rsidP="006D0900">
            <w:pPr>
              <w:rPr>
                <w:rFonts w:ascii="UT Sans" w:hAnsi="UT Sans"/>
                <w:sz w:val="22"/>
                <w:szCs w:val="22"/>
                <w:lang w:eastAsia="zh-CN"/>
              </w:rPr>
            </w:pPr>
          </w:p>
        </w:tc>
      </w:tr>
      <w:tr w:rsidR="00E315B8" w:rsidRPr="00990AB4" w14:paraId="5B95C04D" w14:textId="77777777" w:rsidTr="003600FB">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14:paraId="76F096E1" w14:textId="77777777" w:rsidR="00E315B8" w:rsidRPr="00990AB4" w:rsidRDefault="00E315B8" w:rsidP="006D0900">
            <w:pPr>
              <w:rPr>
                <w:rFonts w:ascii="UT Sans" w:hAnsi="UT Sans"/>
                <w:sz w:val="22"/>
                <w:szCs w:val="22"/>
                <w:lang w:eastAsia="zh-CN"/>
              </w:rPr>
            </w:pPr>
          </w:p>
        </w:tc>
        <w:tc>
          <w:tcPr>
            <w:tcW w:w="6513" w:type="dxa"/>
            <w:gridSpan w:val="3"/>
            <w:tcBorders>
              <w:top w:val="single" w:sz="4" w:space="0" w:color="auto"/>
              <w:left w:val="single" w:sz="4" w:space="0" w:color="auto"/>
              <w:bottom w:val="single" w:sz="4" w:space="0" w:color="auto"/>
              <w:right w:val="single" w:sz="4" w:space="0" w:color="auto"/>
            </w:tcBorders>
          </w:tcPr>
          <w:p w14:paraId="06D939EA" w14:textId="77777777" w:rsidR="00E315B8" w:rsidRPr="00990AB4" w:rsidRDefault="00E315B8" w:rsidP="006D0900">
            <w:pPr>
              <w:rPr>
                <w:rFonts w:ascii="UT Sans" w:hAnsi="UT Sans"/>
                <w:sz w:val="22"/>
                <w:szCs w:val="22"/>
                <w:lang w:eastAsia="zh-CN"/>
              </w:rPr>
            </w:pPr>
            <w:r w:rsidRPr="00990AB4">
              <w:rPr>
                <w:rFonts w:ascii="UT Sans" w:hAnsi="UT Sans"/>
                <w:sz w:val="22"/>
                <w:szCs w:val="22"/>
              </w:rPr>
              <w:t xml:space="preserve">RESPINS </w:t>
            </w:r>
            <w:r w:rsidRPr="00990AB4">
              <w:rPr>
                <w:rFonts w:ascii="UT Sans" w:hAnsi="UT Sans"/>
                <w:b/>
                <w:sz w:val="22"/>
                <w:szCs w:val="22"/>
              </w:rPr>
              <w:t>cu</w:t>
            </w:r>
            <w:r w:rsidRPr="00990AB4">
              <w:rPr>
                <w:rFonts w:ascii="UT Sans" w:hAnsi="UT Sans"/>
                <w:sz w:val="22"/>
                <w:szCs w:val="22"/>
              </w:rPr>
              <w:t xml:space="preserve"> refacerea lucrării</w:t>
            </w:r>
          </w:p>
          <w:p w14:paraId="568F895E" w14:textId="77777777" w:rsidR="00E315B8" w:rsidRPr="00990AB4" w:rsidRDefault="00E315B8" w:rsidP="006D0900">
            <w:pPr>
              <w:rPr>
                <w:rFonts w:ascii="UT Sans" w:hAnsi="UT Sans"/>
                <w:sz w:val="22"/>
                <w:szCs w:val="22"/>
                <w:lang w:eastAsia="zh-CN"/>
              </w:rPr>
            </w:pPr>
          </w:p>
        </w:tc>
      </w:tr>
      <w:tr w:rsidR="00E315B8" w:rsidRPr="00990AB4" w14:paraId="605DE4F7" w14:textId="77777777" w:rsidTr="003600FB">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14:paraId="1AFF2C0E" w14:textId="77777777" w:rsidR="00E315B8" w:rsidRPr="00990AB4" w:rsidRDefault="00E315B8" w:rsidP="006D0900">
            <w:pPr>
              <w:rPr>
                <w:rFonts w:ascii="UT Sans" w:hAnsi="UT Sans"/>
                <w:sz w:val="22"/>
                <w:szCs w:val="22"/>
                <w:lang w:eastAsia="zh-CN"/>
              </w:rPr>
            </w:pPr>
          </w:p>
        </w:tc>
        <w:tc>
          <w:tcPr>
            <w:tcW w:w="6513" w:type="dxa"/>
            <w:gridSpan w:val="3"/>
            <w:tcBorders>
              <w:top w:val="single" w:sz="4" w:space="0" w:color="auto"/>
              <w:left w:val="single" w:sz="4" w:space="0" w:color="auto"/>
              <w:bottom w:val="single" w:sz="4" w:space="0" w:color="auto"/>
              <w:right w:val="single" w:sz="4" w:space="0" w:color="auto"/>
            </w:tcBorders>
          </w:tcPr>
          <w:p w14:paraId="4A49E602" w14:textId="77777777" w:rsidR="00E315B8" w:rsidRPr="00990AB4" w:rsidRDefault="00E315B8" w:rsidP="006D0900">
            <w:pPr>
              <w:rPr>
                <w:rFonts w:ascii="UT Sans" w:hAnsi="UT Sans"/>
                <w:sz w:val="22"/>
                <w:szCs w:val="22"/>
                <w:lang w:eastAsia="zh-CN"/>
              </w:rPr>
            </w:pPr>
            <w:r w:rsidRPr="00990AB4">
              <w:rPr>
                <w:rFonts w:ascii="UT Sans" w:hAnsi="UT Sans"/>
                <w:sz w:val="22"/>
                <w:szCs w:val="22"/>
              </w:rPr>
              <w:t xml:space="preserve">RESPINS </w:t>
            </w:r>
            <w:r w:rsidRPr="00990AB4">
              <w:rPr>
                <w:rFonts w:ascii="UT Sans" w:hAnsi="UT Sans"/>
                <w:b/>
                <w:sz w:val="22"/>
                <w:szCs w:val="22"/>
              </w:rPr>
              <w:t>fără</w:t>
            </w:r>
            <w:r w:rsidRPr="00990AB4">
              <w:rPr>
                <w:rFonts w:ascii="UT Sans" w:hAnsi="UT Sans"/>
                <w:sz w:val="22"/>
                <w:szCs w:val="22"/>
              </w:rPr>
              <w:t xml:space="preserve"> refacerea lucrării</w:t>
            </w:r>
          </w:p>
          <w:p w14:paraId="1009BB2A" w14:textId="77777777" w:rsidR="00E315B8" w:rsidRPr="00990AB4" w:rsidRDefault="00E315B8" w:rsidP="006D0900">
            <w:pPr>
              <w:rPr>
                <w:rFonts w:ascii="UT Sans" w:hAnsi="UT Sans"/>
                <w:sz w:val="22"/>
                <w:szCs w:val="22"/>
                <w:lang w:eastAsia="zh-CN"/>
              </w:rPr>
            </w:pPr>
          </w:p>
        </w:tc>
      </w:tr>
      <w:tr w:rsidR="00E315B8" w:rsidRPr="00990AB4" w14:paraId="45A79B16" w14:textId="77777777" w:rsidTr="003600FB">
        <w:tc>
          <w:tcPr>
            <w:tcW w:w="9393" w:type="dxa"/>
            <w:gridSpan w:val="6"/>
            <w:tcBorders>
              <w:top w:val="single" w:sz="4" w:space="0" w:color="auto"/>
              <w:left w:val="single" w:sz="4" w:space="0" w:color="auto"/>
              <w:bottom w:val="single" w:sz="4" w:space="0" w:color="auto"/>
              <w:right w:val="single" w:sz="4" w:space="0" w:color="auto"/>
            </w:tcBorders>
          </w:tcPr>
          <w:p w14:paraId="0D25C61A" w14:textId="77777777" w:rsidR="00E315B8" w:rsidRPr="00990AB4" w:rsidRDefault="00E315B8" w:rsidP="006D0900">
            <w:pPr>
              <w:rPr>
                <w:rFonts w:ascii="UT Sans" w:hAnsi="UT Sans"/>
                <w:sz w:val="22"/>
                <w:szCs w:val="22"/>
                <w:lang w:eastAsia="zh-CN"/>
              </w:rPr>
            </w:pPr>
            <w:r w:rsidRPr="00990AB4">
              <w:rPr>
                <w:rFonts w:ascii="UT Sans" w:hAnsi="UT Sans"/>
                <w:sz w:val="22"/>
                <w:szCs w:val="22"/>
              </w:rPr>
              <w:t xml:space="preserve">Președinte de comisie, </w:t>
            </w:r>
          </w:p>
          <w:p w14:paraId="7D2D9C46" w14:textId="77777777" w:rsidR="00E315B8" w:rsidRPr="00990AB4" w:rsidRDefault="00F01832" w:rsidP="006D0900">
            <w:pPr>
              <w:rPr>
                <w:rFonts w:ascii="UT Sans" w:hAnsi="UT Sans"/>
                <w:i/>
                <w:sz w:val="22"/>
                <w:szCs w:val="22"/>
                <w:lang w:eastAsia="en-US"/>
              </w:rPr>
            </w:pPr>
            <w:r w:rsidRPr="00990AB4">
              <w:rPr>
                <w:rFonts w:ascii="UT Sans" w:hAnsi="UT Sans"/>
                <w:i/>
                <w:sz w:val="22"/>
                <w:szCs w:val="22"/>
              </w:rPr>
              <w:t>Titulatura. Numele și prenumele</w:t>
            </w:r>
          </w:p>
          <w:p w14:paraId="59D1188C" w14:textId="77777777" w:rsidR="00E315B8" w:rsidRPr="00990AB4" w:rsidRDefault="00D4064B" w:rsidP="006D0900">
            <w:pPr>
              <w:rPr>
                <w:rFonts w:ascii="UT Sans" w:hAnsi="UT Sans"/>
                <w:i/>
                <w:sz w:val="22"/>
                <w:szCs w:val="22"/>
                <w:lang w:eastAsia="zh-CN"/>
              </w:rPr>
            </w:pPr>
            <w:r w:rsidRPr="00990AB4">
              <w:rPr>
                <w:rFonts w:ascii="UT Sans" w:hAnsi="UT Sans"/>
                <w:i/>
                <w:sz w:val="22"/>
                <w:szCs w:val="22"/>
                <w:lang w:eastAsia="zh-CN"/>
              </w:rPr>
              <w:t>.................................(</w:t>
            </w:r>
            <w:r w:rsidR="00EC0A59" w:rsidRPr="00990AB4">
              <w:rPr>
                <w:rFonts w:ascii="UT Sans" w:hAnsi="UT Sans"/>
                <w:i/>
                <w:sz w:val="22"/>
                <w:szCs w:val="22"/>
                <w:lang w:eastAsia="zh-CN"/>
              </w:rPr>
              <w:t>semnatura</w:t>
            </w:r>
            <w:r w:rsidRPr="00990AB4">
              <w:rPr>
                <w:rFonts w:ascii="UT Sans" w:hAnsi="UT Sans"/>
                <w:i/>
                <w:sz w:val="22"/>
                <w:szCs w:val="22"/>
                <w:lang w:eastAsia="zh-CN"/>
              </w:rPr>
              <w:t>)</w:t>
            </w:r>
          </w:p>
        </w:tc>
      </w:tr>
    </w:tbl>
    <w:p w14:paraId="49F567DE" w14:textId="77777777" w:rsidR="003600FB" w:rsidRDefault="003600FB" w:rsidP="003600FB">
      <w:pPr>
        <w:rPr>
          <w:rFonts w:ascii="UT Sans" w:hAnsi="UT Sans"/>
          <w:sz w:val="20"/>
          <w:szCs w:val="20"/>
        </w:rPr>
      </w:pPr>
    </w:p>
    <w:p w14:paraId="669E976C" w14:textId="77777777" w:rsidR="004D06F7" w:rsidRPr="003600FB" w:rsidRDefault="00EC0A59" w:rsidP="003600FB">
      <w:pPr>
        <w:rPr>
          <w:rFonts w:ascii="UT Sans" w:hAnsi="UT Sans"/>
          <w:sz w:val="16"/>
          <w:szCs w:val="16"/>
        </w:rPr>
        <w:sectPr w:rsidR="004D06F7" w:rsidRPr="003600FB" w:rsidSect="004D06F7">
          <w:footerReference w:type="even" r:id="rId9"/>
          <w:footerReference w:type="default" r:id="rId10"/>
          <w:pgSz w:w="11906" w:h="16838" w:code="9"/>
          <w:pgMar w:top="1134" w:right="849" w:bottom="1134" w:left="1418" w:header="709" w:footer="709" w:gutter="0"/>
          <w:pgNumType w:start="0"/>
          <w:cols w:space="708"/>
          <w:titlePg/>
          <w:docGrid w:linePitch="360"/>
        </w:sectPr>
      </w:pPr>
      <w:r w:rsidRPr="003600FB">
        <w:rPr>
          <w:rFonts w:ascii="UT Sans" w:hAnsi="UT Sans"/>
          <w:sz w:val="16"/>
          <w:szCs w:val="16"/>
        </w:rPr>
        <w:t>F04-PS7.6-01/ed.2,rev.2</w:t>
      </w:r>
    </w:p>
    <w:p>
      <w:r>
        <w:br w:type="page"/>
      </w:r>
    </w:p>
    <w:p>
      <w:pPr>
        <w:pStyle w:val="Heading1"/>
        <w:keepNext/>
        <w:keepLines/>
        <w:spacing w:before="360" w:after="160" w:line="360" w:lineRule="auto"/>
        <w:jc w:val="both"/>
      </w:pPr>
      <w:r>
        <w:rPr>
          <w:rFonts w:ascii="UT Sans" w:hAnsi="UT Sans" w:cs="UT Sans"/>
          <w:b/>
          <w:i w:val="0"/>
          <w:sz w:val="36"/>
        </w:rPr>
        <w:t>CUPRINS</w:t>
      </w:r>
    </w:p>
    <w:p>
      <w:pPr>
        <w:spacing w:line="360" w:lineRule="auto"/>
        <w:jc w:val="both"/>
      </w:pPr>
      <w:r>
        <w:rPr>
          <w:rFonts w:ascii="UT Sans" w:hAnsi="UT Sans" w:cs="UT Sans"/>
          <w:b w:val="0"/>
          <w:i/>
          <w:sz w:val="22"/>
        </w:rPr>
        <w:t>[Cuprinsul se va genera automat din Word: References → Table of Contents → Update Table]</w:t>
      </w:r>
    </w:p>
    <w:p>
      <w:r>
        <w:br w:type="page"/>
      </w:r>
    </w:p>
    <w:p>
      <w:pPr>
        <w:pStyle w:val="Heading1"/>
        <w:keepNext/>
        <w:keepLines/>
        <w:spacing w:before="360" w:after="160" w:line="360" w:lineRule="auto"/>
        <w:jc w:val="both"/>
      </w:pPr>
      <w:r>
        <w:rPr>
          <w:rFonts w:ascii="UT Sans" w:hAnsi="UT Sans" w:cs="UT Sans"/>
          <w:b/>
          <w:i w:val="0"/>
          <w:sz w:val="36"/>
        </w:rPr>
        <w:t>LISTA DE FIGURI, TABELE ȘI CODURI SURSĂ</w:t>
      </w:r>
    </w:p>
    <w:p>
      <w:pPr>
        <w:spacing w:line="360" w:lineRule="auto"/>
        <w:jc w:val="both"/>
      </w:pPr>
      <w:r>
        <w:rPr>
          <w:rFonts w:ascii="UT Sans" w:hAnsi="UT Sans" w:cs="UT Sans"/>
          <w:b w:val="0"/>
          <w:i/>
          <w:sz w:val="22"/>
        </w:rPr>
        <w:t>[Listele se vor genera automat din Word: References → Insert Table of Figures]</w:t>
      </w:r>
    </w:p>
    <w:p>
      <w:r>
        <w:br w:type="page"/>
      </w:r>
    </w:p>
    <w:p>
      <w:pPr>
        <w:pStyle w:val="Heading1"/>
        <w:keepNext/>
        <w:keepLines/>
        <w:spacing w:before="360" w:after="160" w:line="360" w:lineRule="auto"/>
        <w:jc w:val="both"/>
      </w:pPr>
      <w:r>
        <w:rPr>
          <w:rFonts w:ascii="UT Sans" w:hAnsi="UT Sans" w:cs="UT Sans"/>
          <w:b/>
          <w:i w:val="0"/>
          <w:sz w:val="36"/>
        </w:rPr>
        <w:t>LISTA DE ACRONIME</w:t>
      </w:r>
    </w:p>
    <w:p>
      <w:pPr>
        <w:spacing w:after="40" w:line="360" w:lineRule="auto"/>
        <w:jc w:val="both"/>
      </w:pPr>
      <w:r>
        <w:rPr>
          <w:rFonts w:ascii="UT Sans" w:hAnsi="UT Sans" w:cs="UT Sans"/>
          <w:b/>
          <w:i w:val="0"/>
          <w:sz w:val="22"/>
        </w:rPr>
        <w:t>ADR</w:t>
      </w:r>
      <w:r>
        <w:rPr>
          <w:rFonts w:ascii="UT Sans" w:hAnsi="UT Sans" w:cs="UT Sans"/>
          <w:b w:val="0"/>
          <w:i w:val="0"/>
          <w:sz w:val="22"/>
        </w:rPr>
        <w:t xml:space="preserve"> — Alternative Dispute Resolution — Rezolvare Alternativă a Disputelor;</w:t>
      </w:r>
    </w:p>
    <w:p>
      <w:pPr>
        <w:spacing w:after="40" w:line="360" w:lineRule="auto"/>
        <w:jc w:val="both"/>
      </w:pPr>
      <w:r>
        <w:rPr>
          <w:rFonts w:ascii="UT Sans" w:hAnsi="UT Sans" w:cs="UT Sans"/>
          <w:b/>
          <w:i w:val="0"/>
          <w:sz w:val="22"/>
        </w:rPr>
        <w:t>ANAF</w:t>
      </w:r>
      <w:r>
        <w:rPr>
          <w:rFonts w:ascii="UT Sans" w:hAnsi="UT Sans" w:cs="UT Sans"/>
          <w:b w:val="0"/>
          <w:i w:val="0"/>
          <w:sz w:val="22"/>
        </w:rPr>
        <w:t xml:space="preserve"> — Agenția Națională de Administrare Fiscală;</w:t>
      </w:r>
    </w:p>
    <w:p>
      <w:pPr>
        <w:spacing w:after="40" w:line="360" w:lineRule="auto"/>
        <w:jc w:val="both"/>
      </w:pPr>
      <w:r>
        <w:rPr>
          <w:rFonts w:ascii="UT Sans" w:hAnsi="UT Sans" w:cs="UT Sans"/>
          <w:b/>
          <w:i w:val="0"/>
          <w:sz w:val="22"/>
        </w:rPr>
        <w:t>ANSVSA</w:t>
      </w:r>
      <w:r>
        <w:rPr>
          <w:rFonts w:ascii="UT Sans" w:hAnsi="UT Sans" w:cs="UT Sans"/>
          <w:b w:val="0"/>
          <w:i w:val="0"/>
          <w:sz w:val="22"/>
        </w:rPr>
        <w:t xml:space="preserve"> — Autoritatea Națională Sanitară Veterinară și pentru Siguranța Alimentelor;</w:t>
      </w:r>
    </w:p>
    <w:p>
      <w:pPr>
        <w:spacing w:after="40" w:line="360" w:lineRule="auto"/>
        <w:jc w:val="both"/>
      </w:pPr>
      <w:r>
        <w:rPr>
          <w:rFonts w:ascii="UT Sans" w:hAnsi="UT Sans" w:cs="UT Sans"/>
          <w:b/>
          <w:i w:val="0"/>
          <w:sz w:val="22"/>
        </w:rPr>
        <w:t>API</w:t>
      </w:r>
      <w:r>
        <w:rPr>
          <w:rFonts w:ascii="UT Sans" w:hAnsi="UT Sans" w:cs="UT Sans"/>
          <w:b w:val="0"/>
          <w:i w:val="0"/>
          <w:sz w:val="22"/>
        </w:rPr>
        <w:t xml:space="preserve"> — Application Programming Interface;</w:t>
      </w:r>
    </w:p>
    <w:p>
      <w:pPr>
        <w:spacing w:after="40" w:line="360" w:lineRule="auto"/>
        <w:jc w:val="both"/>
      </w:pPr>
      <w:r>
        <w:rPr>
          <w:rFonts w:ascii="UT Sans" w:hAnsi="UT Sans" w:cs="UT Sans"/>
          <w:b/>
          <w:i w:val="0"/>
          <w:sz w:val="22"/>
        </w:rPr>
        <w:t>BRFR</w:t>
      </w:r>
      <w:r>
        <w:rPr>
          <w:rFonts w:ascii="UT Sans" w:hAnsi="UT Sans" w:cs="UT Sans"/>
          <w:b w:val="0"/>
          <w:i w:val="0"/>
          <w:sz w:val="22"/>
        </w:rPr>
        <w:t xml:space="preserve"> — Bunuri cu Risc Fiscal Ridicat;</w:t>
      </w:r>
    </w:p>
    <w:p>
      <w:pPr>
        <w:spacing w:after="40" w:line="360" w:lineRule="auto"/>
        <w:jc w:val="both"/>
      </w:pPr>
      <w:r>
        <w:rPr>
          <w:rFonts w:ascii="UT Sans" w:hAnsi="UT Sans" w:cs="UT Sans"/>
          <w:b/>
          <w:i w:val="0"/>
          <w:sz w:val="22"/>
        </w:rPr>
        <w:t>CAEN</w:t>
      </w:r>
      <w:r>
        <w:rPr>
          <w:rFonts w:ascii="UT Sans" w:hAnsi="UT Sans" w:cs="UT Sans"/>
          <w:b w:val="0"/>
          <w:i w:val="0"/>
          <w:sz w:val="22"/>
        </w:rPr>
        <w:t xml:space="preserve"> — Clasificarea Activităților din Economia Națională;</w:t>
      </w:r>
    </w:p>
    <w:p>
      <w:pPr>
        <w:spacing w:after="40" w:line="360" w:lineRule="auto"/>
        <w:jc w:val="both"/>
      </w:pPr>
      <w:r>
        <w:rPr>
          <w:rFonts w:ascii="UT Sans" w:hAnsi="UT Sans" w:cs="UT Sans"/>
          <w:b/>
          <w:i w:val="0"/>
          <w:sz w:val="22"/>
        </w:rPr>
        <w:t>CAP/PAC</w:t>
      </w:r>
      <w:r>
        <w:rPr>
          <w:rFonts w:ascii="UT Sans" w:hAnsi="UT Sans" w:cs="UT Sans"/>
          <w:b w:val="0"/>
          <w:i w:val="0"/>
          <w:sz w:val="22"/>
        </w:rPr>
        <w:t xml:space="preserve"> — Common Agricultural Policy / Politica Agricolă Comună;</w:t>
      </w:r>
    </w:p>
    <w:p>
      <w:pPr>
        <w:spacing w:after="40" w:line="360" w:lineRule="auto"/>
        <w:jc w:val="both"/>
      </w:pPr>
      <w:r>
        <w:rPr>
          <w:rFonts w:ascii="UT Sans" w:hAnsi="UT Sans" w:cs="UT Sans"/>
          <w:b/>
          <w:i w:val="0"/>
          <w:sz w:val="22"/>
        </w:rPr>
        <w:t>CH</w:t>
      </w:r>
      <w:r>
        <w:rPr>
          <w:rFonts w:ascii="UT Sans" w:hAnsi="UT Sans" w:cs="UT Sans"/>
          <w:b w:val="0"/>
          <w:i w:val="0"/>
          <w:sz w:val="22"/>
        </w:rPr>
        <w:t xml:space="preserve"> — Contraction Hierarchies;</w:t>
      </w:r>
    </w:p>
    <w:p>
      <w:pPr>
        <w:spacing w:after="40" w:line="360" w:lineRule="auto"/>
        <w:jc w:val="both"/>
      </w:pPr>
      <w:r>
        <w:rPr>
          <w:rFonts w:ascii="UT Sans" w:hAnsi="UT Sans" w:cs="UT Sans"/>
          <w:b/>
          <w:i w:val="0"/>
          <w:sz w:val="22"/>
        </w:rPr>
        <w:t>CUI</w:t>
      </w:r>
      <w:r>
        <w:rPr>
          <w:rFonts w:ascii="UT Sans" w:hAnsi="UT Sans" w:cs="UT Sans"/>
          <w:b w:val="0"/>
          <w:i w:val="0"/>
          <w:sz w:val="22"/>
        </w:rPr>
        <w:t xml:space="preserve"> — Cod Unic de Identificare;</w:t>
      </w:r>
    </w:p>
    <w:p>
      <w:pPr>
        <w:spacing w:after="40" w:line="360" w:lineRule="auto"/>
        <w:jc w:val="both"/>
      </w:pPr>
      <w:r>
        <w:rPr>
          <w:rFonts w:ascii="UT Sans" w:hAnsi="UT Sans" w:cs="UT Sans"/>
          <w:b/>
          <w:i w:val="0"/>
          <w:sz w:val="22"/>
        </w:rPr>
        <w:t>DAC7</w:t>
      </w:r>
      <w:r>
        <w:rPr>
          <w:rFonts w:ascii="UT Sans" w:hAnsi="UT Sans" w:cs="UT Sans"/>
          <w:b w:val="0"/>
          <w:i w:val="0"/>
          <w:sz w:val="22"/>
        </w:rPr>
        <w:t xml:space="preserve"> — Directiva (UE) 2021/514 privind cooperarea administrativă în domeniul fiscal;</w:t>
      </w:r>
    </w:p>
    <w:p>
      <w:pPr>
        <w:spacing w:after="40" w:line="360" w:lineRule="auto"/>
        <w:jc w:val="both"/>
      </w:pPr>
      <w:r>
        <w:rPr>
          <w:rFonts w:ascii="UT Sans" w:hAnsi="UT Sans" w:cs="UT Sans"/>
          <w:b/>
          <w:i w:val="0"/>
          <w:sz w:val="22"/>
        </w:rPr>
        <w:t>DDD</w:t>
      </w:r>
      <w:r>
        <w:rPr>
          <w:rFonts w:ascii="UT Sans" w:hAnsi="UT Sans" w:cs="UT Sans"/>
          <w:b w:val="0"/>
          <w:i w:val="0"/>
          <w:sz w:val="22"/>
        </w:rPr>
        <w:t xml:space="preserve"> — Domain-Driven Design;</w:t>
      </w:r>
    </w:p>
    <w:p>
      <w:pPr>
        <w:spacing w:after="40" w:line="360" w:lineRule="auto"/>
        <w:jc w:val="both"/>
      </w:pPr>
      <w:r>
        <w:rPr>
          <w:rFonts w:ascii="UT Sans" w:hAnsi="UT Sans" w:cs="UT Sans"/>
          <w:b/>
          <w:i w:val="0"/>
          <w:sz w:val="22"/>
        </w:rPr>
        <w:t>DI</w:t>
      </w:r>
      <w:r>
        <w:rPr>
          <w:rFonts w:ascii="UT Sans" w:hAnsi="UT Sans" w:cs="UT Sans"/>
          <w:b w:val="0"/>
          <w:i w:val="0"/>
          <w:sz w:val="22"/>
        </w:rPr>
        <w:t xml:space="preserve"> — Dependency Injection;</w:t>
      </w:r>
    </w:p>
    <w:p>
      <w:pPr>
        <w:spacing w:after="40" w:line="360" w:lineRule="auto"/>
        <w:jc w:val="both"/>
      </w:pPr>
      <w:r>
        <w:rPr>
          <w:rFonts w:ascii="UT Sans" w:hAnsi="UT Sans" w:cs="UT Sans"/>
          <w:b/>
          <w:i w:val="0"/>
          <w:sz w:val="22"/>
        </w:rPr>
        <w:t>DTO</w:t>
      </w:r>
      <w:r>
        <w:rPr>
          <w:rFonts w:ascii="UT Sans" w:hAnsi="UT Sans" w:cs="UT Sans"/>
          <w:b w:val="0"/>
          <w:i w:val="0"/>
          <w:sz w:val="22"/>
        </w:rPr>
        <w:t xml:space="preserve"> — Data Transfer Object;</w:t>
      </w:r>
    </w:p>
    <w:p>
      <w:pPr>
        <w:spacing w:after="40" w:line="360" w:lineRule="auto"/>
        <w:jc w:val="both"/>
      </w:pPr>
      <w:r>
        <w:rPr>
          <w:rFonts w:ascii="UT Sans" w:hAnsi="UT Sans" w:cs="UT Sans"/>
          <w:b/>
          <w:i w:val="0"/>
          <w:sz w:val="22"/>
        </w:rPr>
        <w:t>EUDI</w:t>
      </w:r>
      <w:r>
        <w:rPr>
          <w:rFonts w:ascii="UT Sans" w:hAnsi="UT Sans" w:cs="UT Sans"/>
          <w:b w:val="0"/>
          <w:i w:val="0"/>
          <w:sz w:val="22"/>
        </w:rPr>
        <w:t xml:space="preserve"> — European Digital Identity;</w:t>
      </w:r>
    </w:p>
    <w:p>
      <w:pPr>
        <w:spacing w:after="40" w:line="360" w:lineRule="auto"/>
        <w:jc w:val="both"/>
      </w:pPr>
      <w:r>
        <w:rPr>
          <w:rFonts w:ascii="UT Sans" w:hAnsi="UT Sans" w:cs="UT Sans"/>
          <w:b/>
          <w:i w:val="0"/>
          <w:sz w:val="22"/>
        </w:rPr>
        <w:t>GDPR</w:t>
      </w:r>
      <w:r>
        <w:rPr>
          <w:rFonts w:ascii="UT Sans" w:hAnsi="UT Sans" w:cs="UT Sans"/>
          <w:b w:val="0"/>
          <w:i w:val="0"/>
          <w:sz w:val="22"/>
        </w:rPr>
        <w:t xml:space="preserve"> — General Data Protection Regulation;</w:t>
      </w:r>
    </w:p>
    <w:p>
      <w:pPr>
        <w:spacing w:after="40" w:line="360" w:lineRule="auto"/>
        <w:jc w:val="both"/>
      </w:pPr>
      <w:r>
        <w:rPr>
          <w:rFonts w:ascii="UT Sans" w:hAnsi="UT Sans" w:cs="UT Sans"/>
          <w:b/>
          <w:i w:val="0"/>
          <w:sz w:val="22"/>
        </w:rPr>
        <w:t>GIN</w:t>
      </w:r>
      <w:r>
        <w:rPr>
          <w:rFonts w:ascii="UT Sans" w:hAnsi="UT Sans" w:cs="UT Sans"/>
          <w:b w:val="0"/>
          <w:i w:val="0"/>
          <w:sz w:val="22"/>
        </w:rPr>
        <w:t xml:space="preserve"> — Generalized Inverted Index;</w:t>
      </w:r>
    </w:p>
    <w:p>
      <w:pPr>
        <w:spacing w:after="40" w:line="360" w:lineRule="auto"/>
        <w:jc w:val="both"/>
      </w:pPr>
      <w:r>
        <w:rPr>
          <w:rFonts w:ascii="UT Sans" w:hAnsi="UT Sans" w:cs="UT Sans"/>
          <w:b/>
          <w:i w:val="0"/>
          <w:sz w:val="22"/>
        </w:rPr>
        <w:t>IAM</w:t>
      </w:r>
      <w:r>
        <w:rPr>
          <w:rFonts w:ascii="UT Sans" w:hAnsi="UT Sans" w:cs="UT Sans"/>
          <w:b w:val="0"/>
          <w:i w:val="0"/>
          <w:sz w:val="22"/>
        </w:rPr>
        <w:t xml:space="preserve"> — Identity and Access Management;</w:t>
      </w:r>
    </w:p>
    <w:p>
      <w:pPr>
        <w:spacing w:after="40" w:line="360" w:lineRule="auto"/>
        <w:jc w:val="both"/>
      </w:pPr>
      <w:r>
        <w:rPr>
          <w:rFonts w:ascii="UT Sans" w:hAnsi="UT Sans" w:cs="UT Sans"/>
          <w:b/>
          <w:i w:val="0"/>
          <w:sz w:val="22"/>
        </w:rPr>
        <w:t>JSONB</w:t>
      </w:r>
      <w:r>
        <w:rPr>
          <w:rFonts w:ascii="UT Sans" w:hAnsi="UT Sans" w:cs="UT Sans"/>
          <w:b w:val="0"/>
          <w:i w:val="0"/>
          <w:sz w:val="22"/>
        </w:rPr>
        <w:t xml:space="preserve"> — JavaScript Object Notation — Binary;</w:t>
      </w:r>
    </w:p>
    <w:p>
      <w:pPr>
        <w:spacing w:after="40" w:line="360" w:lineRule="auto"/>
        <w:jc w:val="both"/>
      </w:pPr>
      <w:r>
        <w:rPr>
          <w:rFonts w:ascii="UT Sans" w:hAnsi="UT Sans" w:cs="UT Sans"/>
          <w:b/>
          <w:i w:val="0"/>
          <w:sz w:val="22"/>
        </w:rPr>
        <w:t>JWT</w:t>
      </w:r>
      <w:r>
        <w:rPr>
          <w:rFonts w:ascii="UT Sans" w:hAnsi="UT Sans" w:cs="UT Sans"/>
          <w:b w:val="0"/>
          <w:i w:val="0"/>
          <w:sz w:val="22"/>
        </w:rPr>
        <w:t xml:space="preserve"> — JSON Web Token;</w:t>
      </w:r>
    </w:p>
    <w:p>
      <w:pPr>
        <w:spacing w:after="40" w:line="360" w:lineRule="auto"/>
        <w:jc w:val="both"/>
      </w:pPr>
      <w:r>
        <w:rPr>
          <w:rFonts w:ascii="UT Sans" w:hAnsi="UT Sans" w:cs="UT Sans"/>
          <w:b/>
          <w:i w:val="0"/>
          <w:sz w:val="22"/>
        </w:rPr>
        <w:t>KYC/KYB</w:t>
      </w:r>
      <w:r>
        <w:rPr>
          <w:rFonts w:ascii="UT Sans" w:hAnsi="UT Sans" w:cs="UT Sans"/>
          <w:b w:val="0"/>
          <w:i w:val="0"/>
          <w:sz w:val="22"/>
        </w:rPr>
        <w:t xml:space="preserve"> — Know Your Customer / Know Your Business;</w:t>
      </w:r>
    </w:p>
    <w:p>
      <w:pPr>
        <w:spacing w:after="40" w:line="360" w:lineRule="auto"/>
        <w:jc w:val="both"/>
      </w:pPr>
      <w:r>
        <w:rPr>
          <w:rFonts w:ascii="UT Sans" w:hAnsi="UT Sans" w:cs="UT Sans"/>
          <w:b/>
          <w:i w:val="0"/>
          <w:sz w:val="22"/>
        </w:rPr>
        <w:t>MATIF</w:t>
      </w:r>
      <w:r>
        <w:rPr>
          <w:rFonts w:ascii="UT Sans" w:hAnsi="UT Sans" w:cs="UT Sans"/>
          <w:b w:val="0"/>
          <w:i w:val="0"/>
          <w:sz w:val="22"/>
        </w:rPr>
        <w:t xml:space="preserve"> — Marché à Terme International de France;</w:t>
      </w:r>
    </w:p>
    <w:p>
      <w:pPr>
        <w:spacing w:after="40" w:line="360" w:lineRule="auto"/>
        <w:jc w:val="both"/>
      </w:pPr>
      <w:r>
        <w:rPr>
          <w:rFonts w:ascii="UT Sans" w:hAnsi="UT Sans" w:cs="UT Sans"/>
          <w:b/>
          <w:i w:val="0"/>
          <w:sz w:val="22"/>
        </w:rPr>
        <w:t>NC</w:t>
      </w:r>
      <w:r>
        <w:rPr>
          <w:rFonts w:ascii="UT Sans" w:hAnsi="UT Sans" w:cs="UT Sans"/>
          <w:b w:val="0"/>
          <w:i w:val="0"/>
          <w:sz w:val="22"/>
        </w:rPr>
        <w:t xml:space="preserve"> — Nomenclatura Combinată;</w:t>
      </w:r>
    </w:p>
    <w:p>
      <w:pPr>
        <w:spacing w:after="40" w:line="360" w:lineRule="auto"/>
        <w:jc w:val="both"/>
      </w:pPr>
      <w:r>
        <w:rPr>
          <w:rFonts w:ascii="UT Sans" w:hAnsi="UT Sans" w:cs="UT Sans"/>
          <w:b/>
          <w:i w:val="0"/>
          <w:sz w:val="22"/>
        </w:rPr>
        <w:t>OSRM</w:t>
      </w:r>
      <w:r>
        <w:rPr>
          <w:rFonts w:ascii="UT Sans" w:hAnsi="UT Sans" w:cs="UT Sans"/>
          <w:b w:val="0"/>
          <w:i w:val="0"/>
          <w:sz w:val="22"/>
        </w:rPr>
        <w:t xml:space="preserve"> — Open Source Routing Machine;</w:t>
      </w:r>
    </w:p>
    <w:p>
      <w:pPr>
        <w:spacing w:after="40" w:line="360" w:lineRule="auto"/>
        <w:jc w:val="both"/>
      </w:pPr>
      <w:r>
        <w:rPr>
          <w:rFonts w:ascii="UT Sans" w:hAnsi="UT Sans" w:cs="UT Sans"/>
          <w:b/>
          <w:i w:val="0"/>
          <w:sz w:val="22"/>
        </w:rPr>
        <w:t>PSD2</w:t>
      </w:r>
      <w:r>
        <w:rPr>
          <w:rFonts w:ascii="UT Sans" w:hAnsi="UT Sans" w:cs="UT Sans"/>
          <w:b w:val="0"/>
          <w:i w:val="0"/>
          <w:sz w:val="22"/>
        </w:rPr>
        <w:t xml:space="preserve"> — Payment Services Directive 2;</w:t>
      </w:r>
    </w:p>
    <w:p>
      <w:pPr>
        <w:spacing w:after="40" w:line="360" w:lineRule="auto"/>
        <w:jc w:val="both"/>
      </w:pPr>
      <w:r>
        <w:rPr>
          <w:rFonts w:ascii="UT Sans" w:hAnsi="UT Sans" w:cs="UT Sans"/>
          <w:b/>
          <w:i w:val="0"/>
          <w:sz w:val="22"/>
        </w:rPr>
        <w:t>RBAC</w:t>
      </w:r>
      <w:r>
        <w:rPr>
          <w:rFonts w:ascii="UT Sans" w:hAnsi="UT Sans" w:cs="UT Sans"/>
          <w:b w:val="0"/>
          <w:i w:val="0"/>
          <w:sz w:val="22"/>
        </w:rPr>
        <w:t xml:space="preserve"> — Role-Based Access Control;</w:t>
      </w:r>
    </w:p>
    <w:p>
      <w:pPr>
        <w:spacing w:after="40" w:line="360" w:lineRule="auto"/>
        <w:jc w:val="both"/>
      </w:pPr>
      <w:r>
        <w:rPr>
          <w:rFonts w:ascii="UT Sans" w:hAnsi="UT Sans" w:cs="UT Sans"/>
          <w:b/>
          <w:i w:val="0"/>
          <w:sz w:val="22"/>
        </w:rPr>
        <w:t>RO e-Transport</w:t>
      </w:r>
      <w:r>
        <w:rPr>
          <w:rFonts w:ascii="UT Sans" w:hAnsi="UT Sans" w:cs="UT Sans"/>
          <w:b w:val="0"/>
          <w:i w:val="0"/>
          <w:sz w:val="22"/>
        </w:rPr>
        <w:t xml:space="preserve"> — Sistemul național privind monitorizarea transporturilor rutiere de bunuri;</w:t>
      </w:r>
    </w:p>
    <w:p>
      <w:pPr>
        <w:spacing w:after="40" w:line="360" w:lineRule="auto"/>
        <w:jc w:val="both"/>
      </w:pPr>
      <w:r>
        <w:rPr>
          <w:rFonts w:ascii="UT Sans" w:hAnsi="UT Sans" w:cs="UT Sans"/>
          <w:b/>
          <w:i w:val="0"/>
          <w:sz w:val="22"/>
        </w:rPr>
        <w:t>RSC</w:t>
      </w:r>
      <w:r>
        <w:rPr>
          <w:rFonts w:ascii="UT Sans" w:hAnsi="UT Sans" w:cs="UT Sans"/>
          <w:b w:val="0"/>
          <w:i w:val="0"/>
          <w:sz w:val="22"/>
        </w:rPr>
        <w:t xml:space="preserve"> — React Server Components;</w:t>
      </w:r>
    </w:p>
    <w:p>
      <w:pPr>
        <w:spacing w:after="40" w:line="360" w:lineRule="auto"/>
        <w:jc w:val="both"/>
      </w:pPr>
      <w:r>
        <w:rPr>
          <w:rFonts w:ascii="UT Sans" w:hAnsi="UT Sans" w:cs="UT Sans"/>
          <w:b/>
          <w:i w:val="0"/>
          <w:sz w:val="22"/>
        </w:rPr>
        <w:t>SCA</w:t>
      </w:r>
      <w:r>
        <w:rPr>
          <w:rFonts w:ascii="UT Sans" w:hAnsi="UT Sans" w:cs="UT Sans"/>
          <w:b w:val="0"/>
          <w:i w:val="0"/>
          <w:sz w:val="22"/>
        </w:rPr>
        <w:t xml:space="preserve"> — Strong Customer Authentication;</w:t>
      </w:r>
    </w:p>
    <w:p>
      <w:pPr>
        <w:spacing w:after="40" w:line="360" w:lineRule="auto"/>
        <w:jc w:val="both"/>
      </w:pPr>
      <w:r>
        <w:rPr>
          <w:rFonts w:ascii="UT Sans" w:hAnsi="UT Sans" w:cs="UT Sans"/>
          <w:b/>
          <w:i w:val="0"/>
          <w:sz w:val="22"/>
        </w:rPr>
        <w:t>SPA</w:t>
      </w:r>
      <w:r>
        <w:rPr>
          <w:rFonts w:ascii="UT Sans" w:hAnsi="UT Sans" w:cs="UT Sans"/>
          <w:b w:val="0"/>
          <w:i w:val="0"/>
          <w:sz w:val="22"/>
        </w:rPr>
        <w:t xml:space="preserve"> — Single Page Application;</w:t>
      </w:r>
    </w:p>
    <w:p>
      <w:pPr>
        <w:spacing w:after="40" w:line="360" w:lineRule="auto"/>
        <w:jc w:val="both"/>
      </w:pPr>
      <w:r>
        <w:rPr>
          <w:rFonts w:ascii="UT Sans" w:hAnsi="UT Sans" w:cs="UT Sans"/>
          <w:b/>
          <w:i w:val="0"/>
          <w:sz w:val="22"/>
        </w:rPr>
        <w:t>SWR</w:t>
      </w:r>
      <w:r>
        <w:rPr>
          <w:rFonts w:ascii="UT Sans" w:hAnsi="UT Sans" w:cs="UT Sans"/>
          <w:b w:val="0"/>
          <w:i w:val="0"/>
          <w:sz w:val="22"/>
        </w:rPr>
        <w:t xml:space="preserve"> — Stale-While-Revalidate;</w:t>
      </w:r>
    </w:p>
    <w:p>
      <w:pPr>
        <w:spacing w:after="40" w:line="360" w:lineRule="auto"/>
        <w:jc w:val="both"/>
      </w:pPr>
      <w:r>
        <w:rPr>
          <w:rFonts w:ascii="UT Sans" w:hAnsi="UT Sans" w:cs="UT Sans"/>
          <w:b/>
          <w:i w:val="0"/>
          <w:sz w:val="22"/>
        </w:rPr>
        <w:t>TOAST</w:t>
      </w:r>
      <w:r>
        <w:rPr>
          <w:rFonts w:ascii="UT Sans" w:hAnsi="UT Sans" w:cs="UT Sans"/>
          <w:b w:val="0"/>
          <w:i w:val="0"/>
          <w:sz w:val="22"/>
        </w:rPr>
        <w:t xml:space="preserve"> — The Oversize Attribute Storage Technique;</w:t>
      </w:r>
    </w:p>
    <w:p>
      <w:pPr>
        <w:spacing w:after="40" w:line="360" w:lineRule="auto"/>
        <w:jc w:val="both"/>
      </w:pPr>
      <w:r>
        <w:rPr>
          <w:rFonts w:ascii="UT Sans" w:hAnsi="UT Sans" w:cs="UT Sans"/>
          <w:b/>
          <w:i w:val="0"/>
          <w:sz w:val="22"/>
        </w:rPr>
        <w:t>TSP</w:t>
      </w:r>
      <w:r>
        <w:rPr>
          <w:rFonts w:ascii="UT Sans" w:hAnsi="UT Sans" w:cs="UT Sans"/>
          <w:b w:val="0"/>
          <w:i w:val="0"/>
          <w:sz w:val="22"/>
        </w:rPr>
        <w:t xml:space="preserve"> — Traveling Salesperson Problem;</w:t>
      </w:r>
    </w:p>
    <w:p>
      <w:pPr>
        <w:spacing w:after="40" w:line="360" w:lineRule="auto"/>
        <w:jc w:val="both"/>
      </w:pPr>
      <w:r>
        <w:rPr>
          <w:rFonts w:ascii="UT Sans" w:hAnsi="UT Sans" w:cs="UT Sans"/>
          <w:b/>
          <w:i w:val="0"/>
          <w:sz w:val="22"/>
        </w:rPr>
        <w:t>TVA</w:t>
      </w:r>
      <w:r>
        <w:rPr>
          <w:rFonts w:ascii="UT Sans" w:hAnsi="UT Sans" w:cs="UT Sans"/>
          <w:b w:val="0"/>
          <w:i w:val="0"/>
          <w:sz w:val="22"/>
        </w:rPr>
        <w:t xml:space="preserve"> — Taxa pe Valoarea Adăugată;</w:t>
      </w:r>
    </w:p>
    <w:p>
      <w:pPr>
        <w:spacing w:after="40" w:line="360" w:lineRule="auto"/>
        <w:jc w:val="both"/>
      </w:pPr>
      <w:r>
        <w:rPr>
          <w:rFonts w:ascii="UT Sans" w:hAnsi="UT Sans" w:cs="UT Sans"/>
          <w:b/>
          <w:i w:val="0"/>
          <w:sz w:val="22"/>
        </w:rPr>
        <w:t>UIT</w:t>
      </w:r>
      <w:r>
        <w:rPr>
          <w:rFonts w:ascii="UT Sans" w:hAnsi="UT Sans" w:cs="UT Sans"/>
          <w:b w:val="0"/>
          <w:i w:val="0"/>
          <w:sz w:val="22"/>
        </w:rPr>
        <w:t xml:space="preserve"> — Codul Unic de Identificare a Transportului;</w:t>
      </w:r>
    </w:p>
    <w:p>
      <w:pPr>
        <w:spacing w:after="40" w:line="360" w:lineRule="auto"/>
        <w:jc w:val="both"/>
      </w:pPr>
      <w:r>
        <w:rPr>
          <w:rFonts w:ascii="UT Sans" w:hAnsi="UT Sans" w:cs="UT Sans"/>
          <w:b/>
          <w:i w:val="0"/>
          <w:sz w:val="22"/>
        </w:rPr>
        <w:t>UTP</w:t>
      </w:r>
      <w:r>
        <w:rPr>
          <w:rFonts w:ascii="UT Sans" w:hAnsi="UT Sans" w:cs="UT Sans"/>
          <w:b w:val="0"/>
          <w:i w:val="0"/>
          <w:sz w:val="22"/>
        </w:rPr>
        <w:t xml:space="preserve"> — Unfair Trading Practices — Practici Comerciale Neloiale;</w:t>
      </w:r>
    </w:p>
    <w:p>
      <w:r>
        <w:br w:type="page"/>
      </w:r>
    </w:p>
    <w:p>
      <w:pPr>
        <w:pStyle w:val="Heading1"/>
        <w:keepNext/>
        <w:keepLines/>
        <w:spacing w:before="360" w:after="160" w:line="360" w:lineRule="auto"/>
        <w:jc w:val="both"/>
      </w:pPr>
      <w:r>
        <w:rPr>
          <w:rFonts w:ascii="UT Sans" w:hAnsi="UT Sans" w:cs="UT Sans"/>
          <w:b/>
          <w:i w:val="0"/>
          <w:sz w:val="36"/>
        </w:rPr>
        <w:t>1. INTRODUCERE ȘI STADIUL ACTUAL AL PIEȚEI</w:t>
      </w:r>
    </w:p>
    <w:p>
      <w:pPr>
        <w:pStyle w:val="Heading2"/>
        <w:keepNext/>
        <w:keepLines/>
        <w:spacing w:before="360" w:after="0" w:line="360" w:lineRule="auto"/>
        <w:jc w:val="both"/>
      </w:pPr>
      <w:r>
        <w:rPr>
          <w:rFonts w:ascii="UT Sans" w:hAnsi="UT Sans" w:cs="UT Sans"/>
          <w:b/>
          <w:i w:val="0"/>
          <w:sz w:val="28"/>
        </w:rPr>
        <w:t>1.1 Argumentarea necesității și importanța temei</w:t>
      </w:r>
    </w:p>
    <w:p>
      <w:pPr>
        <w:spacing w:line="360" w:lineRule="auto"/>
        <w:jc w:val="both"/>
      </w:pPr>
      <w:r>
        <w:rPr>
          <w:rFonts w:ascii="UT Sans" w:hAnsi="UT Sans" w:cs="UT Sans"/>
          <w:b w:val="0"/>
          <w:i w:val="0"/>
          <w:sz w:val="24"/>
        </w:rPr>
        <w:t>Lanțul agroalimentar global se află într-un punct de inflexiune tehnologică, unde ineficiențele structurale ale comerțului tradițional sunt provocate de apariția platformelor digitale de tip marketplace B2B. Transformarea digitală a comerțului cu mărfuri agricole, în special pe piața cerealelor din România, reprezintă o evoluție semnificativă de la metodele tradiționale și fragmentate la ecosisteme integrate și bazate pe date [1]. România ocupă o poziție unică în acest peisaj, caracterizându-se prin cel mai mare număr de ferme din Uniunea Europeană — aproximativ 2.9 milioane — și o structură duală ce cuprinde un număr vast de ferme de subzistență alături de un grup restrâns de corporații agroindustriale profesionale care gestionează mai mult de jumătate din terenul agricol național [1].</w:t>
      </w:r>
    </w:p>
    <w:p>
      <w:pPr>
        <w:spacing w:line="360" w:lineRule="auto"/>
        <w:jc w:val="both"/>
      </w:pPr>
      <w:r>
        <w:rPr>
          <w:rFonts w:ascii="UT Sans" w:hAnsi="UT Sans" w:cs="UT Sans"/>
          <w:b w:val="0"/>
          <w:i w:val="0"/>
          <w:sz w:val="24"/>
        </w:rPr>
        <w:t>Această fragmentare, combinată cu complexitățile logistice ale transportului mărfurilor vrac către hub-urile majore de export precum Portul Constanța, necesită un intermediar digital robust. Platforma "AgriConnect" este concepută pentru a funcționa ca acest intermediar, operând sub codul NACE 4611 (Intermedieri în comerțul cu materii prime agricole, animale vii, materii prime textile și cu semifabricate), conectând actorii principali ai lanțului de aprovizionare: fermieri, cumpărători corporativi și operatori de transport [1].</w:t>
      </w:r>
    </w:p>
    <w:p>
      <w:pPr>
        <w:spacing w:line="360" w:lineRule="auto"/>
        <w:jc w:val="both"/>
      </w:pPr>
      <w:r>
        <w:rPr>
          <w:rFonts w:ascii="UT Sans" w:hAnsi="UT Sans" w:cs="UT Sans"/>
          <w:b w:val="0"/>
          <w:i w:val="0"/>
          <w:sz w:val="24"/>
        </w:rPr>
        <w:t>Problemele fundamentale ale lanțului agroalimentar clasic includ opacitatea prețurilor, costurile logistice ridicate și riscul de contraparte semnificativ. Intermediarii adaugă margini comerciale fără a adăuga valoare proporțională în termeni de calitate sau trasabilitate, ceea ce duce la o eroziune a profitului producătorului [1]. Digitalizarea, prin intermediul marketplace-urilor B2B, promite eliminarea acestor verigi inutile (disintermediere), permițând o recuperare a marginilor de profit de 10% până la 25% la nivel de achiziție [1]. Totuși, spre deosebire de comerțul electronic B2C, platformele B2B pentru agricultură trebuie să gestioneze tranzacții de mare valoare, adesea depășind 10.000 USD sau chiar 1 milion USD în cazul cargourilor vrac, ceea ce impune mecanisme riguroase de securitate financiară și conformitate legală [1].</w:t>
      </w:r>
    </w:p>
    <w:p>
      <w:pPr>
        <w:spacing w:line="360" w:lineRule="auto"/>
        <w:jc w:val="both"/>
      </w:pPr>
      <w:r>
        <w:rPr>
          <w:rFonts w:ascii="UT Sans" w:hAnsi="UT Sans" w:cs="UT Sans"/>
          <w:b w:val="0"/>
          <w:i w:val="0"/>
          <w:sz w:val="24"/>
        </w:rPr>
        <w:t>Ecosistemul AgTech B2B a evoluat în direcția unor modele de tip "platformă cu valoare adăugată", unde marketplace-ul nu este un simplu panou de anunțuri, ci oferă servicii integrate de logistică, analize de sol, instrumente de tip SaaS pentru managementul fermei și mecanisme de finanțare a comerțului [1]. Această abordare creează un efect de rețea puternic: pe măsură ce mai mulți fermieri adoptă platforma, baza de date privind calitatea, prețurile și disponibilitatea cerealelor devine mai valoroasă pentru cumpărătorii corporativi, care la rândul lor atrag mai mulți fermieri — un cerc virtuos descris în economia de rețea ca "efectul de flot" (network flywheel) [1].</w:t>
      </w:r>
    </w:p>
    <w:p>
      <w:pPr>
        <w:pStyle w:val="Heading2"/>
        <w:keepNext/>
        <w:keepLines/>
        <w:spacing w:before="360" w:after="0" w:line="360" w:lineRule="auto"/>
        <w:jc w:val="both"/>
      </w:pPr>
      <w:r>
        <w:rPr>
          <w:rFonts w:ascii="UT Sans" w:hAnsi="UT Sans" w:cs="UT Sans"/>
          <w:b/>
          <w:i w:val="0"/>
          <w:sz w:val="28"/>
        </w:rPr>
        <w:t>1.2 Contextul pieței și mecanismele de descoperire a prețului</w:t>
      </w:r>
    </w:p>
    <w:p>
      <w:pPr>
        <w:pStyle w:val="Heading3"/>
        <w:keepNext/>
        <w:keepLines/>
        <w:spacing w:before="200" w:after="0" w:line="360" w:lineRule="auto"/>
        <w:jc w:val="both"/>
      </w:pPr>
      <w:r>
        <w:rPr>
          <w:rFonts w:ascii="UT Sans" w:hAnsi="UT Sans" w:cs="UT Sans"/>
          <w:b/>
          <w:i w:val="0"/>
          <w:sz w:val="22"/>
        </w:rPr>
        <w:t>1.2.1 Piețele futures și benchmark-ul MATIF Euronext</w:t>
      </w:r>
    </w:p>
    <w:p>
      <w:pPr>
        <w:spacing w:line="360" w:lineRule="auto"/>
        <w:jc w:val="both"/>
      </w:pPr>
      <w:r>
        <w:rPr>
          <w:rFonts w:ascii="UT Sans" w:hAnsi="UT Sans" w:cs="UT Sans"/>
          <w:b w:val="0"/>
          <w:i w:val="0"/>
          <w:sz w:val="24"/>
        </w:rPr>
        <w:t>Bursa de mărfuri Euronext operează ca un clearing house vital pentru managementul riscului în sectorul agricol european. Suita de contracte, concentrată pe grâul de morărit, porumb și rapiță, este proiectată în jurul principiului livrării fizice ca "piață de ultim resort" [1]. Acest mecanism asigură faptul că prețul futures reflectă cu acuratețe dinamica cererii și ofertei pentru mărfurile fizice la momentul expirării contractului.</w:t>
      </w:r>
    </w:p>
    <w:p>
      <w:pPr>
        <w:spacing w:line="360" w:lineRule="auto"/>
        <w:jc w:val="both"/>
      </w:pPr>
      <w:r>
        <w:rPr>
          <w:rFonts w:ascii="UT Sans" w:hAnsi="UT Sans" w:cs="UT Sans"/>
          <w:b w:val="0"/>
          <w:i w:val="0"/>
          <w:sz w:val="24"/>
        </w:rPr>
        <w:t>În contracte lichide precum "Euronext Milling Wheat No. 2", mecanismul livrării fizice asigură ancorarea instrumentului financiar la marfa subiacentă, prevenind alocarea eronată a resurselor [1]. Prețul de livrare (DSP — Delivery Settlement Price) este determinat pe baza mediei ponderate cu volum (VWAP) din ultimele 10 minute de tranzacționare ale sesiunii de expirare. Pentru mărfurile unde livrarea fizică este logistic dificilă, Euronext utilizează contracte decontate în numerar (cash-settled), precum cel pentru grâul dur, unde prețul EDSP (Exchange Delivery Settlement Price) este calculat pe baza unei medii a prețurilor zilnice furnizate de Sitagri [1].</w:t>
      </w:r>
    </w:p>
    <w:p>
      <w:pPr>
        <w:spacing w:line="360" w:lineRule="auto"/>
        <w:jc w:val="both"/>
      </w:pPr>
      <w:r>
        <w:rPr>
          <w:rFonts w:ascii="UT Sans" w:hAnsi="UT Sans" w:cs="UT Sans"/>
          <w:b w:val="0"/>
          <w:i w:val="0"/>
          <w:sz w:val="24"/>
        </w:rPr>
        <w:t>Mecanismul de clearing al Euronext funcționează prin interpunerea casei de compensare între cumpărător și vânzător, eliminând riscul de contraparte bilateral. Fiecare participant depune o marjă inițială și este supus apelurilor zilnice de marjă (marked-to-market), asigurând solvabilitatea continuă a pozițiilor deschise. Acest mecanism de garantare este esențial pentru integritatea pieței și servește drept model conceptual pentru sistemul de escrow digital implementat în AgriConnect [1].</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UT Sans" w:hAnsi="UT Sans" w:cs="UT Sans"/>
                <w:b/>
                <w:i w:val="0"/>
                <w:sz w:val="22"/>
              </w:rPr>
              <w:t>Caracteristică</w:t>
            </w:r>
          </w:p>
        </w:tc>
        <w:tc>
          <w:tcPr>
            <w:tcW w:type="dxa" w:w="3213"/>
          </w:tcPr>
          <w:p>
            <w:r>
              <w:rPr>
                <w:rFonts w:ascii="UT Sans" w:hAnsi="UT Sans" w:cs="UT Sans"/>
                <w:b/>
                <w:i w:val="0"/>
                <w:sz w:val="22"/>
              </w:rPr>
              <w:t>Livrare Fizică (ex: Grâu Morărit)</w:t>
            </w:r>
          </w:p>
        </w:tc>
        <w:tc>
          <w:tcPr>
            <w:tcW w:type="dxa" w:w="3213"/>
          </w:tcPr>
          <w:p>
            <w:r>
              <w:rPr>
                <w:rFonts w:ascii="UT Sans" w:hAnsi="UT Sans" w:cs="UT Sans"/>
                <w:b/>
                <w:i w:val="0"/>
                <w:sz w:val="22"/>
              </w:rPr>
              <w:t>Decontare Numerar (ex: Grâu Dur)</w:t>
            </w:r>
          </w:p>
        </w:tc>
      </w:tr>
      <w:tr>
        <w:tc>
          <w:tcPr>
            <w:tcW w:type="dxa" w:w="3213"/>
          </w:tcPr>
          <w:p>
            <w:r>
              <w:rPr>
                <w:rFonts w:ascii="UT Sans" w:hAnsi="UT Sans" w:cs="UT Sans"/>
                <w:b w:val="0"/>
                <w:i w:val="0"/>
                <w:sz w:val="22"/>
              </w:rPr>
              <w:t>Determinare Preț</w:t>
            </w:r>
          </w:p>
        </w:tc>
        <w:tc>
          <w:tcPr>
            <w:tcW w:type="dxa" w:w="3213"/>
          </w:tcPr>
          <w:p>
            <w:r>
              <w:rPr>
                <w:rFonts w:ascii="UT Sans" w:hAnsi="UT Sans" w:cs="UT Sans"/>
                <w:b w:val="0"/>
                <w:i w:val="0"/>
                <w:sz w:val="22"/>
              </w:rPr>
              <w:t>DSP bazat pe VWAP final 10 min</w:t>
            </w:r>
          </w:p>
        </w:tc>
        <w:tc>
          <w:tcPr>
            <w:tcW w:type="dxa" w:w="3213"/>
          </w:tcPr>
          <w:p>
            <w:r>
              <w:rPr>
                <w:rFonts w:ascii="UT Sans" w:hAnsi="UT Sans" w:cs="UT Sans"/>
                <w:b w:val="0"/>
                <w:i w:val="0"/>
                <w:sz w:val="22"/>
              </w:rPr>
              <w:t>EDSP bazat pe index piață fizică</w:t>
            </w:r>
          </w:p>
        </w:tc>
      </w:tr>
      <w:tr>
        <w:tc>
          <w:tcPr>
            <w:tcW w:type="dxa" w:w="3213"/>
          </w:tcPr>
          <w:p>
            <w:r>
              <w:rPr>
                <w:rFonts w:ascii="UT Sans" w:hAnsi="UT Sans" w:cs="UT Sans"/>
                <w:b w:val="0"/>
                <w:i w:val="0"/>
                <w:sz w:val="22"/>
              </w:rPr>
              <w:t>Rezultat Operațional</w:t>
            </w:r>
          </w:p>
        </w:tc>
        <w:tc>
          <w:tcPr>
            <w:tcW w:type="dxa" w:w="3213"/>
          </w:tcPr>
          <w:p>
            <w:r>
              <w:rPr>
                <w:rFonts w:ascii="UT Sans" w:hAnsi="UT Sans" w:cs="UT Sans"/>
                <w:b w:val="0"/>
                <w:i w:val="0"/>
                <w:sz w:val="22"/>
              </w:rPr>
              <w:t>Transfer mărfuri la silozuri aprobate</w:t>
            </w:r>
          </w:p>
        </w:tc>
        <w:tc>
          <w:tcPr>
            <w:tcW w:type="dxa" w:w="3213"/>
          </w:tcPr>
          <w:p>
            <w:r>
              <w:rPr>
                <w:rFonts w:ascii="UT Sans" w:hAnsi="UT Sans" w:cs="UT Sans"/>
                <w:b w:val="0"/>
                <w:i w:val="0"/>
                <w:sz w:val="22"/>
              </w:rPr>
              <w:t>Ajustare financiară profit/pierdere</w:t>
            </w:r>
          </w:p>
        </w:tc>
      </w:tr>
      <w:tr>
        <w:tc>
          <w:tcPr>
            <w:tcW w:type="dxa" w:w="3213"/>
          </w:tcPr>
          <w:p>
            <w:r>
              <w:rPr>
                <w:rFonts w:ascii="UT Sans" w:hAnsi="UT Sans" w:cs="UT Sans"/>
                <w:b w:val="0"/>
                <w:i w:val="0"/>
                <w:sz w:val="22"/>
              </w:rPr>
              <w:t>Mecanism Convergență</w:t>
            </w:r>
          </w:p>
        </w:tc>
        <w:tc>
          <w:tcPr>
            <w:tcW w:type="dxa" w:w="3213"/>
          </w:tcPr>
          <w:p>
            <w:r>
              <w:rPr>
                <w:rFonts w:ascii="UT Sans" w:hAnsi="UT Sans" w:cs="UT Sans"/>
                <w:b w:val="0"/>
                <w:i w:val="0"/>
                <w:sz w:val="22"/>
              </w:rPr>
              <w:t>Legătură directă futures-fizic</w:t>
            </w:r>
          </w:p>
        </w:tc>
        <w:tc>
          <w:tcPr>
            <w:tcW w:type="dxa" w:w="3213"/>
          </w:tcPr>
          <w:p>
            <w:r>
              <w:rPr>
                <w:rFonts w:ascii="UT Sans" w:hAnsi="UT Sans" w:cs="UT Sans"/>
                <w:b w:val="0"/>
                <w:i w:val="0"/>
                <w:sz w:val="22"/>
              </w:rPr>
              <w:t>Dependența de acuratețea indexului</w:t>
            </w:r>
          </w:p>
        </w:tc>
      </w:tr>
      <w:tr>
        <w:tc>
          <w:tcPr>
            <w:tcW w:type="dxa" w:w="3213"/>
          </w:tcPr>
          <w:p>
            <w:r>
              <w:rPr>
                <w:rFonts w:ascii="UT Sans" w:hAnsi="UT Sans" w:cs="UT Sans"/>
                <w:b w:val="0"/>
                <w:i w:val="0"/>
                <w:sz w:val="22"/>
              </w:rPr>
              <w:t>Risc Principal</w:t>
            </w:r>
          </w:p>
        </w:tc>
        <w:tc>
          <w:tcPr>
            <w:tcW w:type="dxa" w:w="3213"/>
          </w:tcPr>
          <w:p>
            <w:r>
              <w:rPr>
                <w:rFonts w:ascii="UT Sans" w:hAnsi="UT Sans" w:cs="UT Sans"/>
                <w:b w:val="0"/>
                <w:i w:val="0"/>
                <w:sz w:val="22"/>
              </w:rPr>
              <w:t>Complexitatea organizării livrării</w:t>
            </w:r>
          </w:p>
        </w:tc>
        <w:tc>
          <w:tcPr>
            <w:tcW w:type="dxa" w:w="3213"/>
          </w:tcPr>
          <w:p>
            <w:r>
              <w:rPr>
                <w:rFonts w:ascii="UT Sans" w:hAnsi="UT Sans" w:cs="UT Sans"/>
                <w:b w:val="0"/>
                <w:i w:val="0"/>
                <w:sz w:val="22"/>
              </w:rPr>
              <w:t>Vulnerabilitate la inexactitatea indexului</w:t>
            </w:r>
          </w:p>
        </w:tc>
      </w:tr>
      <w:tr>
        <w:tc>
          <w:tcPr>
            <w:tcW w:type="dxa" w:w="3213"/>
          </w:tcPr>
          <w:p>
            <w:r>
              <w:rPr>
                <w:rFonts w:ascii="UT Sans" w:hAnsi="UT Sans" w:cs="UT Sans"/>
                <w:b w:val="0"/>
                <w:i w:val="0"/>
                <w:sz w:val="22"/>
              </w:rPr>
              <w:t>Utilizatori Tipici</w:t>
            </w:r>
          </w:p>
        </w:tc>
        <w:tc>
          <w:tcPr>
            <w:tcW w:type="dxa" w:w="3213"/>
          </w:tcPr>
          <w:p>
            <w:r>
              <w:rPr>
                <w:rFonts w:ascii="UT Sans" w:hAnsi="UT Sans" w:cs="UT Sans"/>
                <w:b w:val="0"/>
                <w:i w:val="0"/>
                <w:sz w:val="22"/>
              </w:rPr>
              <w:t>Comercianți, procesatori, fermieri mari</w:t>
            </w:r>
          </w:p>
        </w:tc>
        <w:tc>
          <w:tcPr>
            <w:tcW w:type="dxa" w:w="3213"/>
          </w:tcPr>
          <w:p>
            <w:r>
              <w:rPr>
                <w:rFonts w:ascii="UT Sans" w:hAnsi="UT Sans" w:cs="UT Sans"/>
                <w:b w:val="0"/>
                <w:i w:val="0"/>
                <w:sz w:val="22"/>
              </w:rPr>
              <w:t>Speculatori, fonduri de investiții [1]</w:t>
            </w:r>
          </w:p>
        </w:tc>
      </w:tr>
    </w:tbl>
    <w:p>
      <w:pPr>
        <w:spacing w:line="360" w:lineRule="auto" w:after="80"/>
        <w:jc w:val="both"/>
      </w:pPr>
      <w:r>
        <w:rPr>
          <w:rFonts w:ascii="UT Sans" w:hAnsi="UT Sans" w:cs="UT Sans"/>
          <w:b w:val="0"/>
          <w:i w:val="0"/>
          <w:sz w:val="24"/>
        </w:rPr>
      </w:r>
    </w:p>
    <w:p>
      <w:pPr>
        <w:pStyle w:val="Heading3"/>
        <w:keepNext/>
        <w:keepLines/>
        <w:spacing w:before="200" w:after="0" w:line="360" w:lineRule="auto"/>
        <w:jc w:val="both"/>
      </w:pPr>
      <w:r>
        <w:rPr>
          <w:rFonts w:ascii="UT Sans" w:hAnsi="UT Sans" w:cs="UT Sans"/>
          <w:b/>
          <w:i w:val="0"/>
          <w:sz w:val="22"/>
        </w:rPr>
        <w:t>1.2.2 Problema non-convergenței și impactul PAC</w:t>
      </w:r>
    </w:p>
    <w:p>
      <w:pPr>
        <w:spacing w:line="360" w:lineRule="auto"/>
        <w:jc w:val="both"/>
      </w:pPr>
      <w:r>
        <w:rPr>
          <w:rFonts w:ascii="UT Sans" w:hAnsi="UT Sans" w:cs="UT Sans"/>
          <w:b w:val="0"/>
          <w:i w:val="0"/>
          <w:sz w:val="24"/>
        </w:rPr>
        <w:t>Un risc semnificativ pe piețele de mărfuri este non-convergența susținută între prețurile cash și futures. Când aceste prețuri diverg, eficacitatea acoperirii riscului (hedge) este compromisă, trimițând semnale confuze participanților la piață și ducând potențial la o alocare eronată a resurselor [1]. Pe piețele interne, această non-convergență este adesea atribuită manipulării structurale a "instrumentelor de livrare" — firmele care caută să convertească contractele futures în mărfuri fizice primesc adesea un instrument derivat în loc de cereale reale [1].</w:t>
      </w:r>
    </w:p>
    <w:p>
      <w:pPr>
        <w:spacing w:line="360" w:lineRule="auto"/>
        <w:jc w:val="both"/>
      </w:pPr>
      <w:r>
        <w:rPr>
          <w:rFonts w:ascii="UT Sans" w:hAnsi="UT Sans" w:cs="UT Sans"/>
          <w:b w:val="0"/>
          <w:i w:val="0"/>
          <w:sz w:val="24"/>
        </w:rPr>
        <w:t>Cercetările USDA Economic Research Service au identificat mai mulți factori care contribuie la non-convergență: capacitatea limitată de depozitare aprobată, costurile de transport către punctele de livrare desemnate și discrepanțele de calitate între mărfurile contractuale și cele disponibile fizic [1]. Aceste probleme sunt amplificate de comportamentul speculatorilor financiari care nu au intenția de a livra sau recepționa mărfuri fizice, dar ale căror activități de tranzacționare influențează semnificativ prețul de decontare [1].</w:t>
      </w:r>
    </w:p>
    <w:p>
      <w:pPr>
        <w:spacing w:line="360" w:lineRule="auto"/>
        <w:jc w:val="both"/>
      </w:pPr>
      <w:r>
        <w:rPr>
          <w:rFonts w:ascii="UT Sans" w:hAnsi="UT Sans" w:cs="UT Sans"/>
          <w:b w:val="0"/>
          <w:i w:val="0"/>
          <w:sz w:val="24"/>
        </w:rPr>
        <w:t>Reformele Politicii Agricole Comune (PAC) din Uniunea Europeană au accentuat importanța acestor mecanisme de piață. Pe măsură ce prețurile de intervenție garantate au fost reduse, comercianții au devenit mai dependenți de Euronext pentru hedging și descoperirea prețului, ducând la creșterea lichidității și activității pe bursele europene [2]. Comisia Europeană a documentat această evoluție în rapoartele sale privind piețele derivatelor pe mărfuri agricole, subliniind necesitatea unei reglementări echilibrate care să prevină speculația excesivă fără a diminua funcția esențială de descoperire a prețului [2].</w:t>
      </w:r>
    </w:p>
    <w:p>
      <w:pPr>
        <w:pStyle w:val="Heading3"/>
        <w:keepNext/>
        <w:keepLines/>
        <w:spacing w:before="200" w:after="0" w:line="360" w:lineRule="auto"/>
        <w:jc w:val="both"/>
      </w:pPr>
      <w:r>
        <w:rPr>
          <w:rFonts w:ascii="UT Sans" w:hAnsi="UT Sans" w:cs="UT Sans"/>
          <w:b/>
          <w:i w:val="0"/>
          <w:sz w:val="22"/>
        </w:rPr>
        <w:t>1.2.3 Digitalizarea comerțului fizic: de la brokeri la marketplace-uri</w:t>
      </w:r>
    </w:p>
    <w:p>
      <w:pPr>
        <w:spacing w:line="360" w:lineRule="auto"/>
        <w:jc w:val="both"/>
      </w:pPr>
      <w:r>
        <w:rPr>
          <w:rFonts w:ascii="UT Sans" w:hAnsi="UT Sans" w:cs="UT Sans"/>
          <w:b w:val="0"/>
          <w:i w:val="0"/>
          <w:sz w:val="24"/>
        </w:rPr>
        <w:t>Istoric, tranzacționarea cerealelor fizice s-a bazat pe o rețea de brokeri regionali care conectau producătorii cu procesatorii și exportatorii. Această rețea, deși robustă în termeni de relații interpersonale și cunoaștere locală a pieței, prezintă dezavantaje structurale semnificative: opacitatea prețurilor (fiecare broker negociază individual, fără transparență față de piața mai largă), asimetria informațională (brokerii au acces la date de piață inaccesibile fermierilor mici) și costuri tranzacționale ridicate (fiecare intermediar adaugă o marjă de 2-5% din valoarea mărfii) [1].</w:t>
      </w:r>
    </w:p>
    <w:p>
      <w:pPr>
        <w:spacing w:line="360" w:lineRule="auto"/>
        <w:jc w:val="both"/>
      </w:pPr>
      <w:r>
        <w:rPr>
          <w:rFonts w:ascii="UT Sans" w:hAnsi="UT Sans" w:cs="UT Sans"/>
          <w:b w:val="0"/>
          <w:i w:val="0"/>
          <w:sz w:val="24"/>
        </w:rPr>
        <w:t>Marketplace-urile digitale B2B perturbă acest model prin trei mecanisme fundamentale: transparența prețurilor (toți participanții văd ofertele și cererea în timp real), eficiența logistică (algoritmii de rutare optimizează transportul, reducând costurile cu 15-30%) și securitatea tranzacțiilor (sistemele de escrow digital elimină riscul de contraparte, care în comerțul tradițional poate ajunge la 3-5% din valoarea tranzacției sub formă de pierderi din neplată) [1]. Aceste avantaje sunt amplificate de efectele de rețea: pe măsură ce baza de utilizatori crește, lichiditatea platformei se îmbunătățește, atrăgând în continuare participanți din ambele părți ale pieței [1].</w:t>
      </w:r>
    </w:p>
    <w:p>
      <w:pPr>
        <w:pStyle w:val="Heading2"/>
        <w:keepNext/>
        <w:keepLines/>
        <w:spacing w:before="360" w:after="0" w:line="360" w:lineRule="auto"/>
        <w:jc w:val="both"/>
      </w:pPr>
      <w:r>
        <w:rPr>
          <w:rFonts w:ascii="UT Sans" w:hAnsi="UT Sans" w:cs="UT Sans"/>
          <w:b/>
          <w:i w:val="0"/>
          <w:sz w:val="28"/>
        </w:rPr>
        <w:t>1.3 Analiza comparativă: burse clasice vs. marketplace-uri digitale</w:t>
      </w:r>
    </w:p>
    <w:p>
      <w:pPr>
        <w:spacing w:line="360" w:lineRule="auto"/>
        <w:jc w:val="both"/>
      </w:pPr>
      <w:r>
        <w:rPr>
          <w:rFonts w:ascii="UT Sans" w:hAnsi="UT Sans" w:cs="UT Sans"/>
          <w:b w:val="0"/>
          <w:i w:val="0"/>
          <w:sz w:val="24"/>
        </w:rPr>
        <w:t>O analiză comparativă între soluțiile existente evidențiază diferențele critice de funcționare între bursele clasice și marketplace-urile digitale emergente. Bursele precum MATIF sau CME Group se concentrează pe standardizarea contractelor (calitate U.S. No. 2 Yellow Corn, cantitate 5.000 bușeli) și pe lichiditatea oferită de speculatori [1]. În schimb, marketplace-urile B2B AgTech se concentrează pe execuția fizică, oferind servicii cu valoare adăugată precum logistica integrată, analize de sol și instrumente de tip SaaS pentru managementul fermei, adesea oferite gratuit pentru a captura fluxul de marfă al fermierului [1].</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UT Sans" w:hAnsi="UT Sans" w:cs="UT Sans"/>
                <w:b/>
                <w:i w:val="0"/>
                <w:sz w:val="22"/>
              </w:rPr>
              <w:t>Caracteristică</w:t>
            </w:r>
          </w:p>
        </w:tc>
        <w:tc>
          <w:tcPr>
            <w:tcW w:type="dxa" w:w="3213"/>
          </w:tcPr>
          <w:p>
            <w:r>
              <w:rPr>
                <w:rFonts w:ascii="UT Sans" w:hAnsi="UT Sans" w:cs="UT Sans"/>
                <w:b/>
                <w:i w:val="0"/>
                <w:sz w:val="22"/>
              </w:rPr>
              <w:t>Bursa de Mărfuri (ex: MATIF)</w:t>
            </w:r>
          </w:p>
        </w:tc>
        <w:tc>
          <w:tcPr>
            <w:tcW w:type="dxa" w:w="3213"/>
          </w:tcPr>
          <w:p>
            <w:r>
              <w:rPr>
                <w:rFonts w:ascii="UT Sans" w:hAnsi="UT Sans" w:cs="UT Sans"/>
                <w:b/>
                <w:i w:val="0"/>
                <w:sz w:val="22"/>
              </w:rPr>
              <w:t>Marketplace B2B (AgTech)</w:t>
            </w:r>
          </w:p>
        </w:tc>
      </w:tr>
      <w:tr>
        <w:tc>
          <w:tcPr>
            <w:tcW w:type="dxa" w:w="3213"/>
          </w:tcPr>
          <w:p>
            <w:r>
              <w:rPr>
                <w:rFonts w:ascii="UT Sans" w:hAnsi="UT Sans" w:cs="UT Sans"/>
                <w:b w:val="0"/>
                <w:i w:val="0"/>
                <w:sz w:val="22"/>
              </w:rPr>
              <w:t>Obiectiv principal</w:t>
            </w:r>
          </w:p>
        </w:tc>
        <w:tc>
          <w:tcPr>
            <w:tcW w:type="dxa" w:w="3213"/>
          </w:tcPr>
          <w:p>
            <w:r>
              <w:rPr>
                <w:rFonts w:ascii="UT Sans" w:hAnsi="UT Sans" w:cs="UT Sans"/>
                <w:b w:val="0"/>
                <w:i w:val="0"/>
                <w:sz w:val="22"/>
              </w:rPr>
              <w:t>Descoperirea prețului și hedging [1]</w:t>
            </w:r>
          </w:p>
        </w:tc>
        <w:tc>
          <w:tcPr>
            <w:tcW w:type="dxa" w:w="3213"/>
          </w:tcPr>
          <w:p>
            <w:r>
              <w:rPr>
                <w:rFonts w:ascii="UT Sans" w:hAnsi="UT Sans" w:cs="UT Sans"/>
                <w:b w:val="0"/>
                <w:i w:val="0"/>
                <w:sz w:val="22"/>
              </w:rPr>
              <w:t>Eficiență în achiziție și logistică [1]</w:t>
            </w:r>
          </w:p>
        </w:tc>
      </w:tr>
      <w:tr>
        <w:tc>
          <w:tcPr>
            <w:tcW w:type="dxa" w:w="3213"/>
          </w:tcPr>
          <w:p>
            <w:r>
              <w:rPr>
                <w:rFonts w:ascii="UT Sans" w:hAnsi="UT Sans" w:cs="UT Sans"/>
                <w:b w:val="0"/>
                <w:i w:val="0"/>
                <w:sz w:val="22"/>
              </w:rPr>
              <w:t>Natura contractului</w:t>
            </w:r>
          </w:p>
        </w:tc>
        <w:tc>
          <w:tcPr>
            <w:tcW w:type="dxa" w:w="3213"/>
          </w:tcPr>
          <w:p>
            <w:r>
              <w:rPr>
                <w:rFonts w:ascii="UT Sans" w:hAnsi="UT Sans" w:cs="UT Sans"/>
                <w:b w:val="0"/>
                <w:i w:val="0"/>
                <w:sz w:val="22"/>
              </w:rPr>
              <w:t>Standardizat (Cantitate/Calitate fixă) [1]</w:t>
            </w:r>
          </w:p>
        </w:tc>
        <w:tc>
          <w:tcPr>
            <w:tcW w:type="dxa" w:w="3213"/>
          </w:tcPr>
          <w:p>
            <w:r>
              <w:rPr>
                <w:rFonts w:ascii="UT Sans" w:hAnsi="UT Sans" w:cs="UT Sans"/>
                <w:b w:val="0"/>
                <w:i w:val="0"/>
                <w:sz w:val="22"/>
              </w:rPr>
              <w:t>Personalizabil (Loturi specifice) [2]</w:t>
            </w:r>
          </w:p>
        </w:tc>
      </w:tr>
      <w:tr>
        <w:tc>
          <w:tcPr>
            <w:tcW w:type="dxa" w:w="3213"/>
          </w:tcPr>
          <w:p>
            <w:r>
              <w:rPr>
                <w:rFonts w:ascii="UT Sans" w:hAnsi="UT Sans" w:cs="UT Sans"/>
                <w:b w:val="0"/>
                <w:i w:val="0"/>
                <w:sz w:val="22"/>
              </w:rPr>
              <w:t>Livrare fizică</w:t>
            </w:r>
          </w:p>
        </w:tc>
        <w:tc>
          <w:tcPr>
            <w:tcW w:type="dxa" w:w="3213"/>
          </w:tcPr>
          <w:p>
            <w:r>
              <w:rPr>
                <w:rFonts w:ascii="UT Sans" w:hAnsi="UT Sans" w:cs="UT Sans"/>
                <w:b w:val="0"/>
                <w:i w:val="0"/>
                <w:sz w:val="22"/>
              </w:rPr>
              <w:t>Rar (&lt;2% din tranzacții) [1]</w:t>
            </w:r>
          </w:p>
        </w:tc>
        <w:tc>
          <w:tcPr>
            <w:tcW w:type="dxa" w:w="3213"/>
          </w:tcPr>
          <w:p>
            <w:r>
              <w:rPr>
                <w:rFonts w:ascii="UT Sans" w:hAnsi="UT Sans" w:cs="UT Sans"/>
                <w:b w:val="0"/>
                <w:i w:val="0"/>
                <w:sz w:val="22"/>
              </w:rPr>
              <w:t>Obligatorie (Core business) [1]</w:t>
            </w:r>
          </w:p>
        </w:tc>
      </w:tr>
      <w:tr>
        <w:tc>
          <w:tcPr>
            <w:tcW w:type="dxa" w:w="3213"/>
          </w:tcPr>
          <w:p>
            <w:r>
              <w:rPr>
                <w:rFonts w:ascii="UT Sans" w:hAnsi="UT Sans" w:cs="UT Sans"/>
                <w:b w:val="0"/>
                <w:i w:val="0"/>
                <w:sz w:val="22"/>
              </w:rPr>
              <w:t>Rolul tehnologiei</w:t>
            </w:r>
          </w:p>
        </w:tc>
        <w:tc>
          <w:tcPr>
            <w:tcW w:type="dxa" w:w="3213"/>
          </w:tcPr>
          <w:p>
            <w:r>
              <w:rPr>
                <w:rFonts w:ascii="UT Sans" w:hAnsi="UT Sans" w:cs="UT Sans"/>
                <w:b w:val="0"/>
                <w:i w:val="0"/>
                <w:sz w:val="22"/>
              </w:rPr>
              <w:t>Trading de înaltă frecvență</w:t>
            </w:r>
          </w:p>
        </w:tc>
        <w:tc>
          <w:tcPr>
            <w:tcW w:type="dxa" w:w="3213"/>
          </w:tcPr>
          <w:p>
            <w:r>
              <w:rPr>
                <w:rFonts w:ascii="UT Sans" w:hAnsi="UT Sans" w:cs="UT Sans"/>
                <w:b w:val="0"/>
                <w:i w:val="0"/>
                <w:sz w:val="22"/>
              </w:rPr>
              <w:t>Trasabilitate, SaaS, Escrow [1]</w:t>
            </w:r>
          </w:p>
        </w:tc>
      </w:tr>
      <w:tr>
        <w:tc>
          <w:tcPr>
            <w:tcW w:type="dxa" w:w="3213"/>
          </w:tcPr>
          <w:p>
            <w:r>
              <w:rPr>
                <w:rFonts w:ascii="UT Sans" w:hAnsi="UT Sans" w:cs="UT Sans"/>
                <w:b w:val="0"/>
                <w:i w:val="0"/>
                <w:sz w:val="22"/>
              </w:rPr>
              <w:t>Intermediari</w:t>
            </w:r>
          </w:p>
        </w:tc>
        <w:tc>
          <w:tcPr>
            <w:tcW w:type="dxa" w:w="3213"/>
          </w:tcPr>
          <w:p>
            <w:r>
              <w:rPr>
                <w:rFonts w:ascii="UT Sans" w:hAnsi="UT Sans" w:cs="UT Sans"/>
                <w:b w:val="0"/>
                <w:i w:val="0"/>
                <w:sz w:val="22"/>
              </w:rPr>
              <w:t>Brokeri, Case de compensare</w:t>
            </w:r>
          </w:p>
        </w:tc>
        <w:tc>
          <w:tcPr>
            <w:tcW w:type="dxa" w:w="3213"/>
          </w:tcPr>
          <w:p>
            <w:r>
              <w:rPr>
                <w:rFonts w:ascii="UT Sans" w:hAnsi="UT Sans" w:cs="UT Sans"/>
                <w:b w:val="0"/>
                <w:i w:val="0"/>
                <w:sz w:val="22"/>
              </w:rPr>
              <w:t>Disintermediere directă [1]</w:t>
            </w:r>
          </w:p>
        </w:tc>
      </w:tr>
      <w:tr>
        <w:tc>
          <w:tcPr>
            <w:tcW w:type="dxa" w:w="3213"/>
          </w:tcPr>
          <w:p>
            <w:r>
              <w:rPr>
                <w:rFonts w:ascii="UT Sans" w:hAnsi="UT Sans" w:cs="UT Sans"/>
                <w:b w:val="0"/>
                <w:i w:val="0"/>
                <w:sz w:val="22"/>
              </w:rPr>
              <w:t>Barieră de intrare</w:t>
            </w:r>
          </w:p>
        </w:tc>
        <w:tc>
          <w:tcPr>
            <w:tcW w:type="dxa" w:w="3213"/>
          </w:tcPr>
          <w:p>
            <w:r>
              <w:rPr>
                <w:rFonts w:ascii="UT Sans" w:hAnsi="UT Sans" w:cs="UT Sans"/>
                <w:b w:val="0"/>
                <w:i w:val="0"/>
                <w:sz w:val="22"/>
              </w:rPr>
              <w:t>Capital ridicat, cunoștințe financiare [1]</w:t>
            </w:r>
          </w:p>
        </w:tc>
        <w:tc>
          <w:tcPr>
            <w:tcW w:type="dxa" w:w="3213"/>
          </w:tcPr>
          <w:p>
            <w:r>
              <w:rPr>
                <w:rFonts w:ascii="UT Sans" w:hAnsi="UT Sans" w:cs="UT Sans"/>
                <w:b w:val="0"/>
                <w:i w:val="0"/>
                <w:sz w:val="22"/>
              </w:rPr>
              <w:t>Smartphone și acces internet [2]</w:t>
            </w:r>
          </w:p>
        </w:tc>
      </w:tr>
      <w:tr>
        <w:tc>
          <w:tcPr>
            <w:tcW w:type="dxa" w:w="3213"/>
          </w:tcPr>
          <w:p>
            <w:r>
              <w:rPr>
                <w:rFonts w:ascii="UT Sans" w:hAnsi="UT Sans" w:cs="UT Sans"/>
                <w:b w:val="0"/>
                <w:i w:val="0"/>
                <w:sz w:val="22"/>
              </w:rPr>
              <w:t>Conformitate legală</w:t>
            </w:r>
          </w:p>
        </w:tc>
        <w:tc>
          <w:tcPr>
            <w:tcW w:type="dxa" w:w="3213"/>
          </w:tcPr>
          <w:p>
            <w:r>
              <w:rPr>
                <w:rFonts w:ascii="UT Sans" w:hAnsi="UT Sans" w:cs="UT Sans"/>
                <w:b w:val="0"/>
                <w:i w:val="0"/>
                <w:sz w:val="22"/>
              </w:rPr>
              <w:t>Reglementare de tip bursier (ASF)</w:t>
            </w:r>
          </w:p>
        </w:tc>
        <w:tc>
          <w:tcPr>
            <w:tcW w:type="dxa" w:w="3213"/>
          </w:tcPr>
          <w:p>
            <w:r>
              <w:rPr>
                <w:rFonts w:ascii="UT Sans" w:hAnsi="UT Sans" w:cs="UT Sans"/>
                <w:b w:val="0"/>
                <w:i w:val="0"/>
                <w:sz w:val="22"/>
              </w:rPr>
              <w:t>NACE 4611, intermediere digitală [1]</w:t>
            </w:r>
          </w:p>
        </w:tc>
      </w:tr>
    </w:tbl>
    <w:p>
      <w:pPr>
        <w:spacing w:line="360" w:lineRule="auto" w:after="80"/>
        <w:jc w:val="both"/>
      </w:pPr>
      <w:r>
        <w:rPr>
          <w:rFonts w:ascii="UT Sans" w:hAnsi="UT Sans" w:cs="UT Sans"/>
          <w:b w:val="0"/>
          <w:i w:val="0"/>
          <w:sz w:val="24"/>
        </w:rPr>
      </w:r>
    </w:p>
    <w:p>
      <w:pPr>
        <w:spacing w:line="360" w:lineRule="auto"/>
        <w:jc w:val="both"/>
      </w:pPr>
      <w:r>
        <w:rPr>
          <w:rFonts w:ascii="UT Sans" w:hAnsi="UT Sans" w:cs="UT Sans"/>
          <w:b w:val="0"/>
          <w:i w:val="0"/>
          <w:sz w:val="24"/>
        </w:rPr>
        <w:t>AgriConnect se poziționează strategic la intersecția acestor două modele, oferind funcționalități de marketplace cu transparența prețurilor (inspirată de mecanismele de descoperire ale burselor) combinată cu flexibilitatea contractuală specifică tranzacțiilor OTC (over-the-counter). Platforma nu funcționează ca o bursă reglementată (evitând astfel obligațiile Legii 357/2005), ci ca un intermediar digital care facilitează negocierea bilaterală cu garanții de execuție prin escrow [1].</w:t>
      </w:r>
    </w:p>
    <w:p>
      <w:pPr>
        <w:pStyle w:val="Heading2"/>
        <w:keepNext/>
        <w:keepLines/>
        <w:spacing w:before="360" w:after="0" w:line="360" w:lineRule="auto"/>
        <w:jc w:val="both"/>
      </w:pPr>
      <w:r>
        <w:rPr>
          <w:rFonts w:ascii="UT Sans" w:hAnsi="UT Sans" w:cs="UT Sans"/>
          <w:b/>
          <w:i w:val="0"/>
          <w:sz w:val="28"/>
        </w:rPr>
        <w:t>1.4 Standarde de calitate a cerealelor: SR EN 15587 (Besatz)</w:t>
      </w:r>
    </w:p>
    <w:p>
      <w:pPr>
        <w:spacing w:line="360" w:lineRule="auto"/>
        <w:jc w:val="both"/>
      </w:pPr>
      <w:r>
        <w:rPr>
          <w:rFonts w:ascii="UT Sans" w:hAnsi="UT Sans" w:cs="UT Sans"/>
          <w:b w:val="0"/>
          <w:i w:val="0"/>
          <w:sz w:val="24"/>
        </w:rPr>
        <w:t>Fungibilitatea mărfurilor agricole pe bursele internaționale depinde de standardizarea riguroasă a parametrilor de calitate. În Europa, principalul benchmark pentru puritatea cerealelor și determinarea "Besatz" (impurități) este standardul EN 15587, definit de Comitetul European de Standardizare (CEN) [2]. Metodologia de testare specifică trei categorii de examinare: caracteristici sanitare (absența dăunătorilor/mucegaiurilor), caracteristici fizice (dimensiune/puritate) și caracteristici intrinseci (umiditate/proteină/ulei) [2].</w:t>
      </w:r>
    </w:p>
    <w:p>
      <w:pPr>
        <w:spacing w:line="360" w:lineRule="auto"/>
        <w:jc w:val="both"/>
      </w:pPr>
      <w:r>
        <w:rPr>
          <w:rFonts w:ascii="UT Sans" w:hAnsi="UT Sans" w:cs="UT Sans"/>
          <w:b w:val="0"/>
          <w:i w:val="0"/>
          <w:sz w:val="24"/>
        </w:rPr>
        <w:t>Termenul "Besatz" cuprinde toate materiile străine dintr-o mostră de cereale, incluzând boabe sparte, zbârcite, afectate de dăunători, semințe de buruieni ("Schwarzbesatz") și fragmente minerale [2]. Pentru inspecția manuală, EN 15587 specifică dimensiuni exacte ale sitelor pentru diferite tipuri de cereale — pentru grâul comun, standardul necesită un sită cu orificii oblonge de 2.00 mm [2]. Procesul implică prelevarea unei porțiuni reprezentative — de obicei 50-100 g, conținând cel puțin 2.500 de boabe — pentru a asigura validitatea statistică [2].</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UT Sans" w:hAnsi="UT Sans" w:cs="UT Sans"/>
                <w:b/>
                <w:i w:val="0"/>
                <w:sz w:val="22"/>
              </w:rPr>
              <w:t>Categorie Besatz</w:t>
            </w:r>
          </w:p>
        </w:tc>
        <w:tc>
          <w:tcPr>
            <w:tcW w:type="dxa" w:w="3213"/>
          </w:tcPr>
          <w:p>
            <w:r>
              <w:rPr>
                <w:rFonts w:ascii="UT Sans" w:hAnsi="UT Sans" w:cs="UT Sans"/>
                <w:b/>
                <w:i w:val="0"/>
                <w:sz w:val="22"/>
              </w:rPr>
              <w:t>Componente</w:t>
            </w:r>
          </w:p>
        </w:tc>
        <w:tc>
          <w:tcPr>
            <w:tcW w:type="dxa" w:w="3213"/>
          </w:tcPr>
          <w:p>
            <w:r>
              <w:rPr>
                <w:rFonts w:ascii="UT Sans" w:hAnsi="UT Sans" w:cs="UT Sans"/>
                <w:b/>
                <w:i w:val="0"/>
                <w:sz w:val="22"/>
              </w:rPr>
              <w:t>Prag Maxim Admis</w:t>
            </w:r>
          </w:p>
        </w:tc>
      </w:tr>
      <w:tr>
        <w:tc>
          <w:tcPr>
            <w:tcW w:type="dxa" w:w="3213"/>
          </w:tcPr>
          <w:p>
            <w:r>
              <w:rPr>
                <w:rFonts w:ascii="UT Sans" w:hAnsi="UT Sans" w:cs="UT Sans"/>
                <w:b w:val="0"/>
                <w:i w:val="0"/>
                <w:sz w:val="22"/>
              </w:rPr>
              <w:t>Boabe Sparte</w:t>
            </w:r>
          </w:p>
        </w:tc>
        <w:tc>
          <w:tcPr>
            <w:tcW w:type="dxa" w:w="3213"/>
          </w:tcPr>
          <w:p>
            <w:r>
              <w:rPr>
                <w:rFonts w:ascii="UT Sans" w:hAnsi="UT Sans" w:cs="UT Sans"/>
                <w:b w:val="0"/>
                <w:i w:val="0"/>
                <w:sz w:val="22"/>
              </w:rPr>
              <w:t>Boabe cu porțiuni lipsă și endosperm vizibil</w:t>
            </w:r>
          </w:p>
        </w:tc>
        <w:tc>
          <w:tcPr>
            <w:tcW w:type="dxa" w:w="3213"/>
          </w:tcPr>
          <w:p>
            <w:r>
              <w:rPr>
                <w:rFonts w:ascii="UT Sans" w:hAnsi="UT Sans" w:cs="UT Sans"/>
                <w:b w:val="0"/>
                <w:i w:val="0"/>
                <w:sz w:val="22"/>
              </w:rPr>
              <w:t>2.0% pentru grâul de morărit [2]</w:t>
            </w:r>
          </w:p>
        </w:tc>
      </w:tr>
      <w:tr>
        <w:tc>
          <w:tcPr>
            <w:tcW w:type="dxa" w:w="3213"/>
          </w:tcPr>
          <w:p>
            <w:r>
              <w:rPr>
                <w:rFonts w:ascii="UT Sans" w:hAnsi="UT Sans" w:cs="UT Sans"/>
                <w:b w:val="0"/>
                <w:i w:val="0"/>
                <w:sz w:val="22"/>
              </w:rPr>
              <w:t>Impurități Cereale</w:t>
            </w:r>
          </w:p>
        </w:tc>
        <w:tc>
          <w:tcPr>
            <w:tcW w:type="dxa" w:w="3213"/>
          </w:tcPr>
          <w:p>
            <w:r>
              <w:rPr>
                <w:rFonts w:ascii="UT Sans" w:hAnsi="UT Sans" w:cs="UT Sans"/>
                <w:b w:val="0"/>
                <w:i w:val="0"/>
                <w:sz w:val="22"/>
              </w:rPr>
              <w:t>Boabe zbârcite, alte cereale, dăunători, boabe pătate</w:t>
            </w:r>
          </w:p>
        </w:tc>
        <w:tc>
          <w:tcPr>
            <w:tcW w:type="dxa" w:w="3213"/>
          </w:tcPr>
          <w:p>
            <w:r>
              <w:rPr>
                <w:rFonts w:ascii="UT Sans" w:hAnsi="UT Sans" w:cs="UT Sans"/>
                <w:b w:val="0"/>
                <w:i w:val="0"/>
                <w:sz w:val="22"/>
              </w:rPr>
              <w:t>5.0% total [2]</w:t>
            </w:r>
          </w:p>
        </w:tc>
      </w:tr>
      <w:tr>
        <w:tc>
          <w:tcPr>
            <w:tcW w:type="dxa" w:w="3213"/>
          </w:tcPr>
          <w:p>
            <w:r>
              <w:rPr>
                <w:rFonts w:ascii="UT Sans" w:hAnsi="UT Sans" w:cs="UT Sans"/>
                <w:b w:val="0"/>
                <w:i w:val="0"/>
                <w:sz w:val="22"/>
              </w:rPr>
              <w:t>Boabe Încolțite</w:t>
            </w:r>
          </w:p>
        </w:tc>
        <w:tc>
          <w:tcPr>
            <w:tcW w:type="dxa" w:w="3213"/>
          </w:tcPr>
          <w:p>
            <w:r>
              <w:rPr>
                <w:rFonts w:ascii="UT Sans" w:hAnsi="UT Sans" w:cs="UT Sans"/>
                <w:b w:val="0"/>
                <w:i w:val="0"/>
                <w:sz w:val="22"/>
              </w:rPr>
              <w:t>Boabe cu modificări fizice vizibile ale germenului</w:t>
            </w:r>
          </w:p>
        </w:tc>
        <w:tc>
          <w:tcPr>
            <w:tcW w:type="dxa" w:w="3213"/>
          </w:tcPr>
          <w:p>
            <w:r>
              <w:rPr>
                <w:rFonts w:ascii="UT Sans" w:hAnsi="UT Sans" w:cs="UT Sans"/>
                <w:b w:val="0"/>
                <w:i w:val="0"/>
                <w:sz w:val="22"/>
              </w:rPr>
              <w:t>2.5% [2]</w:t>
            </w:r>
          </w:p>
        </w:tc>
      </w:tr>
      <w:tr>
        <w:tc>
          <w:tcPr>
            <w:tcW w:type="dxa" w:w="3213"/>
          </w:tcPr>
          <w:p>
            <w:r>
              <w:rPr>
                <w:rFonts w:ascii="UT Sans" w:hAnsi="UT Sans" w:cs="UT Sans"/>
                <w:b w:val="0"/>
                <w:i w:val="0"/>
                <w:sz w:val="22"/>
              </w:rPr>
              <w:t>Schwarzbesatz</w:t>
            </w:r>
          </w:p>
        </w:tc>
        <w:tc>
          <w:tcPr>
            <w:tcW w:type="dxa" w:w="3213"/>
          </w:tcPr>
          <w:p>
            <w:r>
              <w:rPr>
                <w:rFonts w:ascii="UT Sans" w:hAnsi="UT Sans" w:cs="UT Sans"/>
                <w:b w:val="0"/>
                <w:i w:val="0"/>
                <w:sz w:val="22"/>
              </w:rPr>
              <w:t>Impurități diverse: semințe buruieni, pietre, ergot</w:t>
            </w:r>
          </w:p>
        </w:tc>
        <w:tc>
          <w:tcPr>
            <w:tcW w:type="dxa" w:w="3213"/>
          </w:tcPr>
          <w:p>
            <w:r>
              <w:rPr>
                <w:rFonts w:ascii="UT Sans" w:hAnsi="UT Sans" w:cs="UT Sans"/>
                <w:b w:val="0"/>
                <w:i w:val="0"/>
                <w:sz w:val="22"/>
              </w:rPr>
              <w:t>1.0% strict [2]</w:t>
            </w:r>
          </w:p>
        </w:tc>
      </w:tr>
      <w:tr>
        <w:tc>
          <w:tcPr>
            <w:tcW w:type="dxa" w:w="3213"/>
          </w:tcPr>
          <w:p>
            <w:r>
              <w:rPr>
                <w:rFonts w:ascii="UT Sans" w:hAnsi="UT Sans" w:cs="UT Sans"/>
                <w:b w:val="0"/>
                <w:i w:val="0"/>
                <w:sz w:val="22"/>
              </w:rPr>
              <w:t>Umiditate</w:t>
            </w:r>
          </w:p>
        </w:tc>
        <w:tc>
          <w:tcPr>
            <w:tcW w:type="dxa" w:w="3213"/>
          </w:tcPr>
          <w:p>
            <w:r>
              <w:rPr>
                <w:rFonts w:ascii="UT Sans" w:hAnsi="UT Sans" w:cs="UT Sans"/>
                <w:b w:val="0"/>
                <w:i w:val="0"/>
                <w:sz w:val="22"/>
              </w:rPr>
              <w:t>Conținut de apă determinat prin uscare la cuptor</w:t>
            </w:r>
          </w:p>
        </w:tc>
        <w:tc>
          <w:tcPr>
            <w:tcW w:type="dxa" w:w="3213"/>
          </w:tcPr>
          <w:p>
            <w:r>
              <w:rPr>
                <w:rFonts w:ascii="UT Sans" w:hAnsi="UT Sans" w:cs="UT Sans"/>
                <w:b w:val="0"/>
                <w:i w:val="0"/>
                <w:sz w:val="22"/>
              </w:rPr>
              <w:t>14.0% maxim [2]</w:t>
            </w:r>
          </w:p>
        </w:tc>
      </w:tr>
    </w:tbl>
    <w:p>
      <w:pPr>
        <w:spacing w:line="360" w:lineRule="auto" w:after="80"/>
        <w:jc w:val="both"/>
      </w:pPr>
      <w:r>
        <w:rPr>
          <w:rFonts w:ascii="UT Sans" w:hAnsi="UT Sans" w:cs="UT Sans"/>
          <w:b w:val="0"/>
          <w:i w:val="0"/>
          <w:sz w:val="24"/>
        </w:rPr>
      </w:r>
    </w:p>
    <w:p>
      <w:pPr>
        <w:pStyle w:val="Heading3"/>
        <w:keepNext/>
        <w:keepLines/>
        <w:spacing w:before="200" w:after="0" w:line="360" w:lineRule="auto"/>
        <w:jc w:val="both"/>
      </w:pPr>
      <w:r>
        <w:rPr>
          <w:rFonts w:ascii="UT Sans" w:hAnsi="UT Sans" w:cs="UT Sans"/>
          <w:b/>
          <w:i w:val="0"/>
          <w:sz w:val="22"/>
        </w:rPr>
        <w:t>1.4.1 Parametrii de calitate ai grâului românesc</w:t>
      </w:r>
    </w:p>
    <w:p>
      <w:pPr>
        <w:spacing w:line="360" w:lineRule="auto"/>
        <w:jc w:val="both"/>
      </w:pPr>
      <w:r>
        <w:rPr>
          <w:rFonts w:ascii="UT Sans" w:hAnsi="UT Sans" w:cs="UT Sans"/>
          <w:b w:val="0"/>
          <w:i w:val="0"/>
          <w:sz w:val="24"/>
        </w:rPr>
        <w:t>România, ca producător semnificativ în UE, aderă atât la standardele europene, cât și la reglementări naționale specifice pentru cerealele importate. Ministerul Agriculturii a stabilit istoric standarde ridicate pentru grâul importat, depășind adesea normele internaționale pentru parametri precum glutenul umed și indicele de cădere (falling number) [3]. Determinarea conținutului de proteină prin metoda Kjeldahl este o practică standard, calculată prin măsurarea azotului total multiplicat cu factorul convențional de 5.7 pentru grâu [3].</w:t>
      </w:r>
    </w:p>
    <w:tbl>
      <w:tblPr>
        <w:tblStyle w:val="TableGrid"/>
        <w:tblW w:type="auto" w:w="0"/>
        <w:tblLook w:firstColumn="1" w:firstRow="1" w:lastColumn="0" w:lastRow="0" w:noHBand="0" w:noVBand="1" w:val="04A0"/>
      </w:tblPr>
      <w:tblGrid>
        <w:gridCol w:w="2410"/>
        <w:gridCol w:w="2410"/>
        <w:gridCol w:w="2410"/>
        <w:gridCol w:w="2410"/>
      </w:tblGrid>
      <w:tr>
        <w:tc>
          <w:tcPr>
            <w:tcW w:type="dxa" w:w="2410"/>
          </w:tcPr>
          <w:p>
            <w:r>
              <w:rPr>
                <w:rFonts w:ascii="UT Sans" w:hAnsi="UT Sans" w:cs="UT Sans"/>
                <w:b/>
                <w:i w:val="0"/>
                <w:sz w:val="22"/>
              </w:rPr>
              <w:t>Parametru Calitate</w:t>
            </w:r>
          </w:p>
        </w:tc>
        <w:tc>
          <w:tcPr>
            <w:tcW w:type="dxa" w:w="2410"/>
          </w:tcPr>
          <w:p>
            <w:r>
              <w:rPr>
                <w:rFonts w:ascii="UT Sans" w:hAnsi="UT Sans" w:cs="UT Sans"/>
                <w:b/>
                <w:i w:val="0"/>
                <w:sz w:val="22"/>
              </w:rPr>
              <w:t>Standard Import Grâu</w:t>
            </w:r>
          </w:p>
        </w:tc>
        <w:tc>
          <w:tcPr>
            <w:tcW w:type="dxa" w:w="2410"/>
          </w:tcPr>
          <w:p>
            <w:r>
              <w:rPr>
                <w:rFonts w:ascii="UT Sans" w:hAnsi="UT Sans" w:cs="UT Sans"/>
                <w:b/>
                <w:i w:val="0"/>
                <w:sz w:val="22"/>
              </w:rPr>
              <w:t>Standard Import Făină</w:t>
            </w:r>
          </w:p>
        </w:tc>
        <w:tc>
          <w:tcPr>
            <w:tcW w:type="dxa" w:w="2410"/>
          </w:tcPr>
          <w:p>
            <w:r>
              <w:rPr>
                <w:rFonts w:ascii="UT Sans" w:hAnsi="UT Sans" w:cs="UT Sans"/>
                <w:b/>
                <w:i w:val="0"/>
                <w:sz w:val="22"/>
              </w:rPr>
              <w:t>Metodă Verificare</w:t>
            </w:r>
          </w:p>
        </w:tc>
      </w:tr>
      <w:tr>
        <w:tc>
          <w:tcPr>
            <w:tcW w:type="dxa" w:w="2410"/>
          </w:tcPr>
          <w:p>
            <w:r>
              <w:rPr>
                <w:rFonts w:ascii="UT Sans" w:hAnsi="UT Sans" w:cs="UT Sans"/>
                <w:b w:val="0"/>
                <w:i w:val="0"/>
                <w:sz w:val="22"/>
              </w:rPr>
              <w:t>Umiditate</w:t>
            </w:r>
          </w:p>
        </w:tc>
        <w:tc>
          <w:tcPr>
            <w:tcW w:type="dxa" w:w="2410"/>
          </w:tcPr>
          <w:p>
            <w:r>
              <w:rPr>
                <w:rFonts w:ascii="UT Sans" w:hAnsi="UT Sans" w:cs="UT Sans"/>
                <w:b w:val="0"/>
                <w:i w:val="0"/>
                <w:sz w:val="22"/>
              </w:rPr>
              <w:t>Max 14.0%</w:t>
            </w:r>
          </w:p>
        </w:tc>
        <w:tc>
          <w:tcPr>
            <w:tcW w:type="dxa" w:w="2410"/>
          </w:tcPr>
          <w:p>
            <w:r>
              <w:rPr>
                <w:rFonts w:ascii="UT Sans" w:hAnsi="UT Sans" w:cs="UT Sans"/>
                <w:b w:val="0"/>
                <w:i w:val="0"/>
                <w:sz w:val="22"/>
              </w:rPr>
              <w:t>Max 14.5%</w:t>
            </w:r>
          </w:p>
        </w:tc>
        <w:tc>
          <w:tcPr>
            <w:tcW w:type="dxa" w:w="2410"/>
          </w:tcPr>
          <w:p>
            <w:r>
              <w:rPr>
                <w:rFonts w:ascii="UT Sans" w:hAnsi="UT Sans" w:cs="UT Sans"/>
                <w:b w:val="0"/>
                <w:i w:val="0"/>
                <w:sz w:val="22"/>
              </w:rPr>
              <w:t>Cuptor uscare (ICC 110/1)</w:t>
            </w:r>
          </w:p>
        </w:tc>
      </w:tr>
      <w:tr>
        <w:tc>
          <w:tcPr>
            <w:tcW w:type="dxa" w:w="2410"/>
          </w:tcPr>
          <w:p>
            <w:r>
              <w:rPr>
                <w:rFonts w:ascii="UT Sans" w:hAnsi="UT Sans" w:cs="UT Sans"/>
                <w:b w:val="0"/>
                <w:i w:val="0"/>
                <w:sz w:val="22"/>
              </w:rPr>
              <w:t>Greutate Hectolitrică</w:t>
            </w:r>
          </w:p>
        </w:tc>
        <w:tc>
          <w:tcPr>
            <w:tcW w:type="dxa" w:w="2410"/>
          </w:tcPr>
          <w:p>
            <w:r>
              <w:rPr>
                <w:rFonts w:ascii="UT Sans" w:hAnsi="UT Sans" w:cs="UT Sans"/>
                <w:b w:val="0"/>
                <w:i w:val="0"/>
                <w:sz w:val="22"/>
              </w:rPr>
              <w:t>Min 80.0 kg/hl</w:t>
            </w:r>
          </w:p>
        </w:tc>
        <w:tc>
          <w:tcPr>
            <w:tcW w:type="dxa" w:w="2410"/>
          </w:tcPr>
          <w:p>
            <w:r>
              <w:rPr>
                <w:rFonts w:ascii="UT Sans" w:hAnsi="UT Sans" w:cs="UT Sans"/>
                <w:b w:val="0"/>
                <w:i w:val="0"/>
                <w:sz w:val="22"/>
              </w:rPr>
              <w:t>N/A</w:t>
            </w:r>
          </w:p>
        </w:tc>
        <w:tc>
          <w:tcPr>
            <w:tcW w:type="dxa" w:w="2410"/>
          </w:tcPr>
          <w:p>
            <w:r>
              <w:rPr>
                <w:rFonts w:ascii="UT Sans" w:hAnsi="UT Sans" w:cs="UT Sans"/>
                <w:b w:val="0"/>
                <w:i w:val="0"/>
                <w:sz w:val="22"/>
              </w:rPr>
              <w:t>Măsurare densitate vrac</w:t>
            </w:r>
          </w:p>
        </w:tc>
      </w:tr>
      <w:tr>
        <w:tc>
          <w:tcPr>
            <w:tcW w:type="dxa" w:w="2410"/>
          </w:tcPr>
          <w:p>
            <w:r>
              <w:rPr>
                <w:rFonts w:ascii="UT Sans" w:hAnsi="UT Sans" w:cs="UT Sans"/>
                <w:b w:val="0"/>
                <w:i w:val="0"/>
                <w:sz w:val="22"/>
              </w:rPr>
              <w:t>Gluten Umed</w:t>
            </w:r>
          </w:p>
        </w:tc>
        <w:tc>
          <w:tcPr>
            <w:tcW w:type="dxa" w:w="2410"/>
          </w:tcPr>
          <w:p>
            <w:r>
              <w:rPr>
                <w:rFonts w:ascii="UT Sans" w:hAnsi="UT Sans" w:cs="UT Sans"/>
                <w:b w:val="0"/>
                <w:i w:val="0"/>
                <w:sz w:val="22"/>
              </w:rPr>
              <w:t>Min 30.0%</w:t>
            </w:r>
          </w:p>
        </w:tc>
        <w:tc>
          <w:tcPr>
            <w:tcW w:type="dxa" w:w="2410"/>
          </w:tcPr>
          <w:p>
            <w:r>
              <w:rPr>
                <w:rFonts w:ascii="UT Sans" w:hAnsi="UT Sans" w:cs="UT Sans"/>
                <w:b w:val="0"/>
                <w:i w:val="0"/>
                <w:sz w:val="22"/>
              </w:rPr>
              <w:t>Min 32.0%</w:t>
            </w:r>
          </w:p>
        </w:tc>
        <w:tc>
          <w:tcPr>
            <w:tcW w:type="dxa" w:w="2410"/>
          </w:tcPr>
          <w:p>
            <w:r>
              <w:rPr>
                <w:rFonts w:ascii="UT Sans" w:hAnsi="UT Sans" w:cs="UT Sans"/>
                <w:b w:val="0"/>
                <w:i w:val="0"/>
                <w:sz w:val="22"/>
              </w:rPr>
              <w:t>Glutomatic 2200 (ICC 137/1)</w:t>
            </w:r>
          </w:p>
        </w:tc>
      </w:tr>
      <w:tr>
        <w:tc>
          <w:tcPr>
            <w:tcW w:type="dxa" w:w="2410"/>
          </w:tcPr>
          <w:p>
            <w:r>
              <w:rPr>
                <w:rFonts w:ascii="UT Sans" w:hAnsi="UT Sans" w:cs="UT Sans"/>
                <w:b w:val="0"/>
                <w:i w:val="0"/>
                <w:sz w:val="22"/>
              </w:rPr>
              <w:t>Indice de Cădere</w:t>
            </w:r>
          </w:p>
        </w:tc>
        <w:tc>
          <w:tcPr>
            <w:tcW w:type="dxa" w:w="2410"/>
          </w:tcPr>
          <w:p>
            <w:r>
              <w:rPr>
                <w:rFonts w:ascii="UT Sans" w:hAnsi="UT Sans" w:cs="UT Sans"/>
                <w:b w:val="0"/>
                <w:i w:val="0"/>
                <w:sz w:val="22"/>
              </w:rPr>
              <w:t>Min 300 sec</w:t>
            </w:r>
          </w:p>
        </w:tc>
        <w:tc>
          <w:tcPr>
            <w:tcW w:type="dxa" w:w="2410"/>
          </w:tcPr>
          <w:p>
            <w:r>
              <w:rPr>
                <w:rFonts w:ascii="UT Sans" w:hAnsi="UT Sans" w:cs="UT Sans"/>
                <w:b w:val="0"/>
                <w:i w:val="0"/>
                <w:sz w:val="22"/>
              </w:rPr>
              <w:t>260-320 sec</w:t>
            </w:r>
          </w:p>
        </w:tc>
        <w:tc>
          <w:tcPr>
            <w:tcW w:type="dxa" w:w="2410"/>
          </w:tcPr>
          <w:p>
            <w:r>
              <w:rPr>
                <w:rFonts w:ascii="UT Sans" w:hAnsi="UT Sans" w:cs="UT Sans"/>
                <w:b w:val="0"/>
                <w:i w:val="0"/>
                <w:sz w:val="22"/>
              </w:rPr>
              <w:t>Metoda Hagberg</w:t>
            </w:r>
          </w:p>
        </w:tc>
      </w:tr>
      <w:tr>
        <w:tc>
          <w:tcPr>
            <w:tcW w:type="dxa" w:w="2410"/>
          </w:tcPr>
          <w:p>
            <w:r>
              <w:rPr>
                <w:rFonts w:ascii="UT Sans" w:hAnsi="UT Sans" w:cs="UT Sans"/>
                <w:b w:val="0"/>
                <w:i w:val="0"/>
                <w:sz w:val="22"/>
              </w:rPr>
              <w:t>Proteină Brută</w:t>
            </w:r>
          </w:p>
        </w:tc>
        <w:tc>
          <w:tcPr>
            <w:tcW w:type="dxa" w:w="2410"/>
          </w:tcPr>
          <w:p>
            <w:r>
              <w:rPr>
                <w:rFonts w:ascii="UT Sans" w:hAnsi="UT Sans" w:cs="UT Sans"/>
                <w:b w:val="0"/>
                <w:i w:val="0"/>
                <w:sz w:val="22"/>
              </w:rPr>
              <w:t>Min 13.0%</w:t>
            </w:r>
          </w:p>
        </w:tc>
        <w:tc>
          <w:tcPr>
            <w:tcW w:type="dxa" w:w="2410"/>
          </w:tcPr>
          <w:p>
            <w:r>
              <w:rPr>
                <w:rFonts w:ascii="UT Sans" w:hAnsi="UT Sans" w:cs="UT Sans"/>
                <w:b w:val="0"/>
                <w:i w:val="0"/>
                <w:sz w:val="22"/>
              </w:rPr>
              <w:t>Min 12.5%</w:t>
            </w:r>
          </w:p>
        </w:tc>
        <w:tc>
          <w:tcPr>
            <w:tcW w:type="dxa" w:w="2410"/>
          </w:tcPr>
          <w:p>
            <w:r>
              <w:rPr>
                <w:rFonts w:ascii="UT Sans" w:hAnsi="UT Sans" w:cs="UT Sans"/>
                <w:b w:val="0"/>
                <w:i w:val="0"/>
                <w:sz w:val="22"/>
              </w:rPr>
              <w:t>Kjeldahl (ICC 105/2)</w:t>
            </w:r>
          </w:p>
        </w:tc>
      </w:tr>
      <w:tr>
        <w:tc>
          <w:tcPr>
            <w:tcW w:type="dxa" w:w="2410"/>
          </w:tcPr>
          <w:p>
            <w:r>
              <w:rPr>
                <w:rFonts w:ascii="UT Sans" w:hAnsi="UT Sans" w:cs="UT Sans"/>
                <w:b w:val="0"/>
                <w:i w:val="0"/>
                <w:sz w:val="22"/>
              </w:rPr>
              <w:t>Material Străin</w:t>
            </w:r>
          </w:p>
        </w:tc>
        <w:tc>
          <w:tcPr>
            <w:tcW w:type="dxa" w:w="2410"/>
          </w:tcPr>
          <w:p>
            <w:r>
              <w:rPr>
                <w:rFonts w:ascii="UT Sans" w:hAnsi="UT Sans" w:cs="UT Sans"/>
                <w:b w:val="0"/>
                <w:i w:val="0"/>
                <w:sz w:val="22"/>
              </w:rPr>
              <w:t>Max 0.5%</w:t>
            </w:r>
          </w:p>
        </w:tc>
        <w:tc>
          <w:tcPr>
            <w:tcW w:type="dxa" w:w="2410"/>
          </w:tcPr>
          <w:p>
            <w:r>
              <w:rPr>
                <w:rFonts w:ascii="UT Sans" w:hAnsi="UT Sans" w:cs="UT Sans"/>
                <w:b w:val="0"/>
                <w:i w:val="0"/>
                <w:sz w:val="22"/>
              </w:rPr>
              <w:t>N/A</w:t>
            </w:r>
          </w:p>
        </w:tc>
        <w:tc>
          <w:tcPr>
            <w:tcW w:type="dxa" w:w="2410"/>
          </w:tcPr>
          <w:p>
            <w:r>
              <w:rPr>
                <w:rFonts w:ascii="UT Sans" w:hAnsi="UT Sans" w:cs="UT Sans"/>
                <w:b w:val="0"/>
                <w:i w:val="0"/>
                <w:sz w:val="22"/>
              </w:rPr>
              <w:t>Sortare manuală/Sitare</w:t>
            </w:r>
          </w:p>
        </w:tc>
      </w:tr>
    </w:tbl>
    <w:p>
      <w:pPr>
        <w:spacing w:line="360" w:lineRule="auto" w:after="80"/>
        <w:jc w:val="both"/>
      </w:pPr>
      <w:r>
        <w:rPr>
          <w:rFonts w:ascii="UT Sans" w:hAnsi="UT Sans" w:cs="UT Sans"/>
          <w:b w:val="0"/>
          <w:i w:val="0"/>
          <w:sz w:val="24"/>
        </w:rPr>
      </w:r>
    </w:p>
    <w:p>
      <w:pPr>
        <w:spacing w:line="360" w:lineRule="auto"/>
        <w:jc w:val="both"/>
      </w:pPr>
      <w:r>
        <w:rPr>
          <w:rFonts w:ascii="UT Sans" w:hAnsi="UT Sans" w:cs="UT Sans"/>
          <w:b w:val="0"/>
          <w:i w:val="0"/>
          <w:sz w:val="24"/>
        </w:rPr>
        <w:t>Anul agricol 2023-2024 a fost marcat de evenimente agrometeorologice extreme — recolta din 2024 a fost afectată de un val de căldură semnificativ și secetă în iunie, cea mai caldă din 1850 [3]. Interesant, deși productivitatea a fost mai scăzută comparativ cu 2023, calitatea cerealelor a fost adesea superioară în termeni de concentrație de proteină și gluten, datorită stresului de mediu care concentrează compușii nutritivi în bobul mai mic [3]. Până în 2025, producția a înregistrat o recuperare spectaculoasă, cu producția de grâu crescând cu 36.6% la 12.69 milioane tone, confirmând rolul României ca pilon esențial al aprovizionării cerealiere a UE [4].</w:t>
      </w:r>
    </w:p>
    <w:p>
      <w:pPr>
        <w:spacing w:line="360" w:lineRule="auto"/>
        <w:jc w:val="both"/>
      </w:pPr>
      <w:r>
        <w:rPr>
          <w:rFonts w:ascii="UT Sans" w:hAnsi="UT Sans" w:cs="UT Sans"/>
          <w:b w:val="0"/>
          <w:i w:val="0"/>
          <w:sz w:val="24"/>
        </w:rPr>
        <w:t>Aceste fluctuații evidențiază importanța unui sistem digital care să poată captura și disemina rapid informațiile de calitate, permițând cumpărătorilor să ia decizii informate bazate pe date obiective, nu pe estimări subiective ale brokerilor tradiționali. AgriConnect adresează această nevoie prin stocarea parametrilor de calitate în coloane JSONB, permițând interogări structurate care reflectă fidelul realitățile fizice ale fiecărui lot de cereale tranzacționat.</w:t>
      </w:r>
    </w:p>
    <w:p>
      <w:pPr>
        <w:pStyle w:val="Heading2"/>
        <w:keepNext/>
        <w:keepLines/>
        <w:spacing w:before="360" w:after="0" w:line="360" w:lineRule="auto"/>
        <w:jc w:val="both"/>
      </w:pPr>
      <w:r>
        <w:rPr>
          <w:rFonts w:ascii="UT Sans" w:hAnsi="UT Sans" w:cs="UT Sans"/>
          <w:b/>
          <w:i w:val="0"/>
          <w:sz w:val="28"/>
        </w:rPr>
        <w:t>1.5 Obiectivele proiectului</w:t>
      </w:r>
    </w:p>
    <w:p>
      <w:pPr>
        <w:spacing w:line="360" w:lineRule="auto"/>
        <w:jc w:val="both"/>
      </w:pPr>
      <w:r>
        <w:rPr>
          <w:rFonts w:ascii="UT Sans" w:hAnsi="UT Sans" w:cs="UT Sans"/>
          <w:b w:val="0"/>
          <w:i w:val="0"/>
          <w:sz w:val="24"/>
        </w:rPr>
        <w:t>Proiectul AgriConnect își propune atingerea următoarelor obiective tehnice și funcționale:</w:t>
      </w:r>
    </w:p>
    <w:p>
      <w:pPr>
        <w:jc w:val="both"/>
        <w:spacing w:after="80" w:line="360" w:lineRule="auto"/>
        <w:ind w:left="720" w:hanging="360"/>
      </w:pPr>
      <w:r>
        <w:rPr>
          <w:rFonts w:ascii="UT Sans" w:hAnsi="UT Sans" w:cs="UT Sans"/>
          <w:b w:val="0"/>
          <w:i w:val="0"/>
          <w:sz w:val="22"/>
        </w:rPr>
        <w:t>• Dezvoltarea unei platforme B2B complete pentru tranzacționarea cerealelor și produselor agricole, cu suport pentru contracte spot și forward, incluzând un mecanism de negociere a prețurilor și generare automată de facturi</w:t>
      </w:r>
    </w:p>
    <w:p>
      <w:pPr>
        <w:jc w:val="both"/>
        <w:spacing w:after="80" w:line="360" w:lineRule="auto"/>
        <w:ind w:left="720" w:hanging="360"/>
      </w:pPr>
      <w:r>
        <w:rPr>
          <w:rFonts w:ascii="UT Sans" w:hAnsi="UT Sans" w:cs="UT Sans"/>
          <w:b w:val="0"/>
          <w:i w:val="0"/>
          <w:sz w:val="22"/>
        </w:rPr>
        <w:t>• Implementarea unei arhitecturi modulare bazate pe Domain-Driven Design (DDD), cu izolarea completă a contextelor de business: IAM, Trading, Financial, Transport și Disputes, fiecare cu propriul model de domeniu și API intern</w:t>
      </w:r>
    </w:p>
    <w:p>
      <w:pPr>
        <w:jc w:val="both"/>
        <w:spacing w:after="80" w:line="360" w:lineRule="auto"/>
        <w:ind w:left="720" w:hanging="360"/>
      </w:pPr>
      <w:r>
        <w:rPr>
          <w:rFonts w:ascii="UT Sans" w:hAnsi="UT Sans" w:cs="UT Sans"/>
          <w:b w:val="0"/>
          <w:i w:val="0"/>
          <w:sz w:val="22"/>
        </w:rPr>
        <w:t>• Integrarea unui sistem de stocare hibridă PostgreSQL cu JSONB și indecși GIN pentru gestionarea flexibilă a parametrilor de calitate a cerealelor conform SR EN 15587, cu suport pentru validare JSON Schema</w:t>
      </w:r>
    </w:p>
    <w:p>
      <w:pPr>
        <w:jc w:val="both"/>
        <w:spacing w:after="80" w:line="360" w:lineRule="auto"/>
        <w:ind w:left="720" w:hanging="360"/>
      </w:pPr>
      <w:r>
        <w:rPr>
          <w:rFonts w:ascii="UT Sans" w:hAnsi="UT Sans" w:cs="UT Sans"/>
          <w:b w:val="0"/>
          <w:i w:val="0"/>
          <w:sz w:val="22"/>
        </w:rPr>
        <w:t>• Realizarea unui modul de conformitate fiscală automată: taxare inversă (Art. 331 Cod Fiscal), raportare DAC7 (formularul F7000) și generare coduri UIT pentru RO e-Transport, cu verificare automată a statutului de plătitor TVA prin API-ul ANAF</w:t>
      </w:r>
    </w:p>
    <w:p>
      <w:pPr>
        <w:jc w:val="both"/>
        <w:spacing w:after="80" w:line="360" w:lineRule="auto"/>
        <w:ind w:left="720" w:hanging="360"/>
      </w:pPr>
      <w:r>
        <w:rPr>
          <w:rFonts w:ascii="UT Sans" w:hAnsi="UT Sans" w:cs="UT Sans"/>
          <w:b w:val="0"/>
          <w:i w:val="0"/>
          <w:sz w:val="22"/>
        </w:rPr>
        <w:t>• Implementarea unui sistem Escrow digital cu split payment tripartit (95% vânzător / 3% transportator / 2% comision platformă) sub directiva PSD2, cu autentificare SCA (Strong Customer Authentication)</w:t>
      </w:r>
    </w:p>
    <w:p>
      <w:pPr>
        <w:jc w:val="both"/>
        <w:spacing w:after="80" w:line="360" w:lineRule="auto"/>
        <w:ind w:left="720" w:hanging="360"/>
      </w:pPr>
      <w:r>
        <w:rPr>
          <w:rFonts w:ascii="UT Sans" w:hAnsi="UT Sans" w:cs="UT Sans"/>
          <w:b w:val="0"/>
          <w:i w:val="0"/>
          <w:sz w:val="22"/>
        </w:rPr>
        <w:t>• Integrarea motorului OSRM (Open Source Routing Machine) pentru optimizarea rutelor de transport, utilizând algoritmi Contraction Hierarchies cu preprocesare a grafului rutier și solver TSP pentru tururi multi-stop</w:t>
      </w:r>
    </w:p>
    <w:p>
      <w:pPr>
        <w:jc w:val="both"/>
        <w:spacing w:after="80" w:line="360" w:lineRule="auto"/>
        <w:ind w:left="720" w:hanging="360"/>
      </w:pPr>
      <w:r>
        <w:rPr>
          <w:rFonts w:ascii="UT Sans" w:hAnsi="UT Sans" w:cs="UT Sans"/>
          <w:b w:val="0"/>
          <w:i w:val="0"/>
          <w:sz w:val="22"/>
        </w:rPr>
        <w:t>• Dezvoltarea unui sistem de rezolvare alternativă a disputelor (ADR) conform Legii 81/2022 privind practicile comerciale neloiale, cu conciliere obligatorie, chat în platformă și mecanisme de escalare</w:t>
      </w:r>
    </w:p>
    <w:p>
      <w:pPr>
        <w:jc w:val="both"/>
        <w:spacing w:after="80" w:line="360" w:lineRule="auto"/>
        <w:ind w:left="720" w:hanging="360"/>
      </w:pPr>
      <w:r>
        <w:rPr>
          <w:rFonts w:ascii="UT Sans" w:hAnsi="UT Sans" w:cs="UT Sans"/>
          <w:b w:val="0"/>
          <w:i w:val="0"/>
          <w:sz w:val="22"/>
        </w:rPr>
        <w:t>• Implementarea unui sistem de reputație ponderat (Weighted Liquid Rank) rezistent la atacuri de manipulare (shilling/smearing), cu degradare temporală și ponderare bazată pe valoarea tranzacției</w:t>
      </w:r>
    </w:p>
    <w:p>
      <w:pPr>
        <w:jc w:val="both"/>
        <w:spacing w:after="80" w:line="360" w:lineRule="auto"/>
        <w:ind w:left="720" w:hanging="360"/>
      </w:pPr>
      <w:r>
        <w:rPr>
          <w:rFonts w:ascii="UT Sans" w:hAnsi="UT Sans" w:cs="UT Sans"/>
          <w:b w:val="0"/>
          <w:i w:val="0"/>
          <w:sz w:val="22"/>
        </w:rPr>
        <w:t>• Containerizarea completă cu Docker și Docker Compose pentru deployment pe infrastructură Ubuntu, cu Nginx ca reverse proxy și configurare SPA routing</w:t>
      </w:r>
    </w:p>
    <w:p>
      <w:pPr>
        <w:pStyle w:val="Heading2"/>
        <w:keepNext/>
        <w:keepLines/>
        <w:spacing w:before="360" w:after="0" w:line="360" w:lineRule="auto"/>
        <w:jc w:val="both"/>
      </w:pPr>
      <w:r>
        <w:rPr>
          <w:rFonts w:ascii="UT Sans" w:hAnsi="UT Sans" w:cs="UT Sans"/>
          <w:b/>
          <w:i w:val="0"/>
          <w:sz w:val="28"/>
        </w:rPr>
        <w:t>1.6 Structura lucrării</w:t>
      </w:r>
    </w:p>
    <w:p>
      <w:pPr>
        <w:spacing w:line="360" w:lineRule="auto"/>
        <w:jc w:val="both"/>
      </w:pPr>
      <w:r>
        <w:rPr>
          <w:rFonts w:ascii="UT Sans" w:hAnsi="UT Sans" w:cs="UT Sans"/>
          <w:b w:val="0"/>
          <w:i w:val="0"/>
          <w:sz w:val="24"/>
        </w:rPr>
        <w:t>Prezenta lucrare este organizată în cinci capitole principale, structurate progresiv de la fundamentele teoretice la implementarea practică și evaluarea rezultatelor:</w:t>
      </w:r>
    </w:p>
    <w:p>
      <w:pPr>
        <w:spacing w:line="360" w:lineRule="auto"/>
        <w:jc w:val="both"/>
      </w:pPr>
      <w:r>
        <w:rPr>
          <w:rFonts w:ascii="UT Sans" w:hAnsi="UT Sans" w:cs="UT Sans"/>
          <w:b/>
          <w:i w:val="0"/>
          <w:sz w:val="24"/>
        </w:rPr>
        <w:t>Capitolul 1 — Introducere și Stadiul Actual al Pieței</w:t>
      </w:r>
      <w:r>
        <w:rPr>
          <w:rFonts w:ascii="UT Sans" w:hAnsi="UT Sans" w:cs="UT Sans"/>
          <w:b w:val="0"/>
          <w:i w:val="0"/>
          <w:sz w:val="24"/>
        </w:rPr>
        <w:t xml:space="preserve"> prezintă argumentarea necesității proiectului, contextul piețelor de mărfuri agricole, mecanismele de descoperire a prețului pe bursele MATIF, standardele de calitate EN 15587 și obiectivele tehnice și funcționale ale platformei.</w:t>
      </w:r>
    </w:p>
    <w:p>
      <w:pPr>
        <w:spacing w:line="360" w:lineRule="auto"/>
        <w:jc w:val="both"/>
      </w:pPr>
      <w:r>
        <w:rPr>
          <w:rFonts w:ascii="UT Sans" w:hAnsi="UT Sans" w:cs="UT Sans"/>
          <w:b/>
          <w:i w:val="0"/>
          <w:sz w:val="24"/>
        </w:rPr>
        <w:t>Capitolul 2 — Arhitectura Sistemului și Tehnologii</w:t>
      </w:r>
      <w:r>
        <w:rPr>
          <w:rFonts w:ascii="UT Sans" w:hAnsi="UT Sans" w:cs="UT Sans"/>
          <w:b w:val="0"/>
          <w:i w:val="0"/>
          <w:sz w:val="24"/>
        </w:rPr>
        <w:t xml:space="preserve"> detaliază fundamentele Domain-Driven Design (Bounded Contexts, Modular Monolith), stiva tehnologică NestJS/React 19/PostgreSQL, paradigmele de state management (Context API vs. Zustand) și principiile de design UI (Dark Mode, Glassmorphism).</w:t>
      </w:r>
    </w:p>
    <w:p>
      <w:pPr>
        <w:spacing w:line="360" w:lineRule="auto"/>
        <w:jc w:val="both"/>
      </w:pPr>
      <w:r>
        <w:rPr>
          <w:rFonts w:ascii="UT Sans" w:hAnsi="UT Sans" w:cs="UT Sans"/>
          <w:b/>
          <w:i w:val="0"/>
          <w:sz w:val="24"/>
        </w:rPr>
        <w:t>Capitolul 3 — Cadrul Legislativ, Fiscal și Calitativ</w:t>
      </w:r>
      <w:r>
        <w:rPr>
          <w:rFonts w:ascii="UT Sans" w:hAnsi="UT Sans" w:cs="UT Sans"/>
          <w:b w:val="0"/>
          <w:i w:val="0"/>
          <w:sz w:val="24"/>
        </w:rPr>
        <w:t xml:space="preserve"> analizează cadrul de reglementare: taxarea inversă Art. 331 Cod Fiscal, directiva DAC7 (F7000), sistemul RO e-Transport și codurile UIT, directiva PSD2 și conturile de segregare, Legea 81/2022 (practici comerciale neloiale), GDPR, trasabilitatea Farm-to-Fork și delimitarea juridică CAEN 4611 vs. Legea 357/2005.</w:t>
      </w:r>
    </w:p>
    <w:p>
      <w:pPr>
        <w:spacing w:line="360" w:lineRule="auto"/>
        <w:jc w:val="both"/>
      </w:pPr>
      <w:r>
        <w:rPr>
          <w:rFonts w:ascii="UT Sans" w:hAnsi="UT Sans" w:cs="UT Sans"/>
          <w:b/>
          <w:i w:val="0"/>
          <w:sz w:val="24"/>
        </w:rPr>
        <w:t>Capitolul 4 — Implementarea Proiectului</w:t>
      </w:r>
      <w:r>
        <w:rPr>
          <w:rFonts w:ascii="UT Sans" w:hAnsi="UT Sans" w:cs="UT Sans"/>
          <w:b w:val="0"/>
          <w:i w:val="0"/>
          <w:sz w:val="24"/>
        </w:rPr>
        <w:t xml:space="preserve"> descrie în detaliu modulele backend (IAM, Trading, Financial, Transport, Disputes) și frontend (11 pagini React), algoritmii de rutare OSRM cu Contraction Hierarchies, sistemul de reputație Weighted Liquid Rank, securitatea JWT/Argon2id și deployment-ul Docker Compose.</w:t>
      </w:r>
    </w:p>
    <w:p>
      <w:pPr>
        <w:spacing w:line="360" w:lineRule="auto"/>
        <w:jc w:val="both"/>
      </w:pPr>
      <w:r>
        <w:rPr>
          <w:rFonts w:ascii="UT Sans" w:hAnsi="UT Sans" w:cs="UT Sans"/>
          <w:b/>
          <w:i w:val="0"/>
          <w:sz w:val="24"/>
        </w:rPr>
        <w:t>Capitolul 5 — Concluzii și Direcții Viitoare</w:t>
      </w:r>
      <w:r>
        <w:rPr>
          <w:rFonts w:ascii="UT Sans" w:hAnsi="UT Sans" w:cs="UT Sans"/>
          <w:b w:val="0"/>
          <w:i w:val="0"/>
          <w:sz w:val="24"/>
        </w:rPr>
        <w:t xml:space="preserve"> sintetizează rezultatele obținute, evaluează gradul de îndeplinire a obiectivelor și propune direcții viitoare: IoT/Blockchain pentru trasabilitate, AI pentru predicția prețurilor, eIDAS 2.0 și EUDI Wallet.</w:t>
      </w:r>
    </w:p>
    <w:p>
      <w:r>
        <w:br w:type="page"/>
      </w:r>
    </w:p>
    <w:p>
      <w:pPr>
        <w:pStyle w:val="Heading1"/>
        <w:keepNext/>
        <w:keepLines/>
        <w:spacing w:before="360" w:after="160" w:line="360" w:lineRule="auto"/>
        <w:jc w:val="both"/>
      </w:pPr>
      <w:r>
        <w:rPr>
          <w:rFonts w:ascii="UT Sans" w:hAnsi="UT Sans" w:cs="UT Sans"/>
          <w:b/>
          <w:i w:val="0"/>
          <w:sz w:val="36"/>
        </w:rPr>
        <w:t>2. ARHITECTURA SISTEMULUI ȘI TEHNOLOGII</w:t>
      </w:r>
    </w:p>
    <w:p>
      <w:pPr>
        <w:spacing w:line="360" w:lineRule="auto"/>
        <w:jc w:val="both"/>
      </w:pPr>
      <w:r>
        <w:rPr>
          <w:rFonts w:ascii="UT Sans" w:hAnsi="UT Sans" w:cs="UT Sans"/>
          <w:b w:val="0"/>
          <w:i w:val="0"/>
          <w:sz w:val="24"/>
        </w:rPr>
        <w:t>Construirea unui sistem B2B scalabil și rezilient pentru tranzacții agricole necesită o abordare arhitecturală care să poată gestiona complexitatea domeniului fără a introduce datorie tehnică excesivă. Alegerea tehnologiilor NestJS pentru backend și React pentru frontend, alături de o strategie de stocare hibridă în PostgreSQL, oferă echilibrul necesar între performanță, flexibilitate și mentenabilitate pe termen lung [6].</w:t>
      </w:r>
    </w:p>
    <w:p>
      <w:pPr>
        <w:pStyle w:val="Heading2"/>
        <w:keepNext/>
        <w:keepLines/>
        <w:spacing w:before="360" w:after="0" w:line="360" w:lineRule="auto"/>
        <w:jc w:val="both"/>
      </w:pPr>
      <w:r>
        <w:rPr>
          <w:rFonts w:ascii="UT Sans" w:hAnsi="UT Sans" w:cs="UT Sans"/>
          <w:b/>
          <w:i w:val="0"/>
          <w:sz w:val="28"/>
        </w:rPr>
        <w:t>2.1 Strategic Design: Domain-Driven Design (DDD)</w:t>
      </w:r>
    </w:p>
    <w:p>
      <w:pPr>
        <w:pStyle w:val="Heading3"/>
        <w:keepNext/>
        <w:keepLines/>
        <w:spacing w:before="200" w:after="0" w:line="360" w:lineRule="auto"/>
        <w:jc w:val="both"/>
      </w:pPr>
      <w:r>
        <w:rPr>
          <w:rFonts w:ascii="UT Sans" w:hAnsi="UT Sans" w:cs="UT Sans"/>
          <w:b/>
          <w:i w:val="0"/>
          <w:sz w:val="22"/>
        </w:rPr>
        <w:t>2.1.1 Bounded Contexts și Ubiquitous Language</w:t>
      </w:r>
    </w:p>
    <w:p>
      <w:pPr>
        <w:spacing w:line="360" w:lineRule="auto"/>
        <w:jc w:val="both"/>
      </w:pPr>
      <w:r>
        <w:rPr>
          <w:rFonts w:ascii="UT Sans" w:hAnsi="UT Sans" w:cs="UT Sans"/>
          <w:b w:val="0"/>
          <w:i w:val="0"/>
          <w:sz w:val="24"/>
        </w:rPr>
        <w:t>La baza DDD se află conceptul de Bounded Context, care definește granița conceptuală în interiorul căreia un model de domeniu specific se aplică. În interiorul acestor granițe, modelele, regulile și termenii rămân consecvenți și semnificativi [6]. Pentru AgriConnect, faza de design strategic identifică mai multe subdomenii distincte, fiecare izolat în propriul Bounded Context pentru a preveni confuzia "polisemică" unde același termen ar putea avea sensuri diferite în contexte diferite [6].</w:t>
      </w:r>
    </w:p>
    <w:p>
      <w:pPr>
        <w:spacing w:line="360" w:lineRule="auto"/>
        <w:jc w:val="both"/>
      </w:pPr>
      <w:r>
        <w:rPr>
          <w:rFonts w:ascii="UT Sans" w:hAnsi="UT Sans" w:cs="UT Sans"/>
          <w:b w:val="0"/>
          <w:i w:val="0"/>
          <w:sz w:val="24"/>
        </w:rPr>
        <w:t>Un exemplu concret al acestei ambiguități apare cu termenul "Contract". În contextul Trading, un contract descrie un acord comercial forward cu specificații de calitate și termene de livrare. În contextul Financial, același termen ar putea fi interpretat ca un instrument financiar cu obligații de plată și scadențe. Fără Bounded Contexts, aceste semnificații s-ar amesteca inevitabil în cod, ducând la bug-uri subtile și la o bază de cod greu de întreținut [6].</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UT Sans" w:hAnsi="UT Sans" w:cs="UT Sans"/>
                <w:b/>
                <w:i w:val="0"/>
                <w:sz w:val="22"/>
              </w:rPr>
              <w:t>Bounded Context</w:t>
            </w:r>
          </w:p>
        </w:tc>
        <w:tc>
          <w:tcPr>
            <w:tcW w:type="dxa" w:w="3213"/>
          </w:tcPr>
          <w:p>
            <w:r>
              <w:rPr>
                <w:rFonts w:ascii="UT Sans" w:hAnsi="UT Sans" w:cs="UT Sans"/>
                <w:b/>
                <w:i w:val="0"/>
                <w:sz w:val="22"/>
              </w:rPr>
              <w:t>Responsabilitate Primară</w:t>
            </w:r>
          </w:p>
        </w:tc>
        <w:tc>
          <w:tcPr>
            <w:tcW w:type="dxa" w:w="3213"/>
          </w:tcPr>
          <w:p>
            <w:r>
              <w:rPr>
                <w:rFonts w:ascii="UT Sans" w:hAnsi="UT Sans" w:cs="UT Sans"/>
                <w:b/>
                <w:i w:val="0"/>
                <w:sz w:val="22"/>
              </w:rPr>
              <w:t>Entități și Agregate Cheie</w:t>
            </w:r>
          </w:p>
        </w:tc>
      </w:tr>
      <w:tr>
        <w:tc>
          <w:tcPr>
            <w:tcW w:type="dxa" w:w="3213"/>
          </w:tcPr>
          <w:p>
            <w:r>
              <w:rPr>
                <w:rFonts w:ascii="UT Sans" w:hAnsi="UT Sans" w:cs="UT Sans"/>
                <w:b w:val="0"/>
                <w:i w:val="0"/>
                <w:sz w:val="22"/>
              </w:rPr>
              <w:t>Identity and Access Management (IAM)</w:t>
            </w:r>
          </w:p>
        </w:tc>
        <w:tc>
          <w:tcPr>
            <w:tcW w:type="dxa" w:w="3213"/>
          </w:tcPr>
          <w:p>
            <w:r>
              <w:rPr>
                <w:rFonts w:ascii="UT Sans" w:hAnsi="UT Sans" w:cs="UT Sans"/>
                <w:b w:val="0"/>
                <w:i w:val="0"/>
                <w:sz w:val="22"/>
              </w:rPr>
              <w:t>Verificare corporativă, KYB, RBAC</w:t>
            </w:r>
          </w:p>
        </w:tc>
        <w:tc>
          <w:tcPr>
            <w:tcW w:type="dxa" w:w="3213"/>
          </w:tcPr>
          <w:p>
            <w:r>
              <w:rPr>
                <w:rFonts w:ascii="UT Sans" w:hAnsi="UT Sans" w:cs="UT Sans"/>
                <w:b w:val="0"/>
                <w:i w:val="0"/>
                <w:sz w:val="22"/>
              </w:rPr>
              <w:t>User, Corporate Entity, Verification Report [6]</w:t>
            </w:r>
          </w:p>
        </w:tc>
      </w:tr>
      <w:tr>
        <w:tc>
          <w:tcPr>
            <w:tcW w:type="dxa" w:w="3213"/>
          </w:tcPr>
          <w:p>
            <w:r>
              <w:rPr>
                <w:rFonts w:ascii="UT Sans" w:hAnsi="UT Sans" w:cs="UT Sans"/>
                <w:b w:val="0"/>
                <w:i w:val="0"/>
                <w:sz w:val="22"/>
              </w:rPr>
              <w:t>Trading Context</w:t>
            </w:r>
          </w:p>
        </w:tc>
        <w:tc>
          <w:tcPr>
            <w:tcW w:type="dxa" w:w="3213"/>
          </w:tcPr>
          <w:p>
            <w:r>
              <w:rPr>
                <w:rFonts w:ascii="UT Sans" w:hAnsi="UT Sans" w:cs="UT Sans"/>
                <w:b w:val="0"/>
                <w:i w:val="0"/>
                <w:sz w:val="22"/>
              </w:rPr>
              <w:t>Listări spot/forward, negociere prețuri, contractare</w:t>
            </w:r>
          </w:p>
        </w:tc>
        <w:tc>
          <w:tcPr>
            <w:tcW w:type="dxa" w:w="3213"/>
          </w:tcPr>
          <w:p>
            <w:r>
              <w:rPr>
                <w:rFonts w:ascii="UT Sans" w:hAnsi="UT Sans" w:cs="UT Sans"/>
                <w:b w:val="0"/>
                <w:i w:val="0"/>
                <w:sz w:val="22"/>
              </w:rPr>
              <w:t>Listing, Bid, Contract, Commodity Attribute [6]</w:t>
            </w:r>
          </w:p>
        </w:tc>
      </w:tr>
      <w:tr>
        <w:tc>
          <w:tcPr>
            <w:tcW w:type="dxa" w:w="3213"/>
          </w:tcPr>
          <w:p>
            <w:r>
              <w:rPr>
                <w:rFonts w:ascii="UT Sans" w:hAnsi="UT Sans" w:cs="UT Sans"/>
                <w:b w:val="0"/>
                <w:i w:val="0"/>
                <w:sz w:val="22"/>
              </w:rPr>
              <w:t>Financial Context</w:t>
            </w:r>
          </w:p>
        </w:tc>
        <w:tc>
          <w:tcPr>
            <w:tcW w:type="dxa" w:w="3213"/>
          </w:tcPr>
          <w:p>
            <w:r>
              <w:rPr>
                <w:rFonts w:ascii="UT Sans" w:hAnsi="UT Sans" w:cs="UT Sans"/>
                <w:b w:val="0"/>
                <w:i w:val="0"/>
                <w:sz w:val="22"/>
              </w:rPr>
              <w:t>Escrow, split payments, comisioane, conformitate fiscală</w:t>
            </w:r>
          </w:p>
        </w:tc>
        <w:tc>
          <w:tcPr>
            <w:tcW w:type="dxa" w:w="3213"/>
          </w:tcPr>
          <w:p>
            <w:r>
              <w:rPr>
                <w:rFonts w:ascii="UT Sans" w:hAnsi="UT Sans" w:cs="UT Sans"/>
                <w:b w:val="0"/>
                <w:i w:val="0"/>
                <w:sz w:val="22"/>
              </w:rPr>
              <w:t>Escrow Account, Transaction, Payment Split [6]</w:t>
            </w:r>
          </w:p>
        </w:tc>
      </w:tr>
      <w:tr>
        <w:tc>
          <w:tcPr>
            <w:tcW w:type="dxa" w:w="3213"/>
          </w:tcPr>
          <w:p>
            <w:r>
              <w:rPr>
                <w:rFonts w:ascii="UT Sans" w:hAnsi="UT Sans" w:cs="UT Sans"/>
                <w:b w:val="0"/>
                <w:i w:val="0"/>
                <w:sz w:val="22"/>
              </w:rPr>
              <w:t>Logistics and Routing</w:t>
            </w:r>
          </w:p>
        </w:tc>
        <w:tc>
          <w:tcPr>
            <w:tcW w:type="dxa" w:w="3213"/>
          </w:tcPr>
          <w:p>
            <w:r>
              <w:rPr>
                <w:rFonts w:ascii="UT Sans" w:hAnsi="UT Sans" w:cs="UT Sans"/>
                <w:b w:val="0"/>
                <w:i w:val="0"/>
                <w:sz w:val="22"/>
              </w:rPr>
              <w:t>Freight matching, optimizare rute, orchestrare UIT</w:t>
            </w:r>
          </w:p>
        </w:tc>
        <w:tc>
          <w:tcPr>
            <w:tcW w:type="dxa" w:w="3213"/>
          </w:tcPr>
          <w:p>
            <w:r>
              <w:rPr>
                <w:rFonts w:ascii="UT Sans" w:hAnsi="UT Sans" w:cs="UT Sans"/>
                <w:b w:val="0"/>
                <w:i w:val="0"/>
                <w:sz w:val="22"/>
              </w:rPr>
              <w:t>Transport Load, Route, Vehicle Profile, UIT Code [6]</w:t>
            </w:r>
          </w:p>
        </w:tc>
      </w:tr>
      <w:tr>
        <w:tc>
          <w:tcPr>
            <w:tcW w:type="dxa" w:w="3213"/>
          </w:tcPr>
          <w:p>
            <w:r>
              <w:rPr>
                <w:rFonts w:ascii="UT Sans" w:hAnsi="UT Sans" w:cs="UT Sans"/>
                <w:b w:val="0"/>
                <w:i w:val="0"/>
                <w:sz w:val="22"/>
              </w:rPr>
              <w:t>Dispute Resolution</w:t>
            </w:r>
          </w:p>
        </w:tc>
        <w:tc>
          <w:tcPr>
            <w:tcW w:type="dxa" w:w="3213"/>
          </w:tcPr>
          <w:p>
            <w:r>
              <w:rPr>
                <w:rFonts w:ascii="UT Sans" w:hAnsi="UT Sans" w:cs="UT Sans"/>
                <w:b w:val="0"/>
                <w:i w:val="0"/>
                <w:sz w:val="22"/>
              </w:rPr>
              <w:t>Dispute calitate, neconformitate contractuală</w:t>
            </w:r>
          </w:p>
        </w:tc>
        <w:tc>
          <w:tcPr>
            <w:tcW w:type="dxa" w:w="3213"/>
          </w:tcPr>
          <w:p>
            <w:r>
              <w:rPr>
                <w:rFonts w:ascii="UT Sans" w:hAnsi="UT Sans" w:cs="UT Sans"/>
                <w:b w:val="0"/>
                <w:i w:val="0"/>
                <w:sz w:val="22"/>
              </w:rPr>
              <w:t>Dispute Case, Evidence, Resolution Path [6]</w:t>
            </w:r>
          </w:p>
        </w:tc>
      </w:tr>
    </w:tbl>
    <w:p>
      <w:pPr>
        <w:spacing w:line="360" w:lineRule="auto" w:after="80"/>
        <w:jc w:val="both"/>
      </w:pPr>
      <w:r>
        <w:rPr>
          <w:rFonts w:ascii="UT Sans" w:hAnsi="UT Sans" w:cs="UT Sans"/>
          <w:b w:val="0"/>
          <w:i w:val="0"/>
          <w:sz w:val="24"/>
        </w:rPr>
      </w:r>
    </w:p>
    <w:p>
      <w:pPr>
        <w:spacing w:line="360" w:lineRule="auto"/>
        <w:jc w:val="both"/>
      </w:pPr>
      <w:r>
        <w:rPr>
          <w:rFonts w:ascii="UT Sans" w:hAnsi="UT Sans" w:cs="UT Sans"/>
          <w:b w:val="0"/>
          <w:i w:val="0"/>
          <w:sz w:val="24"/>
        </w:rPr>
        <w:t>Implementarea unui "Ubiquitous Language" este centrală în acest design. Dezvoltatorii și experții de domeniu — precum graderii de cereale și managerii de logistică — colaborează pentru a defini un vocabular partajat [6]. În domeniul tranzacționării de cereale, termeni precum "Proteină", "Greutate Hectolitrică" și "Material Străin" au semnificații precise guvernate de standardele internaționale [3]. Prin încorporarea acestor termeni direct în cod ca parte a modelului de domeniu, AgriConnect asigură că implementarea tehnică reflectă cu fidelitate realitatea comercială a pieței de cereale [6].</w:t>
      </w:r>
    </w:p>
    <w:p>
      <w:pPr>
        <w:spacing w:line="360" w:lineRule="auto"/>
        <w:jc w:val="both"/>
      </w:pPr>
      <w:r>
        <w:rPr>
          <w:rFonts w:ascii="UT Sans" w:hAnsi="UT Sans" w:cs="UT Sans"/>
          <w:b w:val="0"/>
          <w:i w:val="0"/>
          <w:sz w:val="24"/>
        </w:rPr>
        <w:t>Arhitecții utilizează tehnici de cartografiere strategică, precum EventStorming și Domain Storytelling, pentru a identifica punctele naturale de clivaj în domeniul de business [6]. Aceste granițe se aliniază adesea cu capabilitățile de business mai degrabă decât cu straturile tehnice. O greșeală frecventă în designul monolitului modular este persistența "tăierii orizontale" — separarea codului în straturi de prezentare, logică de business și date care traversează întreaga aplicație — ceea ce previne efectiv modularitatea reală [6]. În schimb, "tăierea verticală", unde fiecare modul conține propriile straturi interne (Hexagonal sau Clean Architecture), asigură că modulul rămâne cu adevărat independent și potențial extractibil într-un microserviciu în viitor [6].</w:t>
      </w:r>
    </w:p>
    <w:p>
      <w:pPr>
        <w:pStyle w:val="Heading3"/>
        <w:keepNext/>
        <w:keepLines/>
        <w:spacing w:before="200" w:after="0" w:line="360" w:lineRule="auto"/>
        <w:jc w:val="both"/>
      </w:pPr>
      <w:r>
        <w:rPr>
          <w:rFonts w:ascii="UT Sans" w:hAnsi="UT Sans" w:cs="UT Sans"/>
          <w:b/>
          <w:i w:val="0"/>
          <w:sz w:val="22"/>
        </w:rPr>
        <w:t>2.1.2 Modular Monolith vs. Microservicii</w:t>
      </w:r>
    </w:p>
    <w:p>
      <w:pPr>
        <w:spacing w:line="360" w:lineRule="auto"/>
        <w:jc w:val="both"/>
      </w:pPr>
      <w:r>
        <w:rPr>
          <w:rFonts w:ascii="UT Sans" w:hAnsi="UT Sans" w:cs="UT Sans"/>
          <w:b w:val="0"/>
          <w:i w:val="0"/>
          <w:sz w:val="24"/>
        </w:rPr>
        <w:t>După un deceniu de migrare prematură către microservicii, industria a ajuns la un consens care favorizează monolitul modular ca echilibrul optim între viteza de dezvoltare și sustenabilitatea operațională [6]. Spre deosebire de monolitele tradiționale "Big Ball of Mud", unde o modificare într-un singur tabel de bază de date poate avea consecințe neprevăzute în întregul sistem, un monolit modular se bazează pe conceptul DDD al Bounded Context pentru a izola complexitatea [6].</w:t>
      </w:r>
    </w:p>
    <w:p>
      <w:pPr>
        <w:spacing w:line="360" w:lineRule="auto"/>
        <w:jc w:val="both"/>
      </w:pPr>
      <w:r>
        <w:rPr>
          <w:rFonts w:ascii="UT Sans" w:hAnsi="UT Sans" w:cs="UT Sans"/>
          <w:b w:val="0"/>
          <w:i w:val="0"/>
          <w:sz w:val="24"/>
        </w:rPr>
        <w:t>Principalul avantaj al monolitului modular este că oferă beneficiile izolării modulare fără complexitatea operațională a microserviciilor: nu există overhead de comunicare prin rețea, nu necesită orchestrare de containere (Kubernetes), nu implică probleme de consistență distribuită (Saga Pattern), iar debugging-ul rămâne simplu deoarece toate modulele rulează în același proces [6]. Martin Fowler descrie această abordare ca "Monolith First" — începe simplu, apoi extrage microservicii doar când beneficiile de scalabilitate justifică costul operațional [6].</w:t>
      </w:r>
    </w:p>
    <w:tbl>
      <w:tblPr>
        <w:tblStyle w:val="TableGrid"/>
        <w:tblW w:type="auto" w:w="0"/>
        <w:tblLook w:firstColumn="1" w:firstRow="1" w:lastColumn="0" w:lastRow="0" w:noHBand="0" w:noVBand="1" w:val="04A0"/>
      </w:tblPr>
      <w:tblGrid>
        <w:gridCol w:w="2410"/>
        <w:gridCol w:w="2410"/>
        <w:gridCol w:w="2410"/>
        <w:gridCol w:w="2410"/>
      </w:tblGrid>
      <w:tr>
        <w:tc>
          <w:tcPr>
            <w:tcW w:type="dxa" w:w="2410"/>
          </w:tcPr>
          <w:p>
            <w:r>
              <w:rPr>
                <w:rFonts w:ascii="UT Sans" w:hAnsi="UT Sans" w:cs="UT Sans"/>
                <w:b/>
                <w:i w:val="0"/>
                <w:sz w:val="22"/>
              </w:rPr>
              <w:t>Caracteristică</w:t>
            </w:r>
          </w:p>
        </w:tc>
        <w:tc>
          <w:tcPr>
            <w:tcW w:type="dxa" w:w="2410"/>
          </w:tcPr>
          <w:p>
            <w:r>
              <w:rPr>
                <w:rFonts w:ascii="UT Sans" w:hAnsi="UT Sans" w:cs="UT Sans"/>
                <w:b/>
                <w:i w:val="0"/>
                <w:sz w:val="22"/>
              </w:rPr>
              <w:t>Monolit Tradițional</w:t>
            </w:r>
          </w:p>
        </w:tc>
        <w:tc>
          <w:tcPr>
            <w:tcW w:type="dxa" w:w="2410"/>
          </w:tcPr>
          <w:p>
            <w:r>
              <w:rPr>
                <w:rFonts w:ascii="UT Sans" w:hAnsi="UT Sans" w:cs="UT Sans"/>
                <w:b/>
                <w:i w:val="0"/>
                <w:sz w:val="22"/>
              </w:rPr>
              <w:t>Monolit Modular</w:t>
            </w:r>
          </w:p>
        </w:tc>
        <w:tc>
          <w:tcPr>
            <w:tcW w:type="dxa" w:w="2410"/>
          </w:tcPr>
          <w:p>
            <w:r>
              <w:rPr>
                <w:rFonts w:ascii="UT Sans" w:hAnsi="UT Sans" w:cs="UT Sans"/>
                <w:b/>
                <w:i w:val="0"/>
                <w:sz w:val="22"/>
              </w:rPr>
              <w:t>Microservicii</w:t>
            </w:r>
          </w:p>
        </w:tc>
      </w:tr>
      <w:tr>
        <w:tc>
          <w:tcPr>
            <w:tcW w:type="dxa" w:w="2410"/>
          </w:tcPr>
          <w:p>
            <w:r>
              <w:rPr>
                <w:rFonts w:ascii="UT Sans" w:hAnsi="UT Sans" w:cs="UT Sans"/>
                <w:b w:val="0"/>
                <w:i w:val="0"/>
                <w:sz w:val="22"/>
              </w:rPr>
              <w:t>Deployment</w:t>
            </w:r>
          </w:p>
        </w:tc>
        <w:tc>
          <w:tcPr>
            <w:tcW w:type="dxa" w:w="2410"/>
          </w:tcPr>
          <w:p>
            <w:r>
              <w:rPr>
                <w:rFonts w:ascii="UT Sans" w:hAnsi="UT Sans" w:cs="UT Sans"/>
                <w:b w:val="0"/>
                <w:i w:val="0"/>
                <w:sz w:val="22"/>
              </w:rPr>
              <w:t>Unitate Unică</w:t>
            </w:r>
          </w:p>
        </w:tc>
        <w:tc>
          <w:tcPr>
            <w:tcW w:type="dxa" w:w="2410"/>
          </w:tcPr>
          <w:p>
            <w:r>
              <w:rPr>
                <w:rFonts w:ascii="UT Sans" w:hAnsi="UT Sans" w:cs="UT Sans"/>
                <w:b w:val="0"/>
                <w:i w:val="0"/>
                <w:sz w:val="22"/>
              </w:rPr>
              <w:t>Unitate Unică</w:t>
            </w:r>
          </w:p>
        </w:tc>
        <w:tc>
          <w:tcPr>
            <w:tcW w:type="dxa" w:w="2410"/>
          </w:tcPr>
          <w:p>
            <w:r>
              <w:rPr>
                <w:rFonts w:ascii="UT Sans" w:hAnsi="UT Sans" w:cs="UT Sans"/>
                <w:b w:val="0"/>
                <w:i w:val="0"/>
                <w:sz w:val="22"/>
              </w:rPr>
              <w:t>Unități Multiple [6]</w:t>
            </w:r>
          </w:p>
        </w:tc>
      </w:tr>
      <w:tr>
        <w:tc>
          <w:tcPr>
            <w:tcW w:type="dxa" w:w="2410"/>
          </w:tcPr>
          <w:p>
            <w:r>
              <w:rPr>
                <w:rFonts w:ascii="UT Sans" w:hAnsi="UT Sans" w:cs="UT Sans"/>
                <w:b w:val="0"/>
                <w:i w:val="0"/>
                <w:sz w:val="22"/>
              </w:rPr>
              <w:t>Comunicare</w:t>
            </w:r>
          </w:p>
        </w:tc>
        <w:tc>
          <w:tcPr>
            <w:tcW w:type="dxa" w:w="2410"/>
          </w:tcPr>
          <w:p>
            <w:r>
              <w:rPr>
                <w:rFonts w:ascii="UT Sans" w:hAnsi="UT Sans" w:cs="UT Sans"/>
                <w:b w:val="0"/>
                <w:i w:val="0"/>
                <w:sz w:val="22"/>
              </w:rPr>
              <w:t>Apeluri funcții directe</w:t>
            </w:r>
          </w:p>
        </w:tc>
        <w:tc>
          <w:tcPr>
            <w:tcW w:type="dxa" w:w="2410"/>
          </w:tcPr>
          <w:p>
            <w:r>
              <w:rPr>
                <w:rFonts w:ascii="UT Sans" w:hAnsi="UT Sans" w:cs="UT Sans"/>
                <w:b w:val="0"/>
                <w:i w:val="0"/>
                <w:sz w:val="22"/>
              </w:rPr>
              <w:t>API/Evenimente in-memory</w:t>
            </w:r>
          </w:p>
        </w:tc>
        <w:tc>
          <w:tcPr>
            <w:tcW w:type="dxa" w:w="2410"/>
          </w:tcPr>
          <w:p>
            <w:r>
              <w:rPr>
                <w:rFonts w:ascii="UT Sans" w:hAnsi="UT Sans" w:cs="UT Sans"/>
                <w:b w:val="0"/>
                <w:i w:val="0"/>
                <w:sz w:val="22"/>
              </w:rPr>
              <w:t>Rețea (REST/gRPC/Msg) [6]</w:t>
            </w:r>
          </w:p>
        </w:tc>
      </w:tr>
      <w:tr>
        <w:tc>
          <w:tcPr>
            <w:tcW w:type="dxa" w:w="2410"/>
          </w:tcPr>
          <w:p>
            <w:r>
              <w:rPr>
                <w:rFonts w:ascii="UT Sans" w:hAnsi="UT Sans" w:cs="UT Sans"/>
                <w:b w:val="0"/>
                <w:i w:val="0"/>
                <w:sz w:val="22"/>
              </w:rPr>
              <w:t>Consistența Datelor</w:t>
            </w:r>
          </w:p>
        </w:tc>
        <w:tc>
          <w:tcPr>
            <w:tcW w:type="dxa" w:w="2410"/>
          </w:tcPr>
          <w:p>
            <w:r>
              <w:rPr>
                <w:rFonts w:ascii="UT Sans" w:hAnsi="UT Sans" w:cs="UT Sans"/>
                <w:b w:val="0"/>
                <w:i w:val="0"/>
                <w:sz w:val="22"/>
              </w:rPr>
              <w:t>Tranzacții ACID</w:t>
            </w:r>
          </w:p>
        </w:tc>
        <w:tc>
          <w:tcPr>
            <w:tcW w:type="dxa" w:w="2410"/>
          </w:tcPr>
          <w:p>
            <w:r>
              <w:rPr>
                <w:rFonts w:ascii="UT Sans" w:hAnsi="UT Sans" w:cs="UT Sans"/>
                <w:b w:val="0"/>
                <w:i w:val="0"/>
                <w:sz w:val="22"/>
              </w:rPr>
              <w:t>ACID/Eventual</w:t>
            </w:r>
          </w:p>
        </w:tc>
        <w:tc>
          <w:tcPr>
            <w:tcW w:type="dxa" w:w="2410"/>
          </w:tcPr>
          <w:p>
            <w:r>
              <w:rPr>
                <w:rFonts w:ascii="UT Sans" w:hAnsi="UT Sans" w:cs="UT Sans"/>
                <w:b w:val="0"/>
                <w:i w:val="0"/>
                <w:sz w:val="22"/>
              </w:rPr>
              <w:t>Eventual Consistency [6]</w:t>
            </w:r>
          </w:p>
        </w:tc>
      </w:tr>
      <w:tr>
        <w:tc>
          <w:tcPr>
            <w:tcW w:type="dxa" w:w="2410"/>
          </w:tcPr>
          <w:p>
            <w:r>
              <w:rPr>
                <w:rFonts w:ascii="UT Sans" w:hAnsi="UT Sans" w:cs="UT Sans"/>
                <w:b w:val="0"/>
                <w:i w:val="0"/>
                <w:sz w:val="22"/>
              </w:rPr>
              <w:t>Complexitate Operațională</w:t>
            </w:r>
          </w:p>
        </w:tc>
        <w:tc>
          <w:tcPr>
            <w:tcW w:type="dxa" w:w="2410"/>
          </w:tcPr>
          <w:p>
            <w:r>
              <w:rPr>
                <w:rFonts w:ascii="UT Sans" w:hAnsi="UT Sans" w:cs="UT Sans"/>
                <w:b w:val="0"/>
                <w:i w:val="0"/>
                <w:sz w:val="22"/>
              </w:rPr>
              <w:t>Scăzută</w:t>
            </w:r>
          </w:p>
        </w:tc>
        <w:tc>
          <w:tcPr>
            <w:tcW w:type="dxa" w:w="2410"/>
          </w:tcPr>
          <w:p>
            <w:r>
              <w:rPr>
                <w:rFonts w:ascii="UT Sans" w:hAnsi="UT Sans" w:cs="UT Sans"/>
                <w:b w:val="0"/>
                <w:i w:val="0"/>
                <w:sz w:val="22"/>
              </w:rPr>
              <w:t>Scăzută</w:t>
            </w:r>
          </w:p>
        </w:tc>
        <w:tc>
          <w:tcPr>
            <w:tcW w:type="dxa" w:w="2410"/>
          </w:tcPr>
          <w:p>
            <w:r>
              <w:rPr>
                <w:rFonts w:ascii="UT Sans" w:hAnsi="UT Sans" w:cs="UT Sans"/>
                <w:b w:val="0"/>
                <w:i w:val="0"/>
                <w:sz w:val="22"/>
              </w:rPr>
              <w:t>Ridicată (Infra) [6]</w:t>
            </w:r>
          </w:p>
        </w:tc>
      </w:tr>
      <w:tr>
        <w:tc>
          <w:tcPr>
            <w:tcW w:type="dxa" w:w="2410"/>
          </w:tcPr>
          <w:p>
            <w:r>
              <w:rPr>
                <w:rFonts w:ascii="UT Sans" w:hAnsi="UT Sans" w:cs="UT Sans"/>
                <w:b w:val="0"/>
                <w:i w:val="0"/>
                <w:sz w:val="22"/>
              </w:rPr>
              <w:t>Scalabilitate</w:t>
            </w:r>
          </w:p>
        </w:tc>
        <w:tc>
          <w:tcPr>
            <w:tcW w:type="dxa" w:w="2410"/>
          </w:tcPr>
          <w:p>
            <w:r>
              <w:rPr>
                <w:rFonts w:ascii="UT Sans" w:hAnsi="UT Sans" w:cs="UT Sans"/>
                <w:b w:val="0"/>
                <w:i w:val="0"/>
                <w:sz w:val="22"/>
              </w:rPr>
              <w:t>Verticală</w:t>
            </w:r>
          </w:p>
        </w:tc>
        <w:tc>
          <w:tcPr>
            <w:tcW w:type="dxa" w:w="2410"/>
          </w:tcPr>
          <w:p>
            <w:r>
              <w:rPr>
                <w:rFonts w:ascii="UT Sans" w:hAnsi="UT Sans" w:cs="UT Sans"/>
                <w:b w:val="0"/>
                <w:i w:val="0"/>
                <w:sz w:val="22"/>
              </w:rPr>
              <w:t>Verticală/Limitată</w:t>
            </w:r>
          </w:p>
        </w:tc>
        <w:tc>
          <w:tcPr>
            <w:tcW w:type="dxa" w:w="2410"/>
          </w:tcPr>
          <w:p>
            <w:r>
              <w:rPr>
                <w:rFonts w:ascii="UT Sans" w:hAnsi="UT Sans" w:cs="UT Sans"/>
                <w:b w:val="0"/>
                <w:i w:val="0"/>
                <w:sz w:val="22"/>
              </w:rPr>
              <w:t>Foarte Orizontală [6]</w:t>
            </w:r>
          </w:p>
        </w:tc>
      </w:tr>
      <w:tr>
        <w:tc>
          <w:tcPr>
            <w:tcW w:type="dxa" w:w="2410"/>
          </w:tcPr>
          <w:p>
            <w:r>
              <w:rPr>
                <w:rFonts w:ascii="UT Sans" w:hAnsi="UT Sans" w:cs="UT Sans"/>
                <w:b w:val="0"/>
                <w:i w:val="0"/>
                <w:sz w:val="22"/>
              </w:rPr>
              <w:t>Debugging</w:t>
            </w:r>
          </w:p>
        </w:tc>
        <w:tc>
          <w:tcPr>
            <w:tcW w:type="dxa" w:w="2410"/>
          </w:tcPr>
          <w:p>
            <w:r>
              <w:rPr>
                <w:rFonts w:ascii="UT Sans" w:hAnsi="UT Sans" w:cs="UT Sans"/>
                <w:b w:val="0"/>
                <w:i w:val="0"/>
                <w:sz w:val="22"/>
              </w:rPr>
              <w:t>Stack trace unic</w:t>
            </w:r>
          </w:p>
        </w:tc>
        <w:tc>
          <w:tcPr>
            <w:tcW w:type="dxa" w:w="2410"/>
          </w:tcPr>
          <w:p>
            <w:r>
              <w:rPr>
                <w:rFonts w:ascii="UT Sans" w:hAnsi="UT Sans" w:cs="UT Sans"/>
                <w:b w:val="0"/>
                <w:i w:val="0"/>
                <w:sz w:val="22"/>
              </w:rPr>
              <w:t>Stack trace unic</w:t>
            </w:r>
          </w:p>
        </w:tc>
        <w:tc>
          <w:tcPr>
            <w:tcW w:type="dxa" w:w="2410"/>
          </w:tcPr>
          <w:p>
            <w:r>
              <w:rPr>
                <w:rFonts w:ascii="UT Sans" w:hAnsi="UT Sans" w:cs="UT Sans"/>
                <w:b w:val="0"/>
                <w:i w:val="0"/>
                <w:sz w:val="22"/>
              </w:rPr>
              <w:t>Tracing distribuit necesar [6]</w:t>
            </w:r>
          </w:p>
        </w:tc>
      </w:tr>
      <w:tr>
        <w:tc>
          <w:tcPr>
            <w:tcW w:type="dxa" w:w="2410"/>
          </w:tcPr>
          <w:p>
            <w:r>
              <w:rPr>
                <w:rFonts w:ascii="UT Sans" w:hAnsi="UT Sans" w:cs="UT Sans"/>
                <w:b w:val="0"/>
                <w:i w:val="0"/>
                <w:sz w:val="22"/>
              </w:rPr>
              <w:t>Timp de Dezvoltare</w:t>
            </w:r>
          </w:p>
        </w:tc>
        <w:tc>
          <w:tcPr>
            <w:tcW w:type="dxa" w:w="2410"/>
          </w:tcPr>
          <w:p>
            <w:r>
              <w:rPr>
                <w:rFonts w:ascii="UT Sans" w:hAnsi="UT Sans" w:cs="UT Sans"/>
                <w:b w:val="0"/>
                <w:i w:val="0"/>
                <w:sz w:val="22"/>
              </w:rPr>
              <w:t>Rapid (spaghetti risk)</w:t>
            </w:r>
          </w:p>
        </w:tc>
        <w:tc>
          <w:tcPr>
            <w:tcW w:type="dxa" w:w="2410"/>
          </w:tcPr>
          <w:p>
            <w:r>
              <w:rPr>
                <w:rFonts w:ascii="UT Sans" w:hAnsi="UT Sans" w:cs="UT Sans"/>
                <w:b w:val="0"/>
                <w:i w:val="0"/>
                <w:sz w:val="22"/>
              </w:rPr>
              <w:t>Rapid (structurat)</w:t>
            </w:r>
          </w:p>
        </w:tc>
        <w:tc>
          <w:tcPr>
            <w:tcW w:type="dxa" w:w="2410"/>
          </w:tcPr>
          <w:p>
            <w:r>
              <w:rPr>
                <w:rFonts w:ascii="UT Sans" w:hAnsi="UT Sans" w:cs="UT Sans"/>
                <w:b w:val="0"/>
                <w:i w:val="0"/>
                <w:sz w:val="22"/>
              </w:rPr>
              <w:t>Lent (orchestrare) [6]</w:t>
            </w:r>
          </w:p>
        </w:tc>
      </w:tr>
    </w:tbl>
    <w:p>
      <w:pPr>
        <w:spacing w:line="360" w:lineRule="auto" w:after="80"/>
        <w:jc w:val="both"/>
      </w:pPr>
      <w:r>
        <w:rPr>
          <w:rFonts w:ascii="UT Sans" w:hAnsi="UT Sans" w:cs="UT Sans"/>
          <w:b w:val="0"/>
          <w:i w:val="0"/>
          <w:sz w:val="24"/>
        </w:rPr>
      </w:r>
    </w:p>
    <w:p>
      <w:pPr>
        <w:pStyle w:val="Heading3"/>
        <w:keepNext/>
        <w:keepLines/>
        <w:spacing w:before="200" w:after="0" w:line="360" w:lineRule="auto"/>
        <w:jc w:val="both"/>
      </w:pPr>
      <w:r>
        <w:rPr>
          <w:rFonts w:ascii="UT Sans" w:hAnsi="UT Sans" w:cs="UT Sans"/>
          <w:b/>
          <w:i w:val="0"/>
          <w:sz w:val="22"/>
        </w:rPr>
        <w:t>2.1.3 Outbox Pattern și Domain Events</w:t>
      </w:r>
    </w:p>
    <w:p>
      <w:pPr>
        <w:spacing w:line="360" w:lineRule="auto"/>
        <w:jc w:val="both"/>
      </w:pPr>
      <w:r>
        <w:rPr>
          <w:rFonts w:ascii="UT Sans" w:hAnsi="UT Sans" w:cs="UT Sans"/>
          <w:b w:val="0"/>
          <w:i w:val="0"/>
          <w:sz w:val="24"/>
        </w:rPr>
        <w:t>Menținerea consistenței datelor peste granițele modulelor într-un monolit este mai simplă decât în microservicii, deoarece dezvoltatorii pot utiliza tranzacții locale de bază de date [6]. Totuși, pe măsură ce sistemul crește și apare nevoia de consistență eventuală, distincția dintre Domain Events (interne unui modul) și Integration Events (contracte publice pentru alte module) devine vitală [6].</w:t>
      </w:r>
    </w:p>
    <w:p>
      <w:pPr>
        <w:spacing w:line="360" w:lineRule="auto"/>
        <w:jc w:val="both"/>
      </w:pPr>
      <w:r>
        <w:rPr>
          <w:rFonts w:ascii="UT Sans" w:hAnsi="UT Sans" w:cs="UT Sans"/>
          <w:b w:val="0"/>
          <w:i w:val="0"/>
          <w:sz w:val="24"/>
        </w:rPr>
        <w:t>Pentru a asigura că un Integration Event nu este niciodată pierdut — cum ar fi eșecul notificării modulului Financial după plasarea unei comenzi — se utilizează Outbox Pattern [6]. În acest pattern, evenimentul este salvat într-o tabelă specializată "outbox" în aceeași tranzacție ca actualizarea datelor de business. Un worker de fundal apoi interoghează această tabelă și publică evenimentele către un message broker (ex: BullMQ), asigurând semantici de livrare at-least-once chiar și în cazul crash-urilor de proces [6].</w:t>
      </w:r>
    </w:p>
    <w:p>
      <w:pPr>
        <w:spacing w:line="360" w:lineRule="auto"/>
        <w:jc w:val="both"/>
      </w:pPr>
      <w:r>
        <w:rPr>
          <w:rFonts w:ascii="UT Sans" w:hAnsi="UT Sans" w:cs="UT Sans"/>
          <w:b w:val="0"/>
          <w:i w:val="0"/>
          <w:sz w:val="24"/>
        </w:rPr>
        <w:t>Această separare între Domain Events și Integration Events permite refactorizarea internă a unui modul fără a afecta consumatorii externi. De exemplu, modulul Trading poate restructura complet modul în care procesează o comandă intern, atât timp cât Integration Event-ul "OrderConfirmed" continuă să fie publicat cu aceeași schemă. Acest principiu, cunoscut sub numele de "Contract Testing", este esențial pentru mentenabilitatea pe termen lung a sistemelor modulare [6].</w:t>
      </w:r>
    </w:p>
    <w:p>
      <w:pPr>
        <w:pStyle w:val="Heading2"/>
        <w:keepNext/>
        <w:keepLines/>
        <w:spacing w:before="360" w:after="0" w:line="360" w:lineRule="auto"/>
        <w:jc w:val="both"/>
      </w:pPr>
      <w:r>
        <w:rPr>
          <w:rFonts w:ascii="UT Sans" w:hAnsi="UT Sans" w:cs="UT Sans"/>
          <w:b/>
          <w:i w:val="0"/>
          <w:sz w:val="28"/>
        </w:rPr>
        <w:t>2.2 Backend: NestJS și TypeScript</w:t>
      </w:r>
    </w:p>
    <w:p>
      <w:pPr>
        <w:pStyle w:val="Heading3"/>
        <w:keepNext/>
        <w:keepLines/>
        <w:spacing w:before="200" w:after="0" w:line="360" w:lineRule="auto"/>
        <w:jc w:val="both"/>
      </w:pPr>
      <w:r>
        <w:rPr>
          <w:rFonts w:ascii="UT Sans" w:hAnsi="UT Sans" w:cs="UT Sans"/>
          <w:b/>
          <w:i w:val="0"/>
          <w:sz w:val="22"/>
        </w:rPr>
        <w:t>2.2.1 Dependency Injection și structura modulară</w:t>
      </w:r>
    </w:p>
    <w:p>
      <w:pPr>
        <w:spacing w:line="360" w:lineRule="auto"/>
        <w:jc w:val="both"/>
      </w:pPr>
      <w:r>
        <w:rPr>
          <w:rFonts w:ascii="UT Sans" w:hAnsi="UT Sans" w:cs="UT Sans"/>
          <w:b w:val="0"/>
          <w:i w:val="0"/>
          <w:sz w:val="24"/>
        </w:rPr>
        <w:t>NestJS a emergut ca framework-ul premier TypeScript pentru monolite modulare enterprise datorită structurii sale opinionate, care oglindește obiectivele de modularitate ale DDD [6]. Framework-ul oferă un sistem robust de Dependency Injection (DI) care automatizează ciclul de viață al serviciilor și repository-urilor, facilitând cuplarea slabă necesară sistemelor modulare [6].</w:t>
      </w:r>
    </w:p>
    <w:p>
      <w:pPr>
        <w:spacing w:line="360" w:lineRule="auto"/>
        <w:jc w:val="both"/>
      </w:pPr>
      <w:r>
        <w:rPr>
          <w:rFonts w:ascii="UT Sans" w:hAnsi="UT Sans" w:cs="UT Sans"/>
          <w:b w:val="0"/>
          <w:i w:val="0"/>
          <w:sz w:val="24"/>
        </w:rPr>
        <w:t>Codul sursă de mai jos ilustrează modul în care Bounded Context-ul pentru Trading este implementat ca un modul izolat în NestJS, importând doar dependențele necesare și expunând public doar serviciile care reprezintă API-ul său extern:</w:t>
      </w:r>
    </w:p>
    <w:p>
      <w:pPr>
        <w:spacing w:after="40"/>
      </w:pPr>
    </w:p>
    <w:p>
      <w:pPr>
        <w:spacing w:before="0" w:after="0" w:line="240" w:lineRule="auto"/>
        <w:ind w:left="400"/>
      </w:pPr>
      <w:r>
        <w:rPr>
          <w:rFonts w:ascii="Courier New" w:hAnsi="Courier New" w:cs="Courier New"/>
          <w:sz w:val="19"/>
        </w:rPr>
        <w:t>import { Module } from '@nestjs/common';</w:t>
      </w:r>
    </w:p>
    <w:p>
      <w:pPr>
        <w:spacing w:before="0" w:after="0" w:line="240" w:lineRule="auto"/>
        <w:ind w:left="400"/>
      </w:pPr>
      <w:r>
        <w:rPr>
          <w:rFonts w:ascii="Courier New" w:hAnsi="Courier New" w:cs="Courier New"/>
          <w:sz w:val="19"/>
        </w:rPr>
        <w:t>import { TypeOrmModule } from '@nestjs/typeorm';</w:t>
      </w:r>
    </w:p>
    <w:p>
      <w:pPr>
        <w:spacing w:before="0" w:after="0" w:line="240" w:lineRule="auto"/>
        <w:ind w:left="400"/>
      </w:pPr>
      <w:r>
        <w:rPr>
          <w:rFonts w:ascii="Courier New" w:hAnsi="Courier New" w:cs="Courier New"/>
          <w:sz w:val="19"/>
        </w:rPr>
        <w:t>import { TradingController } from './controllers/trading.controller';</w:t>
      </w:r>
    </w:p>
    <w:p>
      <w:pPr>
        <w:spacing w:before="0" w:after="0" w:line="240" w:lineRule="auto"/>
        <w:ind w:left="400"/>
      </w:pPr>
      <w:r>
        <w:rPr>
          <w:rFonts w:ascii="Courier New" w:hAnsi="Courier New" w:cs="Courier New"/>
          <w:sz w:val="19"/>
        </w:rPr>
        <w:t>import { ListingService } from './services/listing.service';</w:t>
      </w:r>
    </w:p>
    <w:p>
      <w:pPr>
        <w:spacing w:before="0" w:after="0" w:line="240" w:lineRule="auto"/>
        <w:ind w:left="400"/>
      </w:pPr>
      <w:r>
        <w:rPr>
          <w:rFonts w:ascii="Courier New" w:hAnsi="Courier New" w:cs="Courier New"/>
          <w:sz w:val="19"/>
        </w:rPr>
        <w:t>import { ContractService } from './services/contract.service';</w:t>
      </w:r>
    </w:p>
    <w:p>
      <w:pPr>
        <w:spacing w:before="0" w:after="0" w:line="240" w:lineRule="auto"/>
        <w:ind w:left="400"/>
      </w:pPr>
      <w:r>
        <w:rPr>
          <w:rFonts w:ascii="Courier New" w:hAnsi="Courier New" w:cs="Courier New"/>
          <w:sz w:val="19"/>
        </w:rPr>
        <w:t>import { ListingEntity } from './entities/listing.entity';</w:t>
      </w:r>
    </w:p>
    <w:p>
      <w:pPr>
        <w:spacing w:before="0" w:after="0" w:line="240" w:lineRule="auto"/>
        <w:ind w:left="400"/>
      </w:pPr>
      <w:r>
        <w:rPr>
          <w:rFonts w:ascii="Courier New" w:hAnsi="Courier New" w:cs="Courier New"/>
          <w:sz w:val="19"/>
        </w:rPr>
        <w:t>import { ForwardContractEntity } from './entities/contract.entity';</w:t>
      </w:r>
    </w:p>
    <w:p>
      <w:pPr>
        <w:spacing w:before="0" w:after="0" w:line="240" w:lineRule="auto"/>
        <w:ind w:left="400"/>
      </w:pPr>
      <w:r>
        <w:rPr>
          <w:rFonts w:ascii="Courier New" w:hAnsi="Courier New" w:cs="Courier New"/>
          <w:sz w:val="19"/>
        </w:rPr>
        <w:t>import { IamModule } from '../iam/iam.module';</w:t>
      </w:r>
    </w:p>
    <w:p>
      <w:pPr>
        <w:spacing w:before="0" w:after="0" w:line="240" w:lineRule="auto"/>
        <w:ind w:left="400"/>
      </w:pPr>
      <w:r>
        <w:rPr>
          <w:rFonts w:ascii="Courier New" w:hAnsi="Courier New" w:cs="Courier New"/>
          <w:sz w:val="19"/>
        </w:rPr>
        <w:t>import { FinancialModule } from '../financial/financial.module';</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@Module({</w:t>
      </w:r>
    </w:p>
    <w:p>
      <w:pPr>
        <w:spacing w:before="0" w:after="0" w:line="240" w:lineRule="auto"/>
        <w:ind w:left="400"/>
      </w:pPr>
      <w:r>
        <w:rPr>
          <w:rFonts w:ascii="Courier New" w:hAnsi="Courier New" w:cs="Courier New"/>
          <w:sz w:val="19"/>
        </w:rPr>
        <w:t xml:space="preserve">  imports: [</w:t>
      </w:r>
    </w:p>
    <w:p>
      <w:pPr>
        <w:spacing w:before="0" w:after="0" w:line="240" w:lineRule="auto"/>
        <w:ind w:left="400"/>
      </w:pPr>
      <w:r>
        <w:rPr>
          <w:rFonts w:ascii="Courier New" w:hAnsi="Courier New" w:cs="Courier New"/>
          <w:sz w:val="19"/>
        </w:rPr>
        <w:t xml:space="preserve">    TypeOrmModule.forFeature([ListingEntity, ForwardContractEntity]),</w:t>
      </w:r>
    </w:p>
    <w:p>
      <w:pPr>
        <w:spacing w:before="0" w:after="0" w:line="240" w:lineRule="auto"/>
        <w:ind w:left="400"/>
      </w:pPr>
      <w:r>
        <w:rPr>
          <w:rFonts w:ascii="Courier New" w:hAnsi="Courier New" w:cs="Courier New"/>
          <w:sz w:val="19"/>
        </w:rPr>
        <w:t xml:space="preserve">    IamModule, // Bounded Context import (read-only verification)</w:t>
      </w:r>
    </w:p>
    <w:p>
      <w:pPr>
        <w:spacing w:before="0" w:after="0" w:line="240" w:lineRule="auto"/>
        <w:ind w:left="400"/>
      </w:pPr>
      <w:r>
        <w:rPr>
          <w:rFonts w:ascii="Courier New" w:hAnsi="Courier New" w:cs="Courier New"/>
          <w:sz w:val="19"/>
        </w:rPr>
        <w:t xml:space="preserve">    FinancialModule // Event integration</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controllers: [TradingController],</w:t>
      </w:r>
    </w:p>
    <w:p>
      <w:pPr>
        <w:spacing w:before="0" w:after="0" w:line="240" w:lineRule="auto"/>
        <w:ind w:left="400"/>
      </w:pPr>
      <w:r>
        <w:rPr>
          <w:rFonts w:ascii="Courier New" w:hAnsi="Courier New" w:cs="Courier New"/>
          <w:sz w:val="19"/>
        </w:rPr>
        <w:t xml:space="preserve">  providers: [ListingService, ContractService],</w:t>
      </w:r>
    </w:p>
    <w:p>
      <w:pPr>
        <w:spacing w:before="0" w:after="0" w:line="240" w:lineRule="auto"/>
        <w:ind w:left="400"/>
      </w:pPr>
      <w:r>
        <w:rPr>
          <w:rFonts w:ascii="Courier New" w:hAnsi="Courier New" w:cs="Courier New"/>
          <w:sz w:val="19"/>
        </w:rPr>
        <w:t xml:space="preserve">  exports: [ContractService] // Only ContractService is public</w:t>
      </w:r>
    </w:p>
    <w:p>
      <w:pPr>
        <w:spacing w:before="0" w:after="0" w:line="240" w:lineRule="auto"/>
        <w:ind w:left="400"/>
      </w:pPr>
      <w:r>
        <w:rPr>
          <w:rFonts w:ascii="Courier New" w:hAnsi="Courier New" w:cs="Courier New"/>
          <w:sz w:val="19"/>
        </w:rPr>
        <w:t>})</w:t>
      </w:r>
    </w:p>
    <w:p>
      <w:pPr>
        <w:spacing w:before="0" w:after="0" w:line="240" w:lineRule="auto"/>
        <w:ind w:left="400"/>
      </w:pPr>
      <w:r>
        <w:rPr>
          <w:rFonts w:ascii="Courier New" w:hAnsi="Courier New" w:cs="Courier New"/>
          <w:sz w:val="19"/>
        </w:rPr>
        <w:t>export class TradingModule {}</w:t>
      </w:r>
    </w:p>
    <w:p>
      <w:pPr>
        <w:spacing w:before="120"/>
      </w:pPr>
    </w:p>
    <w:p>
      <w:pPr>
        <w:spacing w:line="360" w:lineRule="auto"/>
        <w:jc w:val="both"/>
      </w:pPr>
      <w:r>
        <w:rPr>
          <w:rFonts w:ascii="UT Sans" w:hAnsi="UT Sans" w:cs="UT Sans"/>
          <w:b w:val="0"/>
          <w:i w:val="0"/>
          <w:sz w:val="24"/>
        </w:rPr>
        <w:t>În NestJS, fiecare funcționalitate este încapsulată într-un @Module, care acționează ca un container pentru controllere, servicii și provideri asociați [6]. Providerii sunt înregistrați în cadrul modulului, iar vizibilitatea lor către alte module este strict controlată prin array-ul exports [6]. Acest control explicit asupra API-ului public al unui modul este esențial pentru prevenirea eroziunii arhitecturale într-un monolit [6].</w:t>
      </w:r>
    </w:p>
    <w:p>
      <w:pPr>
        <w:spacing w:line="360" w:lineRule="auto"/>
        <w:jc w:val="both"/>
      </w:pPr>
      <w:r>
        <w:rPr>
          <w:rFonts w:ascii="UT Sans" w:hAnsi="UT Sans" w:cs="UT Sans"/>
          <w:b w:val="0"/>
          <w:i w:val="0"/>
          <w:sz w:val="24"/>
        </w:rPr>
        <w:t>Ciclul de viață al providerilor în NestJS este gestionat automat de containerul DI. În mod implicit, toți providerii sunt singleton (o singură instanță partajată pe durata de viață a aplicației), dar NestJS suportă și scopuri REQUEST (o instanță nouă per cerere HTTP) și TRANSIENT (o instanță nouă per injecție). Această flexibilitate permite optimizarea utilizării memoriei în funcție de natura serviciului: servicii stateless pot fi singleton, în timp ce servicii care mențin stare specifică cererii (ex: context de audit) pot fi scoped [6].</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UT Sans" w:hAnsi="UT Sans" w:cs="UT Sans"/>
                <w:b/>
                <w:i w:val="0"/>
                <w:sz w:val="22"/>
              </w:rPr>
              <w:t>Componentă Framework</w:t>
            </w:r>
          </w:p>
        </w:tc>
        <w:tc>
          <w:tcPr>
            <w:tcW w:type="dxa" w:w="3213"/>
          </w:tcPr>
          <w:p>
            <w:r>
              <w:rPr>
                <w:rFonts w:ascii="UT Sans" w:hAnsi="UT Sans" w:cs="UT Sans"/>
                <w:b/>
                <w:i w:val="0"/>
                <w:sz w:val="22"/>
              </w:rPr>
              <w:t>Responsabilitate</w:t>
            </w:r>
          </w:p>
        </w:tc>
        <w:tc>
          <w:tcPr>
            <w:tcW w:type="dxa" w:w="3213"/>
          </w:tcPr>
          <w:p>
            <w:r>
              <w:rPr>
                <w:rFonts w:ascii="UT Sans" w:hAnsi="UT Sans" w:cs="UT Sans"/>
                <w:b/>
                <w:i w:val="0"/>
                <w:sz w:val="22"/>
              </w:rPr>
              <w:t>Best Practice Enterprise</w:t>
            </w:r>
          </w:p>
        </w:tc>
      </w:tr>
      <w:tr>
        <w:tc>
          <w:tcPr>
            <w:tcW w:type="dxa" w:w="3213"/>
          </w:tcPr>
          <w:p>
            <w:r>
              <w:rPr>
                <w:rFonts w:ascii="UT Sans" w:hAnsi="UT Sans" w:cs="UT Sans"/>
                <w:b w:val="0"/>
                <w:i w:val="0"/>
                <w:sz w:val="22"/>
              </w:rPr>
              <w:t>Controllers</w:t>
            </w:r>
          </w:p>
        </w:tc>
        <w:tc>
          <w:tcPr>
            <w:tcW w:type="dxa" w:w="3213"/>
          </w:tcPr>
          <w:p>
            <w:r>
              <w:rPr>
                <w:rFonts w:ascii="UT Sans" w:hAnsi="UT Sans" w:cs="UT Sans"/>
                <w:b w:val="0"/>
                <w:i w:val="0"/>
                <w:sz w:val="22"/>
              </w:rPr>
              <w:t>Gestionarea cererilor HTTP</w:t>
            </w:r>
          </w:p>
        </w:tc>
        <w:tc>
          <w:tcPr>
            <w:tcW w:type="dxa" w:w="3213"/>
          </w:tcPr>
          <w:p>
            <w:r>
              <w:rPr>
                <w:rFonts w:ascii="UT Sans" w:hAnsi="UT Sans" w:cs="UT Sans"/>
                <w:b w:val="0"/>
                <w:i w:val="0"/>
                <w:sz w:val="22"/>
              </w:rPr>
              <w:t>Lean; delegare logică la servicii [6]</w:t>
            </w:r>
          </w:p>
        </w:tc>
      </w:tr>
      <w:tr>
        <w:tc>
          <w:tcPr>
            <w:tcW w:type="dxa" w:w="3213"/>
          </w:tcPr>
          <w:p>
            <w:r>
              <w:rPr>
                <w:rFonts w:ascii="UT Sans" w:hAnsi="UT Sans" w:cs="UT Sans"/>
                <w:b w:val="0"/>
                <w:i w:val="0"/>
                <w:sz w:val="22"/>
              </w:rPr>
              <w:t>Services</w:t>
            </w:r>
          </w:p>
        </w:tc>
        <w:tc>
          <w:tcPr>
            <w:tcW w:type="dxa" w:w="3213"/>
          </w:tcPr>
          <w:p>
            <w:r>
              <w:rPr>
                <w:rFonts w:ascii="UT Sans" w:hAnsi="UT Sans" w:cs="UT Sans"/>
                <w:b w:val="0"/>
                <w:i w:val="0"/>
                <w:sz w:val="22"/>
              </w:rPr>
              <w:t>Încapsularea logicii de business</w:t>
            </w:r>
          </w:p>
        </w:tc>
        <w:tc>
          <w:tcPr>
            <w:tcW w:type="dxa" w:w="3213"/>
          </w:tcPr>
          <w:p>
            <w:r>
              <w:rPr>
                <w:rFonts w:ascii="UT Sans" w:hAnsi="UT Sans" w:cs="UT Sans"/>
                <w:b w:val="0"/>
                <w:i w:val="0"/>
                <w:sz w:val="22"/>
              </w:rPr>
              <w:t>@Injectable() și constructor injection [6]</w:t>
            </w:r>
          </w:p>
        </w:tc>
      </w:tr>
      <w:tr>
        <w:tc>
          <w:tcPr>
            <w:tcW w:type="dxa" w:w="3213"/>
          </w:tcPr>
          <w:p>
            <w:r>
              <w:rPr>
                <w:rFonts w:ascii="UT Sans" w:hAnsi="UT Sans" w:cs="UT Sans"/>
                <w:b w:val="0"/>
                <w:i w:val="0"/>
                <w:sz w:val="22"/>
              </w:rPr>
              <w:t>Repositories</w:t>
            </w:r>
          </w:p>
        </w:tc>
        <w:tc>
          <w:tcPr>
            <w:tcW w:type="dxa" w:w="3213"/>
          </w:tcPr>
          <w:p>
            <w:r>
              <w:rPr>
                <w:rFonts w:ascii="UT Sans" w:hAnsi="UT Sans" w:cs="UT Sans"/>
                <w:b w:val="0"/>
                <w:i w:val="0"/>
                <w:sz w:val="22"/>
              </w:rPr>
              <w:t>Stratul de acces la date</w:t>
            </w:r>
          </w:p>
        </w:tc>
        <w:tc>
          <w:tcPr>
            <w:tcW w:type="dxa" w:w="3213"/>
          </w:tcPr>
          <w:p>
            <w:r>
              <w:rPr>
                <w:rFonts w:ascii="UT Sans" w:hAnsi="UT Sans" w:cs="UT Sans"/>
                <w:b w:val="0"/>
                <w:i w:val="0"/>
                <w:sz w:val="22"/>
              </w:rPr>
              <w:t>Repository pattern pentru izolarea ORM [6]</w:t>
            </w:r>
          </w:p>
        </w:tc>
      </w:tr>
      <w:tr>
        <w:tc>
          <w:tcPr>
            <w:tcW w:type="dxa" w:w="3213"/>
          </w:tcPr>
          <w:p>
            <w:r>
              <w:rPr>
                <w:rFonts w:ascii="UT Sans" w:hAnsi="UT Sans" w:cs="UT Sans"/>
                <w:b w:val="0"/>
                <w:i w:val="0"/>
                <w:sz w:val="22"/>
              </w:rPr>
              <w:t>Pipes</w:t>
            </w:r>
          </w:p>
        </w:tc>
        <w:tc>
          <w:tcPr>
            <w:tcW w:type="dxa" w:w="3213"/>
          </w:tcPr>
          <w:p>
            <w:r>
              <w:rPr>
                <w:rFonts w:ascii="UT Sans" w:hAnsi="UT Sans" w:cs="UT Sans"/>
                <w:b w:val="0"/>
                <w:i w:val="0"/>
                <w:sz w:val="22"/>
              </w:rPr>
              <w:t>Validare/transformare input</w:t>
            </w:r>
          </w:p>
        </w:tc>
        <w:tc>
          <w:tcPr>
            <w:tcW w:type="dxa" w:w="3213"/>
          </w:tcPr>
          <w:p>
            <w:r>
              <w:rPr>
                <w:rFonts w:ascii="UT Sans" w:hAnsi="UT Sans" w:cs="UT Sans"/>
                <w:b w:val="0"/>
                <w:i w:val="0"/>
                <w:sz w:val="22"/>
              </w:rPr>
              <w:t>class-validator combinat cu DTOs [6]</w:t>
            </w:r>
          </w:p>
        </w:tc>
      </w:tr>
      <w:tr>
        <w:tc>
          <w:tcPr>
            <w:tcW w:type="dxa" w:w="3213"/>
          </w:tcPr>
          <w:p>
            <w:r>
              <w:rPr>
                <w:rFonts w:ascii="UT Sans" w:hAnsi="UT Sans" w:cs="UT Sans"/>
                <w:b w:val="0"/>
                <w:i w:val="0"/>
                <w:sz w:val="22"/>
              </w:rPr>
              <w:t>Guards</w:t>
            </w:r>
          </w:p>
        </w:tc>
        <w:tc>
          <w:tcPr>
            <w:tcW w:type="dxa" w:w="3213"/>
          </w:tcPr>
          <w:p>
            <w:r>
              <w:rPr>
                <w:rFonts w:ascii="UT Sans" w:hAnsi="UT Sans" w:cs="UT Sans"/>
                <w:b w:val="0"/>
                <w:i w:val="0"/>
                <w:sz w:val="22"/>
              </w:rPr>
              <w:t>Autentificare/Autorizare</w:t>
            </w:r>
          </w:p>
        </w:tc>
        <w:tc>
          <w:tcPr>
            <w:tcW w:type="dxa" w:w="3213"/>
          </w:tcPr>
          <w:p>
            <w:r>
              <w:rPr>
                <w:rFonts w:ascii="UT Sans" w:hAnsi="UT Sans" w:cs="UT Sans"/>
                <w:b w:val="0"/>
                <w:i w:val="0"/>
                <w:sz w:val="22"/>
              </w:rPr>
              <w:t>Centralizare logică RBAC la nivel de rută [6]</w:t>
            </w:r>
          </w:p>
        </w:tc>
      </w:tr>
      <w:tr>
        <w:tc>
          <w:tcPr>
            <w:tcW w:type="dxa" w:w="3213"/>
          </w:tcPr>
          <w:p>
            <w:r>
              <w:rPr>
                <w:rFonts w:ascii="UT Sans" w:hAnsi="UT Sans" w:cs="UT Sans"/>
                <w:b w:val="0"/>
                <w:i w:val="0"/>
                <w:sz w:val="22"/>
              </w:rPr>
              <w:t>Interceptors</w:t>
            </w:r>
          </w:p>
        </w:tc>
        <w:tc>
          <w:tcPr>
            <w:tcW w:type="dxa" w:w="3213"/>
          </w:tcPr>
          <w:p>
            <w:r>
              <w:rPr>
                <w:rFonts w:ascii="UT Sans" w:hAnsi="UT Sans" w:cs="UT Sans"/>
                <w:b w:val="0"/>
                <w:i w:val="0"/>
                <w:sz w:val="22"/>
              </w:rPr>
              <w:t>Cross-cutting concerns</w:t>
            </w:r>
          </w:p>
        </w:tc>
        <w:tc>
          <w:tcPr>
            <w:tcW w:type="dxa" w:w="3213"/>
          </w:tcPr>
          <w:p>
            <w:r>
              <w:rPr>
                <w:rFonts w:ascii="UT Sans" w:hAnsi="UT Sans" w:cs="UT Sans"/>
                <w:b w:val="0"/>
                <w:i w:val="0"/>
                <w:sz w:val="22"/>
              </w:rPr>
              <w:t>Logging, caching, transformare răspuns [6]</w:t>
            </w:r>
          </w:p>
        </w:tc>
      </w:tr>
      <w:tr>
        <w:tc>
          <w:tcPr>
            <w:tcW w:type="dxa" w:w="3213"/>
          </w:tcPr>
          <w:p>
            <w:r>
              <w:rPr>
                <w:rFonts w:ascii="UT Sans" w:hAnsi="UT Sans" w:cs="UT Sans"/>
                <w:b w:val="0"/>
                <w:i w:val="0"/>
                <w:sz w:val="22"/>
              </w:rPr>
              <w:t>Exception Filters</w:t>
            </w:r>
          </w:p>
        </w:tc>
        <w:tc>
          <w:tcPr>
            <w:tcW w:type="dxa" w:w="3213"/>
          </w:tcPr>
          <w:p>
            <w:r>
              <w:rPr>
                <w:rFonts w:ascii="UT Sans" w:hAnsi="UT Sans" w:cs="UT Sans"/>
                <w:b w:val="0"/>
                <w:i w:val="0"/>
                <w:sz w:val="22"/>
              </w:rPr>
              <w:t>Gestiune centralizată erori</w:t>
            </w:r>
          </w:p>
        </w:tc>
        <w:tc>
          <w:tcPr>
            <w:tcW w:type="dxa" w:w="3213"/>
          </w:tcPr>
          <w:p>
            <w:r>
              <w:rPr>
                <w:rFonts w:ascii="UT Sans" w:hAnsi="UT Sans" w:cs="UT Sans"/>
                <w:b w:val="0"/>
                <w:i w:val="0"/>
                <w:sz w:val="22"/>
              </w:rPr>
              <w:t>Standardizare răspunsuri eroare (RFC 7807) [6]</w:t>
            </w:r>
          </w:p>
        </w:tc>
      </w:tr>
    </w:tbl>
    <w:p>
      <w:pPr>
        <w:spacing w:line="360" w:lineRule="auto" w:after="80"/>
        <w:jc w:val="both"/>
      </w:pPr>
      <w:r>
        <w:rPr>
          <w:rFonts w:ascii="UT Sans" w:hAnsi="UT Sans" w:cs="UT Sans"/>
          <w:b w:val="0"/>
          <w:i w:val="0"/>
          <w:sz w:val="24"/>
        </w:rPr>
      </w:r>
    </w:p>
    <w:p>
      <w:pPr>
        <w:pStyle w:val="Heading3"/>
        <w:keepNext/>
        <w:keepLines/>
        <w:spacing w:before="200" w:after="0" w:line="360" w:lineRule="auto"/>
        <w:jc w:val="both"/>
      </w:pPr>
      <w:r>
        <w:rPr>
          <w:rFonts w:ascii="UT Sans" w:hAnsi="UT Sans" w:cs="UT Sans"/>
          <w:b/>
          <w:i w:val="0"/>
          <w:sz w:val="22"/>
        </w:rPr>
        <w:t>2.2.2 TypeORM și Repository Pattern</w:t>
      </w:r>
    </w:p>
    <w:p>
      <w:pPr>
        <w:spacing w:line="360" w:lineRule="auto"/>
        <w:jc w:val="both"/>
      </w:pPr>
      <w:r>
        <w:rPr>
          <w:rFonts w:ascii="UT Sans" w:hAnsi="UT Sans" w:cs="UT Sans"/>
          <w:b w:val="0"/>
          <w:i w:val="0"/>
          <w:sz w:val="24"/>
        </w:rPr>
        <w:t>TypeORM 0.3 servește ca stratul de Object-Relational Mapping, permițând dezvoltatorilor să lucreze cu entități TypeScript în loc de SQL brut [6]. Fiecare entitate este decorată cu @Entity(), iar proprietățile cu @Column(), @PrimaryGeneratedColumn(), etc. Repository Pattern este implementat prin injectarea serviciilor repository generate automat de TypeORM, asigurând că logica de acces la date este izolată de logica de business [6].</w:t>
      </w:r>
    </w:p>
    <w:p>
      <w:pPr>
        <w:spacing w:line="360" w:lineRule="auto"/>
        <w:jc w:val="both"/>
      </w:pPr>
      <w:r>
        <w:rPr>
          <w:rFonts w:ascii="UT Sans" w:hAnsi="UT Sans" w:cs="UT Sans"/>
          <w:b w:val="0"/>
          <w:i w:val="0"/>
          <w:sz w:val="24"/>
        </w:rPr>
        <w:t>Un aspect critic al configurării TypeORM în NestJS este tratarea relațiilor lazy-loaded vs. eager-loaded. Într-un marketplace cu entități complexe (Listing → Commodity → QualityAttributes → Reviews), încărcarea eager a tuturor relațiilor la fiecare interogare ar genera interogări SQL excesive ("N+1 query problem"). TypeORM oferă query builder-ul createQueryBuilder care permite controlul granular al JOIN-urilor, asigurând că doar datele necesare sunt preluate din baza de date [6].</w:t>
      </w:r>
    </w:p>
    <w:p>
      <w:pPr>
        <w:pStyle w:val="Heading3"/>
        <w:keepNext/>
        <w:keepLines/>
        <w:spacing w:before="200" w:after="0" w:line="360" w:lineRule="auto"/>
        <w:jc w:val="both"/>
      </w:pPr>
      <w:r>
        <w:rPr>
          <w:rFonts w:ascii="UT Sans" w:hAnsi="UT Sans" w:cs="UT Sans"/>
          <w:b/>
          <w:i w:val="0"/>
          <w:sz w:val="22"/>
        </w:rPr>
        <w:t>2.2.3 Performanță și scalabilitate cu Fastify</w:t>
      </w:r>
    </w:p>
    <w:p>
      <w:pPr>
        <w:spacing w:line="360" w:lineRule="auto"/>
        <w:jc w:val="both"/>
      </w:pPr>
      <w:r>
        <w:rPr>
          <w:rFonts w:ascii="UT Sans" w:hAnsi="UT Sans" w:cs="UT Sans"/>
          <w:b w:val="0"/>
          <w:i w:val="0"/>
          <w:sz w:val="24"/>
        </w:rPr>
        <w:t>Deși NestJS folosește implicit adaptorul HTTP Express.js, aplicațiile enterprise schimbă adesea acest adaptor cu Fastify pentru a obține un throughput semnificativ mai ridicat [6]. Fastify este proiectat pentru overhead minim și performanță ridicată, oferind adesea o creștere de 2x până la 3x în viteza de procesare a cererilor comparativ cu Express [6]. Acest swap este posibil datorită stratului de abstractizare al NestJS, care permite dezvoltatorilor să interacționeze cu o interfață canonică în loc de biblioteca HTTP subiacentă [6].</w:t>
      </w:r>
    </w:p>
    <w:p>
      <w:pPr>
        <w:pStyle w:val="Heading2"/>
        <w:keepNext/>
        <w:keepLines/>
        <w:spacing w:before="360" w:after="0" w:line="360" w:lineRule="auto"/>
        <w:jc w:val="both"/>
      </w:pPr>
      <w:r>
        <w:rPr>
          <w:rFonts w:ascii="UT Sans" w:hAnsi="UT Sans" w:cs="UT Sans"/>
          <w:b/>
          <w:i w:val="0"/>
          <w:sz w:val="28"/>
        </w:rPr>
        <w:t>2.3 Baze de Date: Stocare Hibridă cu PostgreSQL JSONB</w:t>
      </w:r>
    </w:p>
    <w:p>
      <w:pPr>
        <w:pStyle w:val="Heading3"/>
        <w:keepNext/>
        <w:keepLines/>
        <w:spacing w:before="200" w:after="0" w:line="360" w:lineRule="auto"/>
        <w:jc w:val="both"/>
      </w:pPr>
      <w:r>
        <w:rPr>
          <w:rFonts w:ascii="UT Sans" w:hAnsi="UT Sans" w:cs="UT Sans"/>
          <w:b/>
          <w:i w:val="0"/>
          <w:sz w:val="22"/>
        </w:rPr>
        <w:t>2.3.1 Avantajele JSONB și provocarea TOAST</w:t>
      </w:r>
    </w:p>
    <w:p>
      <w:pPr>
        <w:spacing w:line="360" w:lineRule="auto"/>
        <w:jc w:val="both"/>
      </w:pPr>
      <w:r>
        <w:rPr>
          <w:rFonts w:ascii="UT Sans" w:hAnsi="UT Sans" w:cs="UT Sans"/>
          <w:b w:val="0"/>
          <w:i w:val="0"/>
          <w:sz w:val="24"/>
        </w:rPr>
        <w:t>Una dintre provocările principale în marketplace-urile agricole este diversitatea mărfurilor tranzacționate. Deși grâul, porumbul și semințele de floarea-soarelui sunt toate cereale, ele sunt caracterizate de atribute de calitate diferite. Grâul este evaluat pentru conținutul de proteină și greutatea hectolitrică, în timp ce semințele de floarea-soarelui sunt evaluate primar pentru conținutul de ulei [3]. O schemă relațională rigidă ar necesita migrări frecvente și disruptive ale bazei de date [6].</w:t>
      </w:r>
    </w:p>
    <w:p>
      <w:pPr>
        <w:spacing w:line="360" w:lineRule="auto"/>
        <w:jc w:val="both"/>
      </w:pPr>
      <w:r>
        <w:rPr>
          <w:rFonts w:ascii="UT Sans" w:hAnsi="UT Sans" w:cs="UT Sans"/>
          <w:b w:val="0"/>
          <w:i w:val="0"/>
          <w:sz w:val="24"/>
        </w:rPr>
        <w:t>AgriConnect abordează această provocare utilizând tipul de date JSONB din PostgreSQL, definit direct în entitățile TypeORM:</w:t>
      </w:r>
    </w:p>
    <w:p>
      <w:pPr>
        <w:spacing w:after="40"/>
      </w:pPr>
    </w:p>
    <w:p>
      <w:pPr>
        <w:spacing w:before="0" w:after="0" w:line="240" w:lineRule="auto"/>
        <w:ind w:left="400"/>
      </w:pPr>
      <w:r>
        <w:rPr>
          <w:rFonts w:ascii="Courier New" w:hAnsi="Courier New" w:cs="Courier New"/>
          <w:sz w:val="19"/>
        </w:rPr>
        <w:t>import { Entity, Column, PrimaryGeneratedColumn, Index, CreateDateColumn } from 'typeorm';</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@Entity('listings')</w:t>
      </w:r>
    </w:p>
    <w:p>
      <w:pPr>
        <w:spacing w:before="0" w:after="0" w:line="240" w:lineRule="auto"/>
        <w:ind w:left="400"/>
      </w:pPr>
      <w:r>
        <w:rPr>
          <w:rFonts w:ascii="Courier New" w:hAnsi="Courier New" w:cs="Courier New"/>
          <w:sz w:val="19"/>
        </w:rPr>
        <w:t>export class ListingEntity {</w:t>
      </w:r>
    </w:p>
    <w:p>
      <w:pPr>
        <w:spacing w:before="0" w:after="0" w:line="240" w:lineRule="auto"/>
        <w:ind w:left="400"/>
      </w:pPr>
      <w:r>
        <w:rPr>
          <w:rFonts w:ascii="Courier New" w:hAnsi="Courier New" w:cs="Courier New"/>
          <w:sz w:val="19"/>
        </w:rPr>
        <w:t xml:space="preserve">  @PrimaryGeneratedColumn('uuid')</w:t>
      </w:r>
    </w:p>
    <w:p>
      <w:pPr>
        <w:spacing w:before="0" w:after="0" w:line="240" w:lineRule="auto"/>
        <w:ind w:left="400"/>
      </w:pPr>
      <w:r>
        <w:rPr>
          <w:rFonts w:ascii="Courier New" w:hAnsi="Courier New" w:cs="Courier New"/>
          <w:sz w:val="19"/>
        </w:rPr>
        <w:t xml:space="preserve">  id: string;</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@Column({ type: 'varchar', length: 50 })</w:t>
      </w:r>
    </w:p>
    <w:p>
      <w:pPr>
        <w:spacing w:before="0" w:after="0" w:line="240" w:lineRule="auto"/>
        <w:ind w:left="400"/>
      </w:pPr>
      <w:r>
        <w:rPr>
          <w:rFonts w:ascii="Courier New" w:hAnsi="Courier New" w:cs="Courier New"/>
          <w:sz w:val="19"/>
        </w:rPr>
        <w:t xml:space="preserve">  category: string; // e.g., 'WHEAT_MILLING'</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@Column('decimal', { precision: 10, scale: 2 })</w:t>
      </w:r>
    </w:p>
    <w:p>
      <w:pPr>
        <w:spacing w:before="0" w:after="0" w:line="240" w:lineRule="auto"/>
        <w:ind w:left="400"/>
      </w:pPr>
      <w:r>
        <w:rPr>
          <w:rFonts w:ascii="Courier New" w:hAnsi="Courier New" w:cs="Courier New"/>
          <w:sz w:val="19"/>
        </w:rPr>
        <w:t xml:space="preserve">  base_price_ron: number;</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@Column('int')</w:t>
      </w:r>
    </w:p>
    <w:p>
      <w:pPr>
        <w:spacing w:before="0" w:after="0" w:line="240" w:lineRule="auto"/>
        <w:ind w:left="400"/>
      </w:pPr>
      <w:r>
        <w:rPr>
          <w:rFonts w:ascii="Courier New" w:hAnsi="Courier New" w:cs="Courier New"/>
          <w:sz w:val="19"/>
        </w:rPr>
        <w:t xml:space="preserve">  quantity_mt: number;</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 Stocare hibridă: atribute dinamice de calitate</w:t>
      </w:r>
    </w:p>
    <w:p>
      <w:pPr>
        <w:spacing w:before="0" w:after="0" w:line="240" w:lineRule="auto"/>
        <w:ind w:left="400"/>
      </w:pPr>
      <w:r>
        <w:rPr>
          <w:rFonts w:ascii="Courier New" w:hAnsi="Courier New" w:cs="Courier New"/>
          <w:sz w:val="19"/>
        </w:rPr>
        <w:t xml:space="preserve">  @Index('idx_listings_quality', { type: 'gin' })</w:t>
      </w:r>
    </w:p>
    <w:p>
      <w:pPr>
        <w:spacing w:before="0" w:after="0" w:line="240" w:lineRule="auto"/>
        <w:ind w:left="400"/>
      </w:pPr>
      <w:r>
        <w:rPr>
          <w:rFonts w:ascii="Courier New" w:hAnsi="Courier New" w:cs="Courier New"/>
          <w:sz w:val="19"/>
        </w:rPr>
        <w:t xml:space="preserve">  @Column({ type: 'jsonb' })</w:t>
      </w:r>
    </w:p>
    <w:p>
      <w:pPr>
        <w:spacing w:before="0" w:after="0" w:line="240" w:lineRule="auto"/>
        <w:ind w:left="400"/>
      </w:pPr>
      <w:r>
        <w:rPr>
          <w:rFonts w:ascii="Courier New" w:hAnsi="Courier New" w:cs="Courier New"/>
          <w:sz w:val="19"/>
        </w:rPr>
        <w:t xml:space="preserve">  quality_attributes: {</w:t>
      </w:r>
    </w:p>
    <w:p>
      <w:pPr>
        <w:spacing w:before="0" w:after="0" w:line="240" w:lineRule="auto"/>
        <w:ind w:left="400"/>
      </w:pPr>
      <w:r>
        <w:rPr>
          <w:rFonts w:ascii="Courier New" w:hAnsi="Courier New" w:cs="Courier New"/>
          <w:sz w:val="19"/>
        </w:rPr>
        <w:t xml:space="preserve">    protein_pct?: number;</w:t>
      </w:r>
    </w:p>
    <w:p>
      <w:pPr>
        <w:spacing w:before="0" w:after="0" w:line="240" w:lineRule="auto"/>
        <w:ind w:left="400"/>
      </w:pPr>
      <w:r>
        <w:rPr>
          <w:rFonts w:ascii="Courier New" w:hAnsi="Courier New" w:cs="Courier New"/>
          <w:sz w:val="19"/>
        </w:rPr>
        <w:t xml:space="preserve">    moisture_pct?: number;</w:t>
      </w:r>
    </w:p>
    <w:p>
      <w:pPr>
        <w:spacing w:before="0" w:after="0" w:line="240" w:lineRule="auto"/>
        <w:ind w:left="400"/>
      </w:pPr>
      <w:r>
        <w:rPr>
          <w:rFonts w:ascii="Courier New" w:hAnsi="Courier New" w:cs="Courier New"/>
          <w:sz w:val="19"/>
        </w:rPr>
        <w:t xml:space="preserve">    besatz_pct?: number;</w:t>
      </w:r>
    </w:p>
    <w:p>
      <w:pPr>
        <w:spacing w:before="0" w:after="0" w:line="240" w:lineRule="auto"/>
        <w:ind w:left="400"/>
      </w:pPr>
      <w:r>
        <w:rPr>
          <w:rFonts w:ascii="Courier New" w:hAnsi="Courier New" w:cs="Courier New"/>
          <w:sz w:val="19"/>
        </w:rPr>
        <w:t xml:space="preserve">    falling_number_sec?: number;</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@CreateDateColumn()</w:t>
      </w:r>
    </w:p>
    <w:p>
      <w:pPr>
        <w:spacing w:before="0" w:after="0" w:line="240" w:lineRule="auto"/>
        <w:ind w:left="400"/>
      </w:pPr>
      <w:r>
        <w:rPr>
          <w:rFonts w:ascii="Courier New" w:hAnsi="Courier New" w:cs="Courier New"/>
          <w:sz w:val="19"/>
        </w:rPr>
        <w:t xml:space="preserve">  created_at: Date;</w:t>
      </w:r>
    </w:p>
    <w:p>
      <w:pPr>
        <w:spacing w:before="0" w:after="0" w:line="240" w:lineRule="auto"/>
        <w:ind w:left="400"/>
      </w:pPr>
      <w:r>
        <w:rPr>
          <w:rFonts w:ascii="Courier New" w:hAnsi="Courier New" w:cs="Courier New"/>
          <w:sz w:val="19"/>
        </w:rPr>
        <w:t>}</w:t>
      </w:r>
    </w:p>
    <w:p>
      <w:pPr>
        <w:spacing w:before="120"/>
      </w:pPr>
    </w:p>
    <w:p>
      <w:pPr>
        <w:spacing w:line="360" w:lineRule="auto"/>
        <w:jc w:val="both"/>
      </w:pPr>
      <w:r>
        <w:rPr>
          <w:rFonts w:ascii="UT Sans" w:hAnsi="UT Sans" w:cs="UT Sans"/>
          <w:b w:val="0"/>
          <w:i w:val="0"/>
          <w:sz w:val="24"/>
        </w:rPr>
        <w:t>Pentru căutări de performanță înaltă, platforma creează indecși GIN (Generalized Inverted Index) pe aceste coloane JSONB. Mai jos este exemplificată modalitatea prin care backend-ul execută interogări pe date JSON structurate folosind operatorul de containment `@&gt;`:</w:t>
      </w:r>
    </w:p>
    <w:p>
      <w:pPr>
        <w:spacing w:after="40"/>
      </w:pPr>
    </w:p>
    <w:p>
      <w:pPr>
        <w:spacing w:before="0" w:after="0" w:line="240" w:lineRule="auto"/>
        <w:ind w:left="400"/>
      </w:pPr>
      <w:r>
        <w:rPr>
          <w:rFonts w:ascii="Courier New" w:hAnsi="Courier New" w:cs="Courier New"/>
          <w:sz w:val="19"/>
        </w:rPr>
        <w:t>// Exemplu de interogare repository folosind query builder și JSONB</w:t>
      </w:r>
    </w:p>
    <w:p>
      <w:pPr>
        <w:spacing w:before="0" w:after="0" w:line="240" w:lineRule="auto"/>
        <w:ind w:left="400"/>
      </w:pPr>
      <w:r>
        <w:rPr>
          <w:rFonts w:ascii="Courier New" w:hAnsi="Courier New" w:cs="Courier New"/>
          <w:sz w:val="19"/>
        </w:rPr>
        <w:t>async findMatchingListings(minProtein: number, maxMoisture: number): Promise&lt;ListingEntity[]&gt; {</w:t>
      </w:r>
    </w:p>
    <w:p>
      <w:pPr>
        <w:spacing w:before="0" w:after="0" w:line="240" w:lineRule="auto"/>
        <w:ind w:left="400"/>
      </w:pPr>
      <w:r>
        <w:rPr>
          <w:rFonts w:ascii="Courier New" w:hAnsi="Courier New" w:cs="Courier New"/>
          <w:sz w:val="19"/>
        </w:rPr>
        <w:t xml:space="preserve">  return await this.listingRepository.createQueryBuilder('listing')</w:t>
      </w:r>
    </w:p>
    <w:p>
      <w:pPr>
        <w:spacing w:before="0" w:after="0" w:line="240" w:lineRule="auto"/>
        <w:ind w:left="400"/>
      </w:pPr>
      <w:r>
        <w:rPr>
          <w:rFonts w:ascii="Courier New" w:hAnsi="Courier New" w:cs="Courier New"/>
          <w:sz w:val="19"/>
        </w:rPr>
        <w:t xml:space="preserve">    .where('listing.category = :category', { category: 'WHEAT_MILLING' })</w:t>
      </w:r>
    </w:p>
    <w:p>
      <w:pPr>
        <w:spacing w:before="0" w:after="0" w:line="240" w:lineRule="auto"/>
        <w:ind w:left="400"/>
      </w:pPr>
      <w:r>
        <w:rPr>
          <w:rFonts w:ascii="Courier New" w:hAnsi="Courier New" w:cs="Courier New"/>
          <w:sz w:val="19"/>
        </w:rPr>
        <w:t xml:space="preserve">    .andWhere('listing.quality_attributes @&gt; :minProteinJson', {</w:t>
      </w:r>
    </w:p>
    <w:p>
      <w:pPr>
        <w:spacing w:before="0" w:after="0" w:line="240" w:lineRule="auto"/>
        <w:ind w:left="400"/>
      </w:pPr>
      <w:r>
        <w:rPr>
          <w:rFonts w:ascii="Courier New" w:hAnsi="Courier New" w:cs="Courier New"/>
          <w:sz w:val="19"/>
        </w:rPr>
        <w:t xml:space="preserve">      minProteinJson: { protein_pct: minProtein }</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.andWhere("CAST(listing.quality_attributes-&gt;&gt;'moisture_pct' AS FLOAT) &lt;= :maxMoisture", {</w:t>
      </w:r>
    </w:p>
    <w:p>
      <w:pPr>
        <w:spacing w:before="0" w:after="0" w:line="240" w:lineRule="auto"/>
        <w:ind w:left="400"/>
      </w:pPr>
      <w:r>
        <w:rPr>
          <w:rFonts w:ascii="Courier New" w:hAnsi="Courier New" w:cs="Courier New"/>
          <w:sz w:val="19"/>
        </w:rPr>
        <w:t xml:space="preserve">      maxMoisture</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.orderBy('listing.base_price_ron', 'ASC')</w:t>
      </w:r>
    </w:p>
    <w:p>
      <w:pPr>
        <w:spacing w:before="0" w:after="0" w:line="240" w:lineRule="auto"/>
        <w:ind w:left="400"/>
      </w:pPr>
      <w:r>
        <w:rPr>
          <w:rFonts w:ascii="Courier New" w:hAnsi="Courier New" w:cs="Courier New"/>
          <w:sz w:val="19"/>
        </w:rPr>
        <w:t xml:space="preserve">    .getMany();</w:t>
      </w:r>
    </w:p>
    <w:p>
      <w:pPr>
        <w:spacing w:before="0" w:after="0" w:line="240" w:lineRule="auto"/>
        <w:ind w:left="400"/>
      </w:pPr>
      <w:r>
        <w:rPr>
          <w:rFonts w:ascii="Courier New" w:hAnsi="Courier New" w:cs="Courier New"/>
          <w:sz w:val="19"/>
        </w:rPr>
        <w:t>}</w:t>
      </w:r>
    </w:p>
    <w:p>
      <w:pPr>
        <w:spacing w:before="120"/>
      </w:pPr>
    </w:p>
    <w:p>
      <w:pPr>
        <w:spacing w:line="360" w:lineRule="auto"/>
        <w:jc w:val="both"/>
      </w:pPr>
      <w:r>
        <w:rPr>
          <w:rFonts w:ascii="UT Sans" w:hAnsi="UT Sans" w:cs="UT Sans"/>
          <w:b w:val="0"/>
          <w:i w:val="0"/>
          <w:sz w:val="24"/>
        </w:rPr>
        <w:t>Totuși, stocarea documentelor mari poate duce la "TOASTing" (The Oversize Attribute Storage Technique), unde PostgreSQL stochează atributele mai mari de 2 KB într-o tabelă secundară pentru a menține paginile principale de date la dimensiunea standard de 8 KB [6]. Deși TOASTing-ul este gestionat automat, poate introduce latență la citire din cauza necesității de reconstrucție și decompresie a datelor [6]. Analiza performanței arată că, în scenarii de actualizare intensivă (update-heavy workloads), PostgreSQL poate prezenta o utilizare ridicată a CPU, deoarece fiecare actualizare JSONB implică o rescriere a întregului document JSONB, chiar dacă doar un singur câmp se modifică [7].</w:t>
      </w:r>
    </w:p>
    <w:p>
      <w:pPr>
        <w:pStyle w:val="Heading3"/>
        <w:keepNext/>
        <w:keepLines/>
        <w:spacing w:before="200" w:after="0" w:line="360" w:lineRule="auto"/>
        <w:jc w:val="both"/>
      </w:pPr>
      <w:r>
        <w:rPr>
          <w:rFonts w:ascii="UT Sans" w:hAnsi="UT Sans" w:cs="UT Sans"/>
          <w:b/>
          <w:i w:val="0"/>
          <w:sz w:val="22"/>
        </w:rPr>
        <w:t>2.3.2 Indexare GIN de înaltă performanță</w:t>
      </w:r>
    </w:p>
    <w:p>
      <w:pPr>
        <w:spacing w:line="360" w:lineRule="auto"/>
        <w:jc w:val="both"/>
      </w:pPr>
      <w:r>
        <w:rPr>
          <w:rFonts w:ascii="UT Sans" w:hAnsi="UT Sans" w:cs="UT Sans"/>
          <w:b w:val="0"/>
          <w:i w:val="0"/>
          <w:sz w:val="24"/>
        </w:rPr>
        <w:t>Pentru ca un marketplace să fie eficient, cumpărătorii trebuie să poată filtra sute de listări pe baza atributelor specifice de calitate aproape instantaneu. Indecșii B-tree tradiționali sunt ineficienți pentru căutarea în interiorul unui document JSONB, deoarece indexează documentul ca un tot opac [7]. În schimb, AgriConnect utilizează Generalized Inverted Indexes (GIN), un tip de index specializat pentru tipuri de date compozite [8].</w:t>
      </w:r>
    </w:p>
    <w:p>
      <w:pPr>
        <w:spacing w:line="360" w:lineRule="auto"/>
        <w:jc w:val="both"/>
      </w:pPr>
      <w:r>
        <w:rPr>
          <w:rFonts w:ascii="UT Sans" w:hAnsi="UT Sans" w:cs="UT Sans"/>
          <w:b w:val="0"/>
          <w:i w:val="0"/>
          <w:sz w:val="24"/>
        </w:rPr>
        <w:t>Un index GIN funcționează prin descompunerea valorii compozite JSONB în elementele sale constituente (chei și valori) și indexarea lor individuală. Acest lucru permite executarea eficientă a interogărilor de tip "containment" folosind operatorul @&gt; (ex: SELECT * FROM listings WHERE attributes @&gt; '{"protein": 12.5}') [7]. PostgreSQL oferă două clase de operatori pentru indecșii GIN pe JSONB: jsonb_ops (implicit, indexează fiecare cheie și valoare, suportă operatorii @&gt;, ?, ?|, ?&amp;) și jsonb_path_ops (indexează doar căi de valori, ~50% mai compact, optimizat pentru @&gt;) [8].</w:t>
      </w:r>
    </w:p>
    <w:tbl>
      <w:tblPr>
        <w:tblStyle w:val="TableGrid"/>
        <w:tblW w:type="auto" w:w="0"/>
        <w:tblLook w:firstColumn="1" w:firstRow="1" w:lastColumn="0" w:lastRow="0" w:noHBand="0" w:noVBand="1" w:val="04A0"/>
      </w:tblPr>
      <w:tblGrid>
        <w:gridCol w:w="2410"/>
        <w:gridCol w:w="2410"/>
        <w:gridCol w:w="2410"/>
        <w:gridCol w:w="2410"/>
      </w:tblGrid>
      <w:tr>
        <w:tc>
          <w:tcPr>
            <w:tcW w:type="dxa" w:w="2410"/>
          </w:tcPr>
          <w:p>
            <w:r>
              <w:rPr>
                <w:rFonts w:ascii="UT Sans" w:hAnsi="UT Sans" w:cs="UT Sans"/>
                <w:b/>
                <w:i w:val="0"/>
                <w:sz w:val="22"/>
              </w:rPr>
              <w:t>Strategie Index</w:t>
            </w:r>
          </w:p>
        </w:tc>
        <w:tc>
          <w:tcPr>
            <w:tcW w:type="dxa" w:w="2410"/>
          </w:tcPr>
          <w:p>
            <w:r>
              <w:rPr>
                <w:rFonts w:ascii="UT Sans" w:hAnsi="UT Sans" w:cs="UT Sans"/>
                <w:b/>
                <w:i w:val="0"/>
                <w:sz w:val="22"/>
              </w:rPr>
              <w:t>Dimensiune</w:t>
            </w:r>
          </w:p>
        </w:tc>
        <w:tc>
          <w:tcPr>
            <w:tcW w:type="dxa" w:w="2410"/>
          </w:tcPr>
          <w:p>
            <w:r>
              <w:rPr>
                <w:rFonts w:ascii="UT Sans" w:hAnsi="UT Sans" w:cs="UT Sans"/>
                <w:b/>
                <w:i w:val="0"/>
                <w:sz w:val="22"/>
              </w:rPr>
              <w:t>Operatori Suportați</w:t>
            </w:r>
          </w:p>
        </w:tc>
        <w:tc>
          <w:tcPr>
            <w:tcW w:type="dxa" w:w="2410"/>
          </w:tcPr>
          <w:p>
            <w:r>
              <w:rPr>
                <w:rFonts w:ascii="UT Sans" w:hAnsi="UT Sans" w:cs="UT Sans"/>
                <w:b/>
                <w:i w:val="0"/>
                <w:sz w:val="22"/>
              </w:rPr>
              <w:t>Utilizare în AgriConnect</w:t>
            </w:r>
          </w:p>
        </w:tc>
      </w:tr>
      <w:tr>
        <w:tc>
          <w:tcPr>
            <w:tcW w:type="dxa" w:w="2410"/>
          </w:tcPr>
          <w:p>
            <w:r>
              <w:rPr>
                <w:rFonts w:ascii="UT Sans" w:hAnsi="UT Sans" w:cs="UT Sans"/>
                <w:b w:val="0"/>
                <w:i w:val="0"/>
                <w:sz w:val="22"/>
              </w:rPr>
              <w:t>B-tree (Standard)</w:t>
            </w:r>
          </w:p>
        </w:tc>
        <w:tc>
          <w:tcPr>
            <w:tcW w:type="dxa" w:w="2410"/>
          </w:tcPr>
          <w:p>
            <w:r>
              <w:rPr>
                <w:rFonts w:ascii="UT Sans" w:hAnsi="UT Sans" w:cs="UT Sans"/>
                <w:b w:val="0"/>
                <w:i w:val="0"/>
                <w:sz w:val="22"/>
              </w:rPr>
              <w:t>Compact</w:t>
            </w:r>
          </w:p>
        </w:tc>
        <w:tc>
          <w:tcPr>
            <w:tcW w:type="dxa" w:w="2410"/>
          </w:tcPr>
          <w:p>
            <w:r>
              <w:rPr>
                <w:rFonts w:ascii="UT Sans" w:hAnsi="UT Sans" w:cs="UT Sans"/>
                <w:b w:val="0"/>
                <w:i w:val="0"/>
                <w:sz w:val="22"/>
              </w:rPr>
              <w:t>=, &lt;, &gt;, BETWEEN</w:t>
            </w:r>
          </w:p>
        </w:tc>
        <w:tc>
          <w:tcPr>
            <w:tcW w:type="dxa" w:w="2410"/>
          </w:tcPr>
          <w:p>
            <w:r>
              <w:rPr>
                <w:rFonts w:ascii="UT Sans" w:hAnsi="UT Sans" w:cs="UT Sans"/>
                <w:b w:val="0"/>
                <w:i w:val="0"/>
                <w:sz w:val="22"/>
              </w:rPr>
              <w:t>Filtrare id, date, category [7]</w:t>
            </w:r>
          </w:p>
        </w:tc>
      </w:tr>
      <w:tr>
        <w:tc>
          <w:tcPr>
            <w:tcW w:type="dxa" w:w="2410"/>
          </w:tcPr>
          <w:p>
            <w:r>
              <w:rPr>
                <w:rFonts w:ascii="UT Sans" w:hAnsi="UT Sans" w:cs="UT Sans"/>
                <w:b w:val="0"/>
                <w:i w:val="0"/>
                <w:sz w:val="22"/>
              </w:rPr>
              <w:t>GIN (jsonb_ops)</w:t>
            </w:r>
          </w:p>
        </w:tc>
        <w:tc>
          <w:tcPr>
            <w:tcW w:type="dxa" w:w="2410"/>
          </w:tcPr>
          <w:p>
            <w:r>
              <w:rPr>
                <w:rFonts w:ascii="UT Sans" w:hAnsi="UT Sans" w:cs="UT Sans"/>
                <w:b w:val="0"/>
                <w:i w:val="0"/>
                <w:sz w:val="22"/>
              </w:rPr>
              <w:t>Mare</w:t>
            </w:r>
          </w:p>
        </w:tc>
        <w:tc>
          <w:tcPr>
            <w:tcW w:type="dxa" w:w="2410"/>
          </w:tcPr>
          <w:p>
            <w:r>
              <w:rPr>
                <w:rFonts w:ascii="UT Sans" w:hAnsi="UT Sans" w:cs="UT Sans"/>
                <w:b w:val="0"/>
                <w:i w:val="0"/>
                <w:sz w:val="22"/>
              </w:rPr>
              <w:t>@&gt;, ?, ?|, ?&amp;</w:t>
            </w:r>
          </w:p>
        </w:tc>
        <w:tc>
          <w:tcPr>
            <w:tcW w:type="dxa" w:w="2410"/>
          </w:tcPr>
          <w:p>
            <w:r>
              <w:rPr>
                <w:rFonts w:ascii="UT Sans" w:hAnsi="UT Sans" w:cs="UT Sans"/>
                <w:b w:val="0"/>
                <w:i w:val="0"/>
                <w:sz w:val="22"/>
              </w:rPr>
              <w:t>Filtrare generală atribute [7]</w:t>
            </w:r>
          </w:p>
        </w:tc>
      </w:tr>
      <w:tr>
        <w:tc>
          <w:tcPr>
            <w:tcW w:type="dxa" w:w="2410"/>
          </w:tcPr>
          <w:p>
            <w:r>
              <w:rPr>
                <w:rFonts w:ascii="UT Sans" w:hAnsi="UT Sans" w:cs="UT Sans"/>
                <w:b w:val="0"/>
                <w:i w:val="0"/>
                <w:sz w:val="22"/>
              </w:rPr>
              <w:t>GIN (jsonb_path_ops)</w:t>
            </w:r>
          </w:p>
        </w:tc>
        <w:tc>
          <w:tcPr>
            <w:tcW w:type="dxa" w:w="2410"/>
          </w:tcPr>
          <w:p>
            <w:r>
              <w:rPr>
                <w:rFonts w:ascii="UT Sans" w:hAnsi="UT Sans" w:cs="UT Sans"/>
                <w:b w:val="0"/>
                <w:i w:val="0"/>
                <w:sz w:val="22"/>
              </w:rPr>
              <w:t>~50% mai mic</w:t>
            </w:r>
          </w:p>
        </w:tc>
        <w:tc>
          <w:tcPr>
            <w:tcW w:type="dxa" w:w="2410"/>
          </w:tcPr>
          <w:p>
            <w:r>
              <w:rPr>
                <w:rFonts w:ascii="UT Sans" w:hAnsi="UT Sans" w:cs="UT Sans"/>
                <w:b w:val="0"/>
                <w:i w:val="0"/>
                <w:sz w:val="22"/>
              </w:rPr>
              <w:t>Doar @&gt;</w:t>
            </w:r>
          </w:p>
        </w:tc>
        <w:tc>
          <w:tcPr>
            <w:tcW w:type="dxa" w:w="2410"/>
          </w:tcPr>
          <w:p>
            <w:r>
              <w:rPr>
                <w:rFonts w:ascii="UT Sans" w:hAnsi="UT Sans" w:cs="UT Sans"/>
                <w:b w:val="0"/>
                <w:i w:val="0"/>
                <w:sz w:val="22"/>
              </w:rPr>
              <w:t>Filtrare performantă calitate [8]</w:t>
            </w:r>
          </w:p>
        </w:tc>
      </w:tr>
      <w:tr>
        <w:tc>
          <w:tcPr>
            <w:tcW w:type="dxa" w:w="2410"/>
          </w:tcPr>
          <w:p>
            <w:r>
              <w:rPr>
                <w:rFonts w:ascii="UT Sans" w:hAnsi="UT Sans" w:cs="UT Sans"/>
                <w:b w:val="0"/>
                <w:i w:val="0"/>
                <w:sz w:val="22"/>
              </w:rPr>
              <w:t>Expression Index</w:t>
            </w:r>
          </w:p>
        </w:tc>
        <w:tc>
          <w:tcPr>
            <w:tcW w:type="dxa" w:w="2410"/>
          </w:tcPr>
          <w:p>
            <w:r>
              <w:rPr>
                <w:rFonts w:ascii="UT Sans" w:hAnsi="UT Sans" w:cs="UT Sans"/>
                <w:b w:val="0"/>
                <w:i w:val="0"/>
                <w:sz w:val="22"/>
              </w:rPr>
              <w:t>Compact</w:t>
            </w:r>
          </w:p>
        </w:tc>
        <w:tc>
          <w:tcPr>
            <w:tcW w:type="dxa" w:w="2410"/>
          </w:tcPr>
          <w:p>
            <w:r>
              <w:rPr>
                <w:rFonts w:ascii="UT Sans" w:hAnsi="UT Sans" w:cs="UT Sans"/>
                <w:b w:val="0"/>
                <w:i w:val="0"/>
                <w:sz w:val="22"/>
              </w:rPr>
              <w:t>=, &lt;, &gt;</w:t>
            </w:r>
          </w:p>
        </w:tc>
        <w:tc>
          <w:tcPr>
            <w:tcW w:type="dxa" w:w="2410"/>
          </w:tcPr>
          <w:p>
            <w:r>
              <w:rPr>
                <w:rFonts w:ascii="UT Sans" w:hAnsi="UT Sans" w:cs="UT Sans"/>
                <w:b w:val="0"/>
                <w:i w:val="0"/>
                <w:sz w:val="22"/>
              </w:rPr>
              <w:t>Ultra-rapid pe câmpuri specifice [6]</w:t>
            </w:r>
          </w:p>
        </w:tc>
      </w:tr>
    </w:tbl>
    <w:p>
      <w:pPr>
        <w:spacing w:line="360" w:lineRule="auto" w:after="80"/>
        <w:jc w:val="both"/>
      </w:pPr>
      <w:r>
        <w:rPr>
          <w:rFonts w:ascii="UT Sans" w:hAnsi="UT Sans" w:cs="UT Sans"/>
          <w:b w:val="0"/>
          <w:i w:val="0"/>
          <w:sz w:val="24"/>
        </w:rPr>
      </w:r>
    </w:p>
    <w:p>
      <w:pPr>
        <w:spacing w:line="360" w:lineRule="auto"/>
        <w:jc w:val="both"/>
      </w:pPr>
      <w:r>
        <w:rPr>
          <w:rFonts w:ascii="UT Sans" w:hAnsi="UT Sans" w:cs="UT Sans"/>
          <w:b w:val="0"/>
          <w:i w:val="0"/>
          <w:sz w:val="24"/>
        </w:rPr>
        <w:t>Implementarea GIN în PostgreSQL include tehnica "Fast Update", care utilizează o listă de așteptare pentru a bufferiza intrările noi [8]. Această îmbunătățește semnificativ vitezele INSERT și UPDATE, vital pentru o platformă unde prețurile și disponibilitatea se schimbă frecvent [8]. Totuși, o listă de așteptare mare poate încetini interogările SELECT, necesitând o configurare atentă a parametrului gin_pending_list_limit [6].</w:t>
      </w:r>
    </w:p>
    <w:p>
      <w:pPr>
        <w:pStyle w:val="Heading3"/>
        <w:keepNext/>
        <w:keepLines/>
        <w:spacing w:before="200" w:after="0" w:line="360" w:lineRule="auto"/>
        <w:jc w:val="both"/>
      </w:pPr>
      <w:r>
        <w:rPr>
          <w:rFonts w:ascii="UT Sans" w:hAnsi="UT Sans" w:cs="UT Sans"/>
          <w:b/>
          <w:i w:val="0"/>
          <w:sz w:val="22"/>
        </w:rPr>
        <w:t>2.3.3 Validare JSON Schema și Auditare</w:t>
      </w:r>
    </w:p>
    <w:p>
      <w:pPr>
        <w:spacing w:line="360" w:lineRule="auto"/>
        <w:jc w:val="both"/>
      </w:pPr>
      <w:r>
        <w:rPr>
          <w:rFonts w:ascii="UT Sans" w:hAnsi="UT Sans" w:cs="UT Sans"/>
          <w:b w:val="0"/>
          <w:i w:val="0"/>
          <w:sz w:val="24"/>
        </w:rPr>
        <w:t>Flexibilitatea JSONB poate duce la probleme de integritate a datelor dacă nu este gestionată corect. PostgreSQL 17 abordează aceasta prin introducerea funcțiilor native pentru validare JSON, precum IS JSON, și prin permiterea aplicării JSON Schema în constrângeri CHECK [8]. Aceasta asigură că datele invalide nu ajung niciodată la stratul de persistență, o cerință critică pentru domenii sensibile precum KYC [8].</w:t>
      </w:r>
    </w:p>
    <w:p>
      <w:pPr>
        <w:spacing w:line="360" w:lineRule="auto"/>
        <w:jc w:val="both"/>
      </w:pPr>
      <w:r>
        <w:rPr>
          <w:rFonts w:ascii="UT Sans" w:hAnsi="UT Sans" w:cs="UT Sans"/>
          <w:b w:val="0"/>
          <w:i w:val="0"/>
          <w:sz w:val="24"/>
        </w:rPr>
        <w:t>JSONB este formatul ideal pentru audit trails. O singură tabelă de audit poate stoca old_data și new_data ale oricărei tabele din baza de date ca blob-uri JSONB, permițând reconstrucția istorică complexă prin operatori SQL standard [8]. Această abordare oferă un mecanism universal de auditare care supraviețuiește schimbărilor de schemă și gestionează structuri de date polimorfe fără a necesita coloane suplimentare [8].</w:t>
      </w:r>
    </w:p>
    <w:p>
      <w:pPr>
        <w:pStyle w:val="Heading2"/>
        <w:keepNext/>
        <w:keepLines/>
        <w:spacing w:before="360" w:after="0" w:line="360" w:lineRule="auto"/>
        <w:jc w:val="both"/>
      </w:pPr>
      <w:r>
        <w:rPr>
          <w:rFonts w:ascii="UT Sans" w:hAnsi="UT Sans" w:cs="UT Sans"/>
          <w:b/>
          <w:i w:val="0"/>
          <w:sz w:val="28"/>
        </w:rPr>
        <w:t>2.4 Frontend: React 19 și State Management Modern</w:t>
      </w:r>
    </w:p>
    <w:p>
      <w:pPr>
        <w:pStyle w:val="Heading3"/>
        <w:keepNext/>
        <w:keepLines/>
        <w:spacing w:before="200" w:after="0" w:line="360" w:lineRule="auto"/>
        <w:jc w:val="both"/>
      </w:pPr>
      <w:r>
        <w:rPr>
          <w:rFonts w:ascii="UT Sans" w:hAnsi="UT Sans" w:cs="UT Sans"/>
          <w:b/>
          <w:i w:val="0"/>
          <w:sz w:val="22"/>
        </w:rPr>
        <w:t>2.4.1 React Server Components și paradigma 2026</w:t>
      </w:r>
    </w:p>
    <w:p>
      <w:pPr>
        <w:spacing w:line="360" w:lineRule="auto"/>
        <w:jc w:val="both"/>
      </w:pPr>
      <w:r>
        <w:rPr>
          <w:rFonts w:ascii="UT Sans" w:hAnsi="UT Sans" w:cs="UT Sans"/>
          <w:b w:val="0"/>
          <w:i w:val="0"/>
          <w:sz w:val="24"/>
        </w:rPr>
        <w:t>Arhitectura frontend din 2026 s-a îndepărtat de mentalitatea "Redux pentru orice" către o abordare mai nuanțată, multi-stratificată a stării [8]. Aplicațiile React SPA categorisesc acum starea în patru tipuri distincte, fiecare necesitând o strategie de management diferită: stare UI locală (useState), stare complexă coordonată (useReducer), stare client globală (Context/Zustand) și stare server (TanStack Query/SWR) [8].</w:t>
      </w:r>
    </w:p>
    <w:p>
      <w:pPr>
        <w:spacing w:line="360" w:lineRule="auto"/>
        <w:jc w:val="both"/>
      </w:pPr>
      <w:r>
        <w:rPr>
          <w:rFonts w:ascii="UT Sans" w:hAnsi="UT Sans" w:cs="UT Sans"/>
          <w:b w:val="0"/>
          <w:i w:val="0"/>
          <w:sz w:val="24"/>
        </w:rPr>
        <w:t>Lansarea React 19 și maturizarea React Server Components (RSC) au schimbat fundamental locul unde rezidă starea [8]. Permițând componentelor să acceseze date pe server și să le transmită prin streaming către client, RSC-urile elimină necesitatea multor boilerplate tradițional asociat cu data fetching în SPA-uri [8]. React 19 introduce "Actions" — o modalitate de a gestiona mutațiile de date care gestionează automat stările de pending și error handling. Hook-ul useOptimistic permite dezvoltatorilor să ofere feedback UI instant în timp ce o cerere asincronă este în curs, cu rollback automat al stării dacă cererea eșuează [9].</w:t>
      </w:r>
    </w:p>
    <w:p>
      <w:pPr>
        <w:pStyle w:val="Heading3"/>
        <w:keepNext/>
        <w:keepLines/>
        <w:spacing w:before="200" w:after="0" w:line="360" w:lineRule="auto"/>
        <w:jc w:val="both"/>
      </w:pPr>
      <w:r>
        <w:rPr>
          <w:rFonts w:ascii="UT Sans" w:hAnsi="UT Sans" w:cs="UT Sans"/>
          <w:b/>
          <w:i w:val="0"/>
          <w:sz w:val="22"/>
        </w:rPr>
        <w:t>2.4.2 Context API vs. Zustand: problema re-render-ului</w:t>
      </w:r>
    </w:p>
    <w:p>
      <w:pPr>
        <w:spacing w:line="360" w:lineRule="auto"/>
        <w:jc w:val="both"/>
      </w:pPr>
      <w:r>
        <w:rPr>
          <w:rFonts w:ascii="UT Sans" w:hAnsi="UT Sans" w:cs="UT Sans"/>
          <w:b w:val="0"/>
          <w:i w:val="0"/>
          <w:sz w:val="24"/>
        </w:rPr>
        <w:t>Context API-ul built-in al React este adesea prima alegere pentru partajarea stării între componente fără "prop drilling" [9]. Deși eficient pentru date care se schimbă rar, precum teme sau setări de localizare, Context API nu este un instrument optimizat de state management [8]. Limitarea sa principală este "problema re-render-ului": când o valoare de context se schimbă, fiecare componentă care consumă acel context este forțată să se re-rendeze, chiar dacă folosește doar o porțiune a stării care a rămas neschimbată [9].</w:t>
      </w:r>
    </w:p>
    <w:p>
      <w:pPr>
        <w:spacing w:line="360" w:lineRule="auto"/>
        <w:jc w:val="both"/>
      </w:pPr>
      <w:r>
        <w:rPr>
          <w:rFonts w:ascii="UT Sans" w:hAnsi="UT Sans" w:cs="UT Sans"/>
          <w:b w:val="0"/>
          <w:i w:val="0"/>
          <w:sz w:val="24"/>
        </w:rPr>
        <w:t>Pentru actualizări de înaltă frecvență sau slice-uri complexe de stare, biblioteci precum Zustand sau Jotai sunt preferate [8]. Zustand utilizează selectori pentru a asigura re-render-uri granulare — componentele se re-rendează doar când slice-ul specific de stare la care sunt abonate se schimbă, nu la orice modificare a store-ului global [8].</w:t>
      </w:r>
    </w:p>
    <w:p>
      <w:pPr>
        <w:spacing w:after="40"/>
      </w:pPr>
    </w:p>
    <w:p>
      <w:pPr>
        <w:spacing w:before="0" w:after="0" w:line="240" w:lineRule="auto"/>
        <w:ind w:left="400"/>
      </w:pPr>
      <w:r>
        <w:rPr>
          <w:rFonts w:ascii="Courier New" w:hAnsi="Courier New" w:cs="Courier New"/>
          <w:sz w:val="19"/>
        </w:rPr>
        <w:t>import { create } from 'zustand';</w:t>
      </w:r>
    </w:p>
    <w:p>
      <w:pPr>
        <w:spacing w:before="0" w:after="0" w:line="240" w:lineRule="auto"/>
        <w:ind w:left="400"/>
      </w:pPr>
      <w:r>
        <w:rPr>
          <w:rFonts w:ascii="Courier New" w:hAnsi="Courier New" w:cs="Courier New"/>
          <w:sz w:val="19"/>
        </w:rPr>
        <w:t>import { devtools, persist } from 'zustand/middleware';</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interface MarketState {</w:t>
      </w:r>
    </w:p>
    <w:p>
      <w:pPr>
        <w:spacing w:before="0" w:after="0" w:line="240" w:lineRule="auto"/>
        <w:ind w:left="400"/>
      </w:pPr>
      <w:r>
        <w:rPr>
          <w:rFonts w:ascii="Courier New" w:hAnsi="Courier New" w:cs="Courier New"/>
          <w:sz w:val="19"/>
        </w:rPr>
        <w:t xml:space="preserve">  searchQuery: string;</w:t>
      </w:r>
    </w:p>
    <w:p>
      <w:pPr>
        <w:spacing w:before="0" w:after="0" w:line="240" w:lineRule="auto"/>
        <w:ind w:left="400"/>
      </w:pPr>
      <w:r>
        <w:rPr>
          <w:rFonts w:ascii="Courier New" w:hAnsi="Courier New" w:cs="Courier New"/>
          <w:sz w:val="19"/>
        </w:rPr>
        <w:t xml:space="preserve">  activeFilters: Record&lt;string, any&gt;;</w:t>
      </w:r>
    </w:p>
    <w:p>
      <w:pPr>
        <w:spacing w:before="0" w:after="0" w:line="240" w:lineRule="auto"/>
        <w:ind w:left="400"/>
      </w:pPr>
      <w:r>
        <w:rPr>
          <w:rFonts w:ascii="Courier New" w:hAnsi="Courier New" w:cs="Courier New"/>
          <w:sz w:val="19"/>
        </w:rPr>
        <w:t xml:space="preserve">  selectedListing: string | null;</w:t>
      </w:r>
    </w:p>
    <w:p>
      <w:pPr>
        <w:spacing w:before="0" w:after="0" w:line="240" w:lineRule="auto"/>
        <w:ind w:left="400"/>
      </w:pPr>
      <w:r>
        <w:rPr>
          <w:rFonts w:ascii="Courier New" w:hAnsi="Courier New" w:cs="Courier New"/>
          <w:sz w:val="19"/>
        </w:rPr>
        <w:t xml:space="preserve">  setSearchQuery: (query: string) =&gt; void;</w:t>
      </w:r>
    </w:p>
    <w:p>
      <w:pPr>
        <w:spacing w:before="0" w:after="0" w:line="240" w:lineRule="auto"/>
        <w:ind w:left="400"/>
      </w:pPr>
      <w:r>
        <w:rPr>
          <w:rFonts w:ascii="Courier New" w:hAnsi="Courier New" w:cs="Courier New"/>
          <w:sz w:val="19"/>
        </w:rPr>
        <w:t xml:space="preserve">  setFilter: (key: string, value: any) =&gt; void;</w:t>
      </w:r>
    </w:p>
    <w:p>
      <w:pPr>
        <w:spacing w:before="0" w:after="0" w:line="240" w:lineRule="auto"/>
        <w:ind w:left="400"/>
      </w:pPr>
      <w:r>
        <w:rPr>
          <w:rFonts w:ascii="Courier New" w:hAnsi="Courier New" w:cs="Courier New"/>
          <w:sz w:val="19"/>
        </w:rPr>
        <w:t xml:space="preserve">  clearFilters: () =&gt; void;</w:t>
      </w:r>
    </w:p>
    <w:p>
      <w:pPr>
        <w:spacing w:before="0" w:after="0" w:line="240" w:lineRule="auto"/>
        <w:ind w:left="400"/>
      </w:pPr>
      <w:r>
        <w:rPr>
          <w:rFonts w:ascii="Courier New" w:hAnsi="Courier New" w:cs="Courier New"/>
          <w:sz w:val="19"/>
        </w:rPr>
        <w:t>}</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export const useMarketStore = create&lt;MarketState&gt;()(</w:t>
      </w:r>
    </w:p>
    <w:p>
      <w:pPr>
        <w:spacing w:before="0" w:after="0" w:line="240" w:lineRule="auto"/>
        <w:ind w:left="400"/>
      </w:pPr>
      <w:r>
        <w:rPr>
          <w:rFonts w:ascii="Courier New" w:hAnsi="Courier New" w:cs="Courier New"/>
          <w:sz w:val="19"/>
        </w:rPr>
        <w:t xml:space="preserve">  devtools(</w:t>
      </w:r>
    </w:p>
    <w:p>
      <w:pPr>
        <w:spacing w:before="0" w:after="0" w:line="240" w:lineRule="auto"/>
        <w:ind w:left="400"/>
      </w:pPr>
      <w:r>
        <w:rPr>
          <w:rFonts w:ascii="Courier New" w:hAnsi="Courier New" w:cs="Courier New"/>
          <w:sz w:val="19"/>
        </w:rPr>
        <w:t xml:space="preserve">    persist(</w:t>
      </w:r>
    </w:p>
    <w:p>
      <w:pPr>
        <w:spacing w:before="0" w:after="0" w:line="240" w:lineRule="auto"/>
        <w:ind w:left="400"/>
      </w:pPr>
      <w:r>
        <w:rPr>
          <w:rFonts w:ascii="Courier New" w:hAnsi="Courier New" w:cs="Courier New"/>
          <w:sz w:val="19"/>
        </w:rPr>
        <w:t xml:space="preserve">      (set) =&gt; ({</w:t>
      </w:r>
    </w:p>
    <w:p>
      <w:pPr>
        <w:spacing w:before="0" w:after="0" w:line="240" w:lineRule="auto"/>
        <w:ind w:left="400"/>
      </w:pPr>
      <w:r>
        <w:rPr>
          <w:rFonts w:ascii="Courier New" w:hAnsi="Courier New" w:cs="Courier New"/>
          <w:sz w:val="19"/>
        </w:rPr>
        <w:t xml:space="preserve">        searchQuery: '',</w:t>
      </w:r>
    </w:p>
    <w:p>
      <w:pPr>
        <w:spacing w:before="0" w:after="0" w:line="240" w:lineRule="auto"/>
        <w:ind w:left="400"/>
      </w:pPr>
      <w:r>
        <w:rPr>
          <w:rFonts w:ascii="Courier New" w:hAnsi="Courier New" w:cs="Courier New"/>
          <w:sz w:val="19"/>
        </w:rPr>
        <w:t xml:space="preserve">        activeFilters: {},</w:t>
      </w:r>
    </w:p>
    <w:p>
      <w:pPr>
        <w:spacing w:before="0" w:after="0" w:line="240" w:lineRule="auto"/>
        <w:ind w:left="400"/>
      </w:pPr>
      <w:r>
        <w:rPr>
          <w:rFonts w:ascii="Courier New" w:hAnsi="Courier New" w:cs="Courier New"/>
          <w:sz w:val="19"/>
        </w:rPr>
        <w:t xml:space="preserve">        selectedListing: null,</w:t>
      </w:r>
    </w:p>
    <w:p>
      <w:pPr>
        <w:spacing w:before="0" w:after="0" w:line="240" w:lineRule="auto"/>
        <w:ind w:left="400"/>
      </w:pPr>
      <w:r>
        <w:rPr>
          <w:rFonts w:ascii="Courier New" w:hAnsi="Courier New" w:cs="Courier New"/>
          <w:sz w:val="19"/>
        </w:rPr>
        <w:t xml:space="preserve">        setSearchQuery: (query) =&gt; set({ searchQuery: query }),</w:t>
      </w:r>
    </w:p>
    <w:p>
      <w:pPr>
        <w:spacing w:before="0" w:after="0" w:line="240" w:lineRule="auto"/>
        <w:ind w:left="400"/>
      </w:pPr>
      <w:r>
        <w:rPr>
          <w:rFonts w:ascii="Courier New" w:hAnsi="Courier New" w:cs="Courier New"/>
          <w:sz w:val="19"/>
        </w:rPr>
        <w:t xml:space="preserve">        setFilter: (key, value) =&gt; set((state) =&gt; ({</w:t>
      </w:r>
    </w:p>
    <w:p>
      <w:pPr>
        <w:spacing w:before="0" w:after="0" w:line="240" w:lineRule="auto"/>
        <w:ind w:left="400"/>
      </w:pPr>
      <w:r>
        <w:rPr>
          <w:rFonts w:ascii="Courier New" w:hAnsi="Courier New" w:cs="Courier New"/>
          <w:sz w:val="19"/>
        </w:rPr>
        <w:t xml:space="preserve">          activeFilters: { ...state.activeFilters, [key]: value }</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clearFilters: () =&gt; set({ activeFilters: {} })</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 name: 'market-storage' }</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w:t>
      </w:r>
    </w:p>
    <w:p>
      <w:pPr>
        <w:spacing w:before="120"/>
      </w:pPr>
    </w:p>
    <w:p>
      <w:pPr>
        <w:spacing w:line="360" w:lineRule="auto"/>
        <w:jc w:val="both"/>
      </w:pPr>
      <w:r>
        <w:rPr>
          <w:rFonts w:ascii="UT Sans" w:hAnsi="UT Sans" w:cs="UT Sans"/>
          <w:b w:val="0"/>
          <w:i w:val="0"/>
          <w:sz w:val="24"/>
        </w:rPr>
        <w:t>Zustand permite componentelor să se aboneze exclusiv la părțile relevante de stare (ex: `const searchQuery = useMarketStore(state =&gt; state.searchQuery)`). Orice modificare a filtrelor active nu va re-randa bara de căutare, ceea ce constituie o diferență fundamentală de optimizare arhitecturală față de Context API.</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r>
              <w:rPr>
                <w:rFonts w:ascii="UT Sans" w:hAnsi="UT Sans" w:cs="UT Sans"/>
                <w:b/>
                <w:i w:val="0"/>
                <w:sz w:val="22"/>
              </w:rPr>
              <w:t>Instrument</w:t>
            </w:r>
          </w:p>
        </w:tc>
        <w:tc>
          <w:tcPr>
            <w:tcW w:type="dxa" w:w="1928"/>
          </w:tcPr>
          <w:p>
            <w:r>
              <w:rPr>
                <w:rFonts w:ascii="UT Sans" w:hAnsi="UT Sans" w:cs="UT Sans"/>
                <w:b/>
                <w:i w:val="0"/>
                <w:sz w:val="22"/>
              </w:rPr>
              <w:t>Tip Stare</w:t>
            </w:r>
          </w:p>
        </w:tc>
        <w:tc>
          <w:tcPr>
            <w:tcW w:type="dxa" w:w="1928"/>
          </w:tcPr>
          <w:p>
            <w:r>
              <w:rPr>
                <w:rFonts w:ascii="UT Sans" w:hAnsi="UT Sans" w:cs="UT Sans"/>
                <w:b/>
                <w:i w:val="0"/>
                <w:sz w:val="22"/>
              </w:rPr>
              <w:t>Re-render</w:t>
            </w:r>
          </w:p>
        </w:tc>
        <w:tc>
          <w:tcPr>
            <w:tcW w:type="dxa" w:w="1928"/>
          </w:tcPr>
          <w:p>
            <w:r>
              <w:rPr>
                <w:rFonts w:ascii="UT Sans" w:hAnsi="UT Sans" w:cs="UT Sans"/>
                <w:b/>
                <w:i w:val="0"/>
                <w:sz w:val="22"/>
              </w:rPr>
              <w:t>Complexitate</w:t>
            </w:r>
          </w:p>
        </w:tc>
        <w:tc>
          <w:tcPr>
            <w:tcW w:type="dxa" w:w="1928"/>
          </w:tcPr>
          <w:p>
            <w:r>
              <w:rPr>
                <w:rFonts w:ascii="UT Sans" w:hAnsi="UT Sans" w:cs="UT Sans"/>
                <w:b/>
                <w:i w:val="0"/>
                <w:sz w:val="22"/>
              </w:rPr>
              <w:t>Caz de Utilizare AgriConnect</w:t>
            </w:r>
          </w:p>
        </w:tc>
      </w:tr>
      <w:tr>
        <w:tc>
          <w:tcPr>
            <w:tcW w:type="dxa" w:w="1928"/>
          </w:tcPr>
          <w:p>
            <w:r>
              <w:rPr>
                <w:rFonts w:ascii="UT Sans" w:hAnsi="UT Sans" w:cs="UT Sans"/>
                <w:b w:val="0"/>
                <w:i w:val="0"/>
                <w:sz w:val="22"/>
              </w:rPr>
              <w:t>useState</w:t>
            </w:r>
          </w:p>
        </w:tc>
        <w:tc>
          <w:tcPr>
            <w:tcW w:type="dxa" w:w="1928"/>
          </w:tcPr>
          <w:p>
            <w:r>
              <w:rPr>
                <w:rFonts w:ascii="UT Sans" w:hAnsi="UT Sans" w:cs="UT Sans"/>
                <w:b w:val="0"/>
                <w:i w:val="0"/>
                <w:sz w:val="22"/>
              </w:rPr>
              <w:t>UI Local</w:t>
            </w:r>
          </w:p>
        </w:tc>
        <w:tc>
          <w:tcPr>
            <w:tcW w:type="dxa" w:w="1928"/>
          </w:tcPr>
          <w:p>
            <w:r>
              <w:rPr>
                <w:rFonts w:ascii="UT Sans" w:hAnsi="UT Sans" w:cs="UT Sans"/>
                <w:b w:val="0"/>
                <w:i w:val="0"/>
                <w:sz w:val="22"/>
              </w:rPr>
              <w:t>Țintit</w:t>
            </w:r>
          </w:p>
        </w:tc>
        <w:tc>
          <w:tcPr>
            <w:tcW w:type="dxa" w:w="1928"/>
          </w:tcPr>
          <w:p>
            <w:r>
              <w:rPr>
                <w:rFonts w:ascii="UT Sans" w:hAnsi="UT Sans" w:cs="UT Sans"/>
                <w:b w:val="0"/>
                <w:i w:val="0"/>
                <w:sz w:val="22"/>
              </w:rPr>
              <w:t>F. Scăzută [8]</w:t>
            </w:r>
          </w:p>
        </w:tc>
        <w:tc>
          <w:tcPr>
            <w:tcW w:type="dxa" w:w="1928"/>
          </w:tcPr>
          <w:p>
            <w:r>
              <w:rPr>
                <w:rFonts w:ascii="UT Sans" w:hAnsi="UT Sans" w:cs="UT Sans"/>
                <w:b w:val="0"/>
                <w:i w:val="0"/>
                <w:sz w:val="22"/>
              </w:rPr>
              <w:t>Toggle-uri, form inputs</w:t>
            </w:r>
          </w:p>
        </w:tc>
      </w:tr>
      <w:tr>
        <w:tc>
          <w:tcPr>
            <w:tcW w:type="dxa" w:w="1928"/>
          </w:tcPr>
          <w:p>
            <w:r>
              <w:rPr>
                <w:rFonts w:ascii="UT Sans" w:hAnsi="UT Sans" w:cs="UT Sans"/>
                <w:b w:val="0"/>
                <w:i w:val="0"/>
                <w:sz w:val="22"/>
              </w:rPr>
              <w:t>useReducer</w:t>
            </w:r>
          </w:p>
        </w:tc>
        <w:tc>
          <w:tcPr>
            <w:tcW w:type="dxa" w:w="1928"/>
          </w:tcPr>
          <w:p>
            <w:r>
              <w:rPr>
                <w:rFonts w:ascii="UT Sans" w:hAnsi="UT Sans" w:cs="UT Sans"/>
                <w:b w:val="0"/>
                <w:i w:val="0"/>
                <w:sz w:val="22"/>
              </w:rPr>
              <w:t>UI Coordonat</w:t>
            </w:r>
          </w:p>
        </w:tc>
        <w:tc>
          <w:tcPr>
            <w:tcW w:type="dxa" w:w="1928"/>
          </w:tcPr>
          <w:p>
            <w:r>
              <w:rPr>
                <w:rFonts w:ascii="UT Sans" w:hAnsi="UT Sans" w:cs="UT Sans"/>
                <w:b w:val="0"/>
                <w:i w:val="0"/>
                <w:sz w:val="22"/>
              </w:rPr>
              <w:t>Țintit</w:t>
            </w:r>
          </w:p>
        </w:tc>
        <w:tc>
          <w:tcPr>
            <w:tcW w:type="dxa" w:w="1928"/>
          </w:tcPr>
          <w:p>
            <w:r>
              <w:rPr>
                <w:rFonts w:ascii="UT Sans" w:hAnsi="UT Sans" w:cs="UT Sans"/>
                <w:b w:val="0"/>
                <w:i w:val="0"/>
                <w:sz w:val="22"/>
              </w:rPr>
              <w:t>Medie [8]</w:t>
            </w:r>
          </w:p>
        </w:tc>
        <w:tc>
          <w:tcPr>
            <w:tcW w:type="dxa" w:w="1928"/>
          </w:tcPr>
          <w:p>
            <w:r>
              <w:rPr>
                <w:rFonts w:ascii="UT Sans" w:hAnsi="UT Sans" w:cs="UT Sans"/>
                <w:b w:val="0"/>
                <w:i w:val="0"/>
                <w:sz w:val="22"/>
              </w:rPr>
              <w:t>Stări complexe formulare</w:t>
            </w:r>
          </w:p>
        </w:tc>
      </w:tr>
      <w:tr>
        <w:tc>
          <w:tcPr>
            <w:tcW w:type="dxa" w:w="1928"/>
          </w:tcPr>
          <w:p>
            <w:r>
              <w:rPr>
                <w:rFonts w:ascii="UT Sans" w:hAnsi="UT Sans" w:cs="UT Sans"/>
                <w:b w:val="0"/>
                <w:i w:val="0"/>
                <w:sz w:val="22"/>
              </w:rPr>
              <w:t>Context API</w:t>
            </w:r>
          </w:p>
        </w:tc>
        <w:tc>
          <w:tcPr>
            <w:tcW w:type="dxa" w:w="1928"/>
          </w:tcPr>
          <w:p>
            <w:r>
              <w:rPr>
                <w:rFonts w:ascii="UT Sans" w:hAnsi="UT Sans" w:cs="UT Sans"/>
                <w:b w:val="0"/>
                <w:i w:val="0"/>
                <w:sz w:val="22"/>
              </w:rPr>
              <w:t>Global Static</w:t>
            </w:r>
          </w:p>
        </w:tc>
        <w:tc>
          <w:tcPr>
            <w:tcW w:type="dxa" w:w="1928"/>
          </w:tcPr>
          <w:p>
            <w:r>
              <w:rPr>
                <w:rFonts w:ascii="UT Sans" w:hAnsi="UT Sans" w:cs="UT Sans"/>
                <w:b w:val="0"/>
                <w:i w:val="0"/>
                <w:sz w:val="22"/>
              </w:rPr>
              <w:t>Cascadare</w:t>
            </w:r>
          </w:p>
        </w:tc>
        <w:tc>
          <w:tcPr>
            <w:tcW w:type="dxa" w:w="1928"/>
          </w:tcPr>
          <w:p>
            <w:r>
              <w:rPr>
                <w:rFonts w:ascii="UT Sans" w:hAnsi="UT Sans" w:cs="UT Sans"/>
                <w:b w:val="0"/>
                <w:i w:val="0"/>
                <w:sz w:val="22"/>
              </w:rPr>
              <w:t>Scăzută [9]</w:t>
            </w:r>
          </w:p>
        </w:tc>
        <w:tc>
          <w:tcPr>
            <w:tcW w:type="dxa" w:w="1928"/>
          </w:tcPr>
          <w:p>
            <w:r>
              <w:rPr>
                <w:rFonts w:ascii="UT Sans" w:hAnsi="UT Sans" w:cs="UT Sans"/>
                <w:b w:val="0"/>
                <w:i w:val="0"/>
                <w:sz w:val="22"/>
              </w:rPr>
              <w:t>Tema, limba, auth state</w:t>
            </w:r>
          </w:p>
        </w:tc>
      </w:tr>
      <w:tr>
        <w:tc>
          <w:tcPr>
            <w:tcW w:type="dxa" w:w="1928"/>
          </w:tcPr>
          <w:p>
            <w:r>
              <w:rPr>
                <w:rFonts w:ascii="UT Sans" w:hAnsi="UT Sans" w:cs="UT Sans"/>
                <w:b w:val="0"/>
                <w:i w:val="0"/>
                <w:sz w:val="22"/>
              </w:rPr>
              <w:t>Zustand</w:t>
            </w:r>
          </w:p>
        </w:tc>
        <w:tc>
          <w:tcPr>
            <w:tcW w:type="dxa" w:w="1928"/>
          </w:tcPr>
          <w:p>
            <w:r>
              <w:rPr>
                <w:rFonts w:ascii="UT Sans" w:hAnsi="UT Sans" w:cs="UT Sans"/>
                <w:b w:val="0"/>
                <w:i w:val="0"/>
                <w:sz w:val="22"/>
              </w:rPr>
              <w:t>Global Dinamic</w:t>
            </w:r>
          </w:p>
        </w:tc>
        <w:tc>
          <w:tcPr>
            <w:tcW w:type="dxa" w:w="1928"/>
          </w:tcPr>
          <w:p>
            <w:r>
              <w:rPr>
                <w:rFonts w:ascii="UT Sans" w:hAnsi="UT Sans" w:cs="UT Sans"/>
                <w:b w:val="0"/>
                <w:i w:val="0"/>
                <w:sz w:val="22"/>
              </w:rPr>
              <w:t>Selectiv</w:t>
            </w:r>
          </w:p>
        </w:tc>
        <w:tc>
          <w:tcPr>
            <w:tcW w:type="dxa" w:w="1928"/>
          </w:tcPr>
          <w:p>
            <w:r>
              <w:rPr>
                <w:rFonts w:ascii="UT Sans" w:hAnsi="UT Sans" w:cs="UT Sans"/>
                <w:b w:val="0"/>
                <w:i w:val="0"/>
                <w:sz w:val="22"/>
              </w:rPr>
              <w:t>Scăzută [8]</w:t>
            </w:r>
          </w:p>
        </w:tc>
        <w:tc>
          <w:tcPr>
            <w:tcW w:type="dxa" w:w="1928"/>
          </w:tcPr>
          <w:p>
            <w:r>
              <w:rPr>
                <w:rFonts w:ascii="UT Sans" w:hAnsi="UT Sans" w:cs="UT Sans"/>
                <w:b w:val="0"/>
                <w:i w:val="0"/>
                <w:sz w:val="22"/>
              </w:rPr>
              <w:t>Cart, filtre piață</w:t>
            </w:r>
          </w:p>
        </w:tc>
      </w:tr>
      <w:tr>
        <w:tc>
          <w:tcPr>
            <w:tcW w:type="dxa" w:w="1928"/>
          </w:tcPr>
          <w:p>
            <w:r>
              <w:rPr>
                <w:rFonts w:ascii="UT Sans" w:hAnsi="UT Sans" w:cs="UT Sans"/>
                <w:b w:val="0"/>
                <w:i w:val="0"/>
                <w:sz w:val="22"/>
              </w:rPr>
              <w:t>TanStack Query</w:t>
            </w:r>
          </w:p>
        </w:tc>
        <w:tc>
          <w:tcPr>
            <w:tcW w:type="dxa" w:w="1928"/>
          </w:tcPr>
          <w:p>
            <w:r>
              <w:rPr>
                <w:rFonts w:ascii="UT Sans" w:hAnsi="UT Sans" w:cs="UT Sans"/>
                <w:b w:val="0"/>
                <w:i w:val="0"/>
                <w:sz w:val="22"/>
              </w:rPr>
              <w:t>Cache Server</w:t>
            </w:r>
          </w:p>
        </w:tc>
        <w:tc>
          <w:tcPr>
            <w:tcW w:type="dxa" w:w="1928"/>
          </w:tcPr>
          <w:p>
            <w:r>
              <w:rPr>
                <w:rFonts w:ascii="UT Sans" w:hAnsi="UT Sans" w:cs="UT Sans"/>
                <w:b w:val="0"/>
                <w:i w:val="0"/>
                <w:sz w:val="22"/>
              </w:rPr>
              <w:t>Inteligent</w:t>
            </w:r>
          </w:p>
        </w:tc>
        <w:tc>
          <w:tcPr>
            <w:tcW w:type="dxa" w:w="1928"/>
          </w:tcPr>
          <w:p>
            <w:r>
              <w:rPr>
                <w:rFonts w:ascii="UT Sans" w:hAnsi="UT Sans" w:cs="UT Sans"/>
                <w:b w:val="0"/>
                <w:i w:val="0"/>
                <w:sz w:val="22"/>
              </w:rPr>
              <w:t>Medie [8]</w:t>
            </w:r>
          </w:p>
        </w:tc>
        <w:tc>
          <w:tcPr>
            <w:tcW w:type="dxa" w:w="1928"/>
          </w:tcPr>
          <w:p>
            <w:r>
              <w:rPr>
                <w:rFonts w:ascii="UT Sans" w:hAnsi="UT Sans" w:cs="UT Sans"/>
                <w:b w:val="0"/>
                <w:i w:val="0"/>
                <w:sz w:val="22"/>
              </w:rPr>
              <w:t>Listări, comenzi, prețuri</w:t>
            </w:r>
          </w:p>
        </w:tc>
      </w:tr>
    </w:tbl>
    <w:p>
      <w:pPr>
        <w:spacing w:line="360" w:lineRule="auto" w:after="80"/>
        <w:jc w:val="both"/>
      </w:pPr>
      <w:r>
        <w:rPr>
          <w:rFonts w:ascii="UT Sans" w:hAnsi="UT Sans" w:cs="UT Sans"/>
          <w:b w:val="0"/>
          <w:i w:val="0"/>
          <w:sz w:val="24"/>
        </w:rPr>
      </w:r>
    </w:p>
    <w:p>
      <w:pPr>
        <w:pStyle w:val="Heading2"/>
        <w:keepNext/>
        <w:keepLines/>
        <w:spacing w:before="360" w:after="0" w:line="360" w:lineRule="auto"/>
        <w:jc w:val="both"/>
      </w:pPr>
      <w:r>
        <w:rPr>
          <w:rFonts w:ascii="UT Sans" w:hAnsi="UT Sans" w:cs="UT Sans"/>
          <w:b/>
          <w:i w:val="0"/>
          <w:sz w:val="28"/>
        </w:rPr>
        <w:t>2.5 Design UI: Dark Mode și Glassmorphism pentru B2B</w:t>
      </w:r>
    </w:p>
    <w:p>
      <w:pPr>
        <w:spacing w:line="360" w:lineRule="auto"/>
        <w:jc w:val="both"/>
      </w:pPr>
      <w:r>
        <w:rPr>
          <w:rFonts w:ascii="UT Sans" w:hAnsi="UT Sans" w:cs="UT Sans"/>
          <w:b w:val="0"/>
          <w:i w:val="0"/>
          <w:sz w:val="24"/>
        </w:rPr>
        <w:t>Interfețele digitale prin care comercianții de mărfuri interacționează cu datele de piață au evoluat pentru a prioritiza eficiența și concentrarea. Două tendințe proeminente sunt dark mode și glassmorphism, care abordează nevoile funcționale ale profesioniștilor care petrec ore extinse în dashboard-uri digitale [9].</w:t>
      </w:r>
    </w:p>
    <w:p>
      <w:pPr>
        <w:spacing w:line="360" w:lineRule="auto"/>
        <w:jc w:val="both"/>
      </w:pPr>
      <w:r>
        <w:rPr>
          <w:rFonts w:ascii="UT Sans" w:hAnsi="UT Sans" w:cs="UT Sans"/>
          <w:b w:val="0"/>
          <w:i w:val="0"/>
          <w:sz w:val="24"/>
        </w:rPr>
        <w:t>Dark mode a trecut de la o preferință de nișă la o cerință critică pentru software-ul profesional. Până în 2026, studiile sugerează că 82% dintre utilizatori preferă dark mode în medii profesionale [9]. Driverul principal este reducerea oboselii oculare și a expunerii la lumină albastră, care este înjumătățită în multe teme dark [9]. Pentru aplicațiile mobile de trading, dark mode pe ecrane OLED poate reduce consumul de baterie cu 40-60%, un avantaj semnificativ pentru utilizatorii din teren [9].</w:t>
      </w:r>
    </w:p>
    <w:p>
      <w:pPr>
        <w:spacing w:line="360" w:lineRule="auto"/>
        <w:jc w:val="both"/>
      </w:pPr>
      <w:r>
        <w:rPr>
          <w:rFonts w:ascii="UT Sans" w:hAnsi="UT Sans" w:cs="UT Sans"/>
          <w:b w:val="0"/>
          <w:i w:val="0"/>
          <w:sz w:val="24"/>
        </w:rPr>
        <w:t>Glassmorphism-ul este un stil UI caracterizat prin transparență, layout-uri multi-stratificate și un efect de blur "sticlă mată" implementat prin proprietatea CSS backdrop-filter: blur() [9]. În dashboard-urile B2B complexe, servește ca un "instrument de focalizare", evidențiind zonele interactive precum butoanele de execuție și barele de navigare, menținând în același timp un sens de profunzime și minimalism [9]. AgriConnect utilizează overlay-uri semi-opace (10-30% opacitate) cu blur de 10-20px pentru a atenua zgomotul de fundal și a asigura lizibilitatea textului pe toate componentele de navigare și modal-urile de tranzacție.</w:t>
      </w:r>
    </w:p>
    <w:p>
      <w:r>
        <w:br w:type="page"/>
      </w:r>
    </w:p>
    <w:p>
      <w:pPr>
        <w:pStyle w:val="Heading1"/>
        <w:keepNext/>
        <w:keepLines/>
        <w:spacing w:before="360" w:after="160" w:line="360" w:lineRule="auto"/>
        <w:jc w:val="both"/>
      </w:pPr>
      <w:r>
        <w:rPr>
          <w:rFonts w:ascii="UT Sans" w:hAnsi="UT Sans" w:cs="UT Sans"/>
          <w:b/>
          <w:i w:val="0"/>
          <w:sz w:val="36"/>
        </w:rPr>
        <w:t>3. CADRUL LEGISLATIV, FISCAL ȘI CALITATIV</w:t>
      </w:r>
    </w:p>
    <w:p>
      <w:pPr>
        <w:spacing w:line="360" w:lineRule="auto"/>
        <w:jc w:val="both"/>
      </w:pPr>
      <w:r>
        <w:rPr>
          <w:rFonts w:ascii="UT Sans" w:hAnsi="UT Sans" w:cs="UT Sans"/>
          <w:b w:val="0"/>
          <w:i w:val="0"/>
          <w:sz w:val="24"/>
        </w:rPr>
        <w:t>Succesul unei platforme B2B în România este condiționat de integrarea algoritmilor de conformitate direct în fluxul tranzacțional. Acest capitol analizează cadrul complex de reglementare care guvernează tranzacționarea digitală a cerealelor, de la mecanismele fiscale specifice la obligațiile de raportare și protecția participanților la piață.</w:t>
      </w:r>
    </w:p>
    <w:p>
      <w:pPr>
        <w:pStyle w:val="Heading2"/>
        <w:keepNext/>
        <w:keepLines/>
        <w:spacing w:before="360" w:after="0" w:line="360" w:lineRule="auto"/>
        <w:jc w:val="both"/>
      </w:pPr>
      <w:r>
        <w:rPr>
          <w:rFonts w:ascii="UT Sans" w:hAnsi="UT Sans" w:cs="UT Sans"/>
          <w:b/>
          <w:i w:val="0"/>
          <w:sz w:val="28"/>
        </w:rPr>
        <w:t>3.1 Regimul Fiscal: Taxarea Inversă (Art. 331)</w:t>
      </w:r>
    </w:p>
    <w:p>
      <w:pPr>
        <w:pStyle w:val="Heading3"/>
        <w:keepNext/>
        <w:keepLines/>
        <w:spacing w:before="200" w:after="0" w:line="360" w:lineRule="auto"/>
        <w:jc w:val="both"/>
      </w:pPr>
      <w:r>
        <w:rPr>
          <w:rFonts w:ascii="UT Sans" w:hAnsi="UT Sans" w:cs="UT Sans"/>
          <w:b/>
          <w:i w:val="0"/>
          <w:sz w:val="22"/>
        </w:rPr>
        <w:t>3.1.1 Mecanismul de aplicare și obligațiile de raportare</w:t>
      </w:r>
    </w:p>
    <w:p>
      <w:pPr>
        <w:spacing w:line="360" w:lineRule="auto"/>
        <w:jc w:val="both"/>
      </w:pPr>
      <w:r>
        <w:rPr>
          <w:rFonts w:ascii="UT Sans" w:hAnsi="UT Sans" w:cs="UT Sans"/>
          <w:b w:val="0"/>
          <w:i w:val="0"/>
          <w:sz w:val="24"/>
        </w:rPr>
        <w:t>Comerțul cu cereale și plante tehnice în România este supus unui regim fiscal special, definit de mecanismul taxării inverse, menit să combată evaziunea fiscală și frauda de tip "carusel" [6]. Conform Articolului 331 din Codul Fiscal, pentru anumite categorii de bunuri livrate între persoane impozabile înregistrate în scopuri de TVA, responsabilitatea plății taxei revine beneficiarului, nu furnizorului [6].</w:t>
      </w:r>
    </w:p>
    <w:p>
      <w:pPr>
        <w:spacing w:line="360" w:lineRule="auto"/>
        <w:jc w:val="both"/>
      </w:pPr>
      <w:r>
        <w:rPr>
          <w:rFonts w:ascii="UT Sans" w:hAnsi="UT Sans" w:cs="UT Sans"/>
          <w:b w:val="0"/>
          <w:i w:val="0"/>
          <w:sz w:val="24"/>
        </w:rPr>
        <w:t>Frauda de tip "carusel" funcționează prin crearea unor lanțuri de tranzacții fictive între mai multe entități juridice din diferite state membre UE. Furnizorul colectează TVA-ul de la cumpărător, dar dispare înainte de a-l vărsa la bugetul de stat, în timp ce cumpărătorul solicită deducerea TVA-ului pe care statul nu l-a încasat niciodată. Mecanismul taxării inverse întrerupe acest circuit prin eliminarea fluxului fizic de TVA între părți [6].</w:t>
      </w:r>
    </w:p>
    <w:p>
      <w:pPr>
        <w:spacing w:line="360" w:lineRule="auto"/>
        <w:jc w:val="both"/>
      </w:pPr>
      <w:r>
        <w:rPr>
          <w:rFonts w:ascii="UT Sans" w:hAnsi="UT Sans" w:cs="UT Sans"/>
          <w:b w:val="0"/>
          <w:i w:val="0"/>
          <w:sz w:val="24"/>
        </w:rPr>
        <w:t>În acest sistem, furnizorul emite factura fără a înscrie taxa colectată, dar cu mențiunea obligatorie "taxare inversă". Beneficiarul va calcula TVA-ul aferent și îl va înregistra în decontul de taxă (formularul 300) atât ca taxă colectată, cât și ca taxă deductibilă [6]. Acest tratament contabil are un efect neutru asupra trezoreriei beneficiarului, dar asigură faptul că tranzacția este vizibilă pentru autoritățile fiscale [6]. Condiția sine qua non pentru aplicarea acestui mecanism este ca ambele părți implicate să fie înregistrate în scopuri de TVA conform Art. 316 din Codul Fiscal. În cazul în care furnizorul emite eronat o factură cu TVA pentru bunuri supuse Art. 331, beneficiarul își pierde dreptul de deducere [6].</w:t>
      </w:r>
    </w:p>
    <w:p>
      <w:pPr>
        <w:pStyle w:val="Heading3"/>
        <w:keepNext/>
        <w:keepLines/>
        <w:spacing w:before="200" w:after="0" w:line="360" w:lineRule="auto"/>
        <w:jc w:val="both"/>
      </w:pPr>
      <w:r>
        <w:rPr>
          <w:rFonts w:ascii="UT Sans" w:hAnsi="UT Sans" w:cs="UT Sans"/>
          <w:b/>
          <w:i w:val="0"/>
          <w:sz w:val="22"/>
        </w:rPr>
        <w:t>3.1.2 Clasificarea bunurilor și prelungirea cadrului legislativ</w:t>
      </w:r>
    </w:p>
    <w:p>
      <w:pPr>
        <w:spacing w:line="360" w:lineRule="auto"/>
        <w:jc w:val="both"/>
      </w:pPr>
      <w:r>
        <w:rPr>
          <w:rFonts w:ascii="UT Sans" w:hAnsi="UT Sans" w:cs="UT Sans"/>
          <w:b w:val="0"/>
          <w:i w:val="0"/>
          <w:sz w:val="24"/>
        </w:rPr>
        <w:t>Mecanismul taxării inverse se aplică unei liste specifice de produse agricole, identificate prin codurile din Nomenclatura Combinată (NC) [6]. Conform reglementărilor actuale și prelungirilor succesive introduse prin OUG nr. 85/2022 și Directivei (UE) 2022/890, acest regim este valabil până la data de 31 decembrie 2026 [6].</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UT Sans" w:hAnsi="UT Sans" w:cs="UT Sans"/>
                <w:b/>
                <w:i w:val="0"/>
                <w:sz w:val="22"/>
              </w:rPr>
              <w:t>Cod NC</w:t>
            </w:r>
          </w:p>
        </w:tc>
        <w:tc>
          <w:tcPr>
            <w:tcW w:type="dxa" w:w="3213"/>
          </w:tcPr>
          <w:p>
            <w:r>
              <w:rPr>
                <w:rFonts w:ascii="UT Sans" w:hAnsi="UT Sans" w:cs="UT Sans"/>
                <w:b/>
                <w:i w:val="0"/>
                <w:sz w:val="22"/>
              </w:rPr>
              <w:t>Descriere Produs</w:t>
            </w:r>
          </w:p>
        </w:tc>
        <w:tc>
          <w:tcPr>
            <w:tcW w:type="dxa" w:w="3213"/>
          </w:tcPr>
          <w:p>
            <w:r>
              <w:rPr>
                <w:rFonts w:ascii="UT Sans" w:hAnsi="UT Sans" w:cs="UT Sans"/>
                <w:b/>
                <w:i w:val="0"/>
                <w:sz w:val="22"/>
              </w:rPr>
              <w:t>Observații</w:t>
            </w:r>
          </w:p>
        </w:tc>
      </w:tr>
      <w:tr>
        <w:tc>
          <w:tcPr>
            <w:tcW w:type="dxa" w:w="3213"/>
          </w:tcPr>
          <w:p>
            <w:r>
              <w:rPr>
                <w:rFonts w:ascii="UT Sans" w:hAnsi="UT Sans" w:cs="UT Sans"/>
                <w:b w:val="0"/>
                <w:i w:val="0"/>
                <w:sz w:val="22"/>
              </w:rPr>
              <w:t>1001</w:t>
            </w:r>
          </w:p>
        </w:tc>
        <w:tc>
          <w:tcPr>
            <w:tcW w:type="dxa" w:w="3213"/>
          </w:tcPr>
          <w:p>
            <w:r>
              <w:rPr>
                <w:rFonts w:ascii="UT Sans" w:hAnsi="UT Sans" w:cs="UT Sans"/>
                <w:b w:val="0"/>
                <w:i w:val="0"/>
                <w:sz w:val="22"/>
              </w:rPr>
              <w:t>Grâu și meslin</w:t>
            </w:r>
          </w:p>
        </w:tc>
        <w:tc>
          <w:tcPr>
            <w:tcW w:type="dxa" w:w="3213"/>
          </w:tcPr>
          <w:p>
            <w:r>
              <w:rPr>
                <w:rFonts w:ascii="UT Sans" w:hAnsi="UT Sans" w:cs="UT Sans"/>
                <w:b w:val="0"/>
                <w:i w:val="0"/>
                <w:sz w:val="22"/>
              </w:rPr>
              <w:t>Include grâul dur și moale</w:t>
            </w:r>
          </w:p>
        </w:tc>
      </w:tr>
      <w:tr>
        <w:tc>
          <w:tcPr>
            <w:tcW w:type="dxa" w:w="3213"/>
          </w:tcPr>
          <w:p>
            <w:r>
              <w:rPr>
                <w:rFonts w:ascii="UT Sans" w:hAnsi="UT Sans" w:cs="UT Sans"/>
                <w:b w:val="0"/>
                <w:i w:val="0"/>
                <w:sz w:val="22"/>
              </w:rPr>
              <w:t>1002</w:t>
            </w:r>
          </w:p>
        </w:tc>
        <w:tc>
          <w:tcPr>
            <w:tcW w:type="dxa" w:w="3213"/>
          </w:tcPr>
          <w:p>
            <w:r>
              <w:rPr>
                <w:rFonts w:ascii="UT Sans" w:hAnsi="UT Sans" w:cs="UT Sans"/>
                <w:b w:val="0"/>
                <w:i w:val="0"/>
                <w:sz w:val="22"/>
              </w:rPr>
              <w:t>Secară</w:t>
            </w:r>
          </w:p>
        </w:tc>
        <w:tc>
          <w:tcPr>
            <w:tcW w:type="dxa" w:w="3213"/>
          </w:tcPr>
          <w:p>
            <w:r>
              <w:rPr>
                <w:rFonts w:ascii="UT Sans" w:hAnsi="UT Sans" w:cs="UT Sans"/>
                <w:b w:val="0"/>
                <w:i w:val="0"/>
                <w:sz w:val="22"/>
              </w:rPr>
              <w:t>Inclusiv secara de iarnă</w:t>
            </w:r>
          </w:p>
        </w:tc>
      </w:tr>
      <w:tr>
        <w:tc>
          <w:tcPr>
            <w:tcW w:type="dxa" w:w="3213"/>
          </w:tcPr>
          <w:p>
            <w:r>
              <w:rPr>
                <w:rFonts w:ascii="UT Sans" w:hAnsi="UT Sans" w:cs="UT Sans"/>
                <w:b w:val="0"/>
                <w:i w:val="0"/>
                <w:sz w:val="22"/>
              </w:rPr>
              <w:t>1003</w:t>
            </w:r>
          </w:p>
        </w:tc>
        <w:tc>
          <w:tcPr>
            <w:tcW w:type="dxa" w:w="3213"/>
          </w:tcPr>
          <w:p>
            <w:r>
              <w:rPr>
                <w:rFonts w:ascii="UT Sans" w:hAnsi="UT Sans" w:cs="UT Sans"/>
                <w:b w:val="0"/>
                <w:i w:val="0"/>
                <w:sz w:val="22"/>
              </w:rPr>
              <w:t>Orz</w:t>
            </w:r>
          </w:p>
        </w:tc>
        <w:tc>
          <w:tcPr>
            <w:tcW w:type="dxa" w:w="3213"/>
          </w:tcPr>
          <w:p>
            <w:r>
              <w:rPr>
                <w:rFonts w:ascii="UT Sans" w:hAnsi="UT Sans" w:cs="UT Sans"/>
                <w:b w:val="0"/>
                <w:i w:val="0"/>
                <w:sz w:val="22"/>
              </w:rPr>
              <w:t>Orz de bere și furajer</w:t>
            </w:r>
          </w:p>
        </w:tc>
      </w:tr>
      <w:tr>
        <w:tc>
          <w:tcPr>
            <w:tcW w:type="dxa" w:w="3213"/>
          </w:tcPr>
          <w:p>
            <w:r>
              <w:rPr>
                <w:rFonts w:ascii="UT Sans" w:hAnsi="UT Sans" w:cs="UT Sans"/>
                <w:b w:val="0"/>
                <w:i w:val="0"/>
                <w:sz w:val="22"/>
              </w:rPr>
              <w:t>1004</w:t>
            </w:r>
          </w:p>
        </w:tc>
        <w:tc>
          <w:tcPr>
            <w:tcW w:type="dxa" w:w="3213"/>
          </w:tcPr>
          <w:p>
            <w:r>
              <w:rPr>
                <w:rFonts w:ascii="UT Sans" w:hAnsi="UT Sans" w:cs="UT Sans"/>
                <w:b w:val="0"/>
                <w:i w:val="0"/>
                <w:sz w:val="22"/>
              </w:rPr>
              <w:t>Ovăz</w:t>
            </w:r>
          </w:p>
        </w:tc>
        <w:tc>
          <w:tcPr>
            <w:tcW w:type="dxa" w:w="3213"/>
          </w:tcPr>
          <w:p>
            <w:r>
              <w:rPr>
                <w:rFonts w:ascii="UT Sans" w:hAnsi="UT Sans" w:cs="UT Sans"/>
                <w:b w:val="0"/>
                <w:i w:val="0"/>
                <w:sz w:val="22"/>
              </w:rPr>
              <w:t>Toate varietățile</w:t>
            </w:r>
          </w:p>
        </w:tc>
      </w:tr>
      <w:tr>
        <w:tc>
          <w:tcPr>
            <w:tcW w:type="dxa" w:w="3213"/>
          </w:tcPr>
          <w:p>
            <w:r>
              <w:rPr>
                <w:rFonts w:ascii="UT Sans" w:hAnsi="UT Sans" w:cs="UT Sans"/>
                <w:b w:val="0"/>
                <w:i w:val="0"/>
                <w:sz w:val="22"/>
              </w:rPr>
              <w:t>1005</w:t>
            </w:r>
          </w:p>
        </w:tc>
        <w:tc>
          <w:tcPr>
            <w:tcW w:type="dxa" w:w="3213"/>
          </w:tcPr>
          <w:p>
            <w:r>
              <w:rPr>
                <w:rFonts w:ascii="UT Sans" w:hAnsi="UT Sans" w:cs="UT Sans"/>
                <w:b w:val="0"/>
                <w:i w:val="0"/>
                <w:sz w:val="22"/>
              </w:rPr>
              <w:t>Porumb</w:t>
            </w:r>
          </w:p>
        </w:tc>
        <w:tc>
          <w:tcPr>
            <w:tcW w:type="dxa" w:w="3213"/>
          </w:tcPr>
          <w:p>
            <w:r>
              <w:rPr>
                <w:rFonts w:ascii="UT Sans" w:hAnsi="UT Sans" w:cs="UT Sans"/>
                <w:b w:val="0"/>
                <w:i w:val="0"/>
                <w:sz w:val="22"/>
              </w:rPr>
              <w:t>Porumb boabe, inclusiv sămânță</w:t>
            </w:r>
          </w:p>
        </w:tc>
      </w:tr>
      <w:tr>
        <w:tc>
          <w:tcPr>
            <w:tcW w:type="dxa" w:w="3213"/>
          </w:tcPr>
          <w:p>
            <w:r>
              <w:rPr>
                <w:rFonts w:ascii="UT Sans" w:hAnsi="UT Sans" w:cs="UT Sans"/>
                <w:b w:val="0"/>
                <w:i w:val="0"/>
                <w:sz w:val="22"/>
              </w:rPr>
              <w:t>1008 60 00</w:t>
            </w:r>
          </w:p>
        </w:tc>
        <w:tc>
          <w:tcPr>
            <w:tcW w:type="dxa" w:w="3213"/>
          </w:tcPr>
          <w:p>
            <w:r>
              <w:rPr>
                <w:rFonts w:ascii="UT Sans" w:hAnsi="UT Sans" w:cs="UT Sans"/>
                <w:b w:val="0"/>
                <w:i w:val="0"/>
                <w:sz w:val="22"/>
              </w:rPr>
              <w:t>Triticale</w:t>
            </w:r>
          </w:p>
        </w:tc>
        <w:tc>
          <w:tcPr>
            <w:tcW w:type="dxa" w:w="3213"/>
          </w:tcPr>
          <w:p>
            <w:r>
              <w:rPr>
                <w:rFonts w:ascii="UT Sans" w:hAnsi="UT Sans" w:cs="UT Sans"/>
                <w:b w:val="0"/>
                <w:i w:val="0"/>
                <w:sz w:val="22"/>
              </w:rPr>
              <w:t>Hibrid grâu-secară</w:t>
            </w:r>
          </w:p>
        </w:tc>
      </w:tr>
      <w:tr>
        <w:tc>
          <w:tcPr>
            <w:tcW w:type="dxa" w:w="3213"/>
          </w:tcPr>
          <w:p>
            <w:r>
              <w:rPr>
                <w:rFonts w:ascii="UT Sans" w:hAnsi="UT Sans" w:cs="UT Sans"/>
                <w:b w:val="0"/>
                <w:i w:val="0"/>
                <w:sz w:val="22"/>
              </w:rPr>
              <w:t>1201</w:t>
            </w:r>
          </w:p>
        </w:tc>
        <w:tc>
          <w:tcPr>
            <w:tcW w:type="dxa" w:w="3213"/>
          </w:tcPr>
          <w:p>
            <w:r>
              <w:rPr>
                <w:rFonts w:ascii="UT Sans" w:hAnsi="UT Sans" w:cs="UT Sans"/>
                <w:b w:val="0"/>
                <w:i w:val="0"/>
                <w:sz w:val="22"/>
              </w:rPr>
              <w:t>Boabe de soia</w:t>
            </w:r>
          </w:p>
        </w:tc>
        <w:tc>
          <w:tcPr>
            <w:tcW w:type="dxa" w:w="3213"/>
          </w:tcPr>
          <w:p>
            <w:r>
              <w:rPr>
                <w:rFonts w:ascii="UT Sans" w:hAnsi="UT Sans" w:cs="UT Sans"/>
                <w:b w:val="0"/>
                <w:i w:val="0"/>
                <w:sz w:val="22"/>
              </w:rPr>
              <w:t>Chiar sfărâmate</w:t>
            </w:r>
          </w:p>
        </w:tc>
      </w:tr>
      <w:tr>
        <w:tc>
          <w:tcPr>
            <w:tcW w:type="dxa" w:w="3213"/>
          </w:tcPr>
          <w:p>
            <w:r>
              <w:rPr>
                <w:rFonts w:ascii="UT Sans" w:hAnsi="UT Sans" w:cs="UT Sans"/>
                <w:b w:val="0"/>
                <w:i w:val="0"/>
                <w:sz w:val="22"/>
              </w:rPr>
              <w:t>1205</w:t>
            </w:r>
          </w:p>
        </w:tc>
        <w:tc>
          <w:tcPr>
            <w:tcW w:type="dxa" w:w="3213"/>
          </w:tcPr>
          <w:p>
            <w:r>
              <w:rPr>
                <w:rFonts w:ascii="UT Sans" w:hAnsi="UT Sans" w:cs="UT Sans"/>
                <w:b w:val="0"/>
                <w:i w:val="0"/>
                <w:sz w:val="22"/>
              </w:rPr>
              <w:t>Semințe de rapiță</w:t>
            </w:r>
          </w:p>
        </w:tc>
        <w:tc>
          <w:tcPr>
            <w:tcW w:type="dxa" w:w="3213"/>
          </w:tcPr>
          <w:p>
            <w:r>
              <w:rPr>
                <w:rFonts w:ascii="UT Sans" w:hAnsi="UT Sans" w:cs="UT Sans"/>
                <w:b w:val="0"/>
                <w:i w:val="0"/>
                <w:sz w:val="22"/>
              </w:rPr>
              <w:t>Inclusiv rapiță sălbatică</w:t>
            </w:r>
          </w:p>
        </w:tc>
      </w:tr>
      <w:tr>
        <w:tc>
          <w:tcPr>
            <w:tcW w:type="dxa" w:w="3213"/>
          </w:tcPr>
          <w:p>
            <w:r>
              <w:rPr>
                <w:rFonts w:ascii="UT Sans" w:hAnsi="UT Sans" w:cs="UT Sans"/>
                <w:b w:val="0"/>
                <w:i w:val="0"/>
                <w:sz w:val="22"/>
              </w:rPr>
              <w:t>1206 00</w:t>
            </w:r>
          </w:p>
        </w:tc>
        <w:tc>
          <w:tcPr>
            <w:tcW w:type="dxa" w:w="3213"/>
          </w:tcPr>
          <w:p>
            <w:r>
              <w:rPr>
                <w:rFonts w:ascii="UT Sans" w:hAnsi="UT Sans" w:cs="UT Sans"/>
                <w:b w:val="0"/>
                <w:i w:val="0"/>
                <w:sz w:val="22"/>
              </w:rPr>
              <w:t>Semințe de floarea-soarelui</w:t>
            </w:r>
          </w:p>
        </w:tc>
        <w:tc>
          <w:tcPr>
            <w:tcW w:type="dxa" w:w="3213"/>
          </w:tcPr>
          <w:p>
            <w:r>
              <w:rPr>
                <w:rFonts w:ascii="UT Sans" w:hAnsi="UT Sans" w:cs="UT Sans"/>
                <w:b w:val="0"/>
                <w:i w:val="0"/>
                <w:sz w:val="22"/>
              </w:rPr>
              <w:t>Chiar sfărâmate</w:t>
            </w:r>
          </w:p>
        </w:tc>
      </w:tr>
      <w:tr>
        <w:tc>
          <w:tcPr>
            <w:tcW w:type="dxa" w:w="3213"/>
          </w:tcPr>
          <w:p>
            <w:r>
              <w:rPr>
                <w:rFonts w:ascii="UT Sans" w:hAnsi="UT Sans" w:cs="UT Sans"/>
                <w:b w:val="0"/>
                <w:i w:val="0"/>
                <w:sz w:val="22"/>
              </w:rPr>
              <w:t>1212 91</w:t>
            </w:r>
          </w:p>
        </w:tc>
        <w:tc>
          <w:tcPr>
            <w:tcW w:type="dxa" w:w="3213"/>
          </w:tcPr>
          <w:p>
            <w:r>
              <w:rPr>
                <w:rFonts w:ascii="UT Sans" w:hAnsi="UT Sans" w:cs="UT Sans"/>
                <w:b w:val="0"/>
                <w:i w:val="0"/>
                <w:sz w:val="22"/>
              </w:rPr>
              <w:t>Sfeclă de zahăr</w:t>
            </w:r>
          </w:p>
        </w:tc>
        <w:tc>
          <w:tcPr>
            <w:tcW w:type="dxa" w:w="3213"/>
          </w:tcPr>
          <w:p>
            <w:r>
              <w:rPr>
                <w:rFonts w:ascii="UT Sans" w:hAnsi="UT Sans" w:cs="UT Sans"/>
                <w:b w:val="0"/>
                <w:i w:val="0"/>
                <w:sz w:val="22"/>
              </w:rPr>
              <w:t>Pentru industria zaharului</w:t>
            </w:r>
          </w:p>
        </w:tc>
      </w:tr>
    </w:tbl>
    <w:p>
      <w:pPr>
        <w:spacing w:line="360" w:lineRule="auto" w:after="80"/>
        <w:jc w:val="both"/>
      </w:pPr>
      <w:r>
        <w:rPr>
          <w:rFonts w:ascii="UT Sans" w:hAnsi="UT Sans" w:cs="UT Sans"/>
          <w:b w:val="0"/>
          <w:i w:val="0"/>
          <w:sz w:val="24"/>
        </w:rPr>
      </w:r>
    </w:p>
    <w:p>
      <w:pPr>
        <w:spacing w:line="360" w:lineRule="auto"/>
        <w:jc w:val="both"/>
      </w:pPr>
      <w:r>
        <w:rPr>
          <w:rFonts w:ascii="UT Sans" w:hAnsi="UT Sans" w:cs="UT Sans"/>
          <w:b w:val="0"/>
          <w:i w:val="0"/>
          <w:sz w:val="24"/>
        </w:rPr>
        <w:t>Monitorizarea acestor tranzacții este realizată de ANAF prin declarația informativă 394, unde operațiunile supuse taxării inverse trebuie raportate separat pentru fiecare cod de înregistrare în scopuri de TVA și pentru fiecare categorie de bunuri [6]. AgriConnect automatizează această logică prin verificarea statusului TVA al participanților via API-ul de validare ANAF și a codurilor NC ale produselor tranzacționate, asigurând că facturile sunt emise corect și că mențiunea "Taxare inversă" este inclusă automat când este necesar [6].</w:t>
      </w:r>
    </w:p>
    <w:p>
      <w:pPr>
        <w:pStyle w:val="Heading2"/>
        <w:keepNext/>
        <w:keepLines/>
        <w:spacing w:before="360" w:after="0" w:line="360" w:lineRule="auto"/>
        <w:jc w:val="both"/>
      </w:pPr>
      <w:r>
        <w:rPr>
          <w:rFonts w:ascii="UT Sans" w:hAnsi="UT Sans" w:cs="UT Sans"/>
          <w:b/>
          <w:i w:val="0"/>
          <w:sz w:val="28"/>
        </w:rPr>
        <w:t>3.2 Transparență și Monitorizare: DAC7</w:t>
      </w:r>
    </w:p>
    <w:p>
      <w:pPr>
        <w:pStyle w:val="Heading3"/>
        <w:keepNext/>
        <w:keepLines/>
        <w:spacing w:before="200" w:after="0" w:line="360" w:lineRule="auto"/>
        <w:jc w:val="both"/>
      </w:pPr>
      <w:r>
        <w:rPr>
          <w:rFonts w:ascii="UT Sans" w:hAnsi="UT Sans" w:cs="UT Sans"/>
          <w:b/>
          <w:i w:val="0"/>
          <w:sz w:val="22"/>
        </w:rPr>
        <w:t>3.2.1 Obligațiile operatorilor de platforme digitale</w:t>
      </w:r>
    </w:p>
    <w:p>
      <w:pPr>
        <w:spacing w:line="360" w:lineRule="auto"/>
        <w:jc w:val="both"/>
      </w:pPr>
      <w:r>
        <w:rPr>
          <w:rFonts w:ascii="UT Sans" w:hAnsi="UT Sans" w:cs="UT Sans"/>
          <w:b w:val="0"/>
          <w:i w:val="0"/>
          <w:sz w:val="24"/>
        </w:rPr>
        <w:t>Implementarea Directivei (UE) 2021/514, cunoscută sub denumirea de DAC7, reprezintă un pas decisiv către transparența fiscală a economiei digitale. În România, această directivă a fost transpusă prin OG 16/2023 și este reglementată detaliat prin ordinele ANAF nr. 1996/2023 și 1946/2023 [6]. Aceasta impune operatorilor de platforme digitale obligația de a colecta și raporta anual informații despre vânzătorii care desfășoară activități relevante prin intermediul lor [6].</w:t>
      </w:r>
    </w:p>
    <w:p>
      <w:pPr>
        <w:spacing w:line="360" w:lineRule="auto"/>
        <w:jc w:val="both"/>
      </w:pPr>
      <w:r>
        <w:rPr>
          <w:rFonts w:ascii="UT Sans" w:hAnsi="UT Sans" w:cs="UT Sans"/>
          <w:b w:val="0"/>
          <w:i w:val="0"/>
          <w:sz w:val="24"/>
        </w:rPr>
        <w:t>Sub incidența DAC7 cad atât operatorii de platforme cu rezidență fiscală în Uniunea Europeană, cât și cei din afara UE care facilitează activități pe teritoriul României [6]. O "platformă" este definită extensiv drept orice software, inclusiv site-uri web sau aplicații mobile, care permite vânzătorilor să fie conectați cu alți utilizatori în scopul realizării unei activități relevante, cum ar fi vânzarea de bunuri, prestarea de servicii personale, închirierea de bunuri imobile sau închirierea de mijloace de transport [6].</w:t>
      </w:r>
    </w:p>
    <w:p>
      <w:pPr>
        <w:pStyle w:val="Heading3"/>
        <w:keepNext/>
        <w:keepLines/>
        <w:spacing w:before="200" w:after="0" w:line="360" w:lineRule="auto"/>
        <w:jc w:val="both"/>
      </w:pPr>
      <w:r>
        <w:rPr>
          <w:rFonts w:ascii="UT Sans" w:hAnsi="UT Sans" w:cs="UT Sans"/>
          <w:b/>
          <w:i w:val="0"/>
          <w:sz w:val="22"/>
        </w:rPr>
        <w:t>3.2.2 Procedura de raportare și praguri de excludere</w:t>
      </w:r>
    </w:p>
    <w:p>
      <w:pPr>
        <w:spacing w:line="360" w:lineRule="auto"/>
        <w:jc w:val="both"/>
      </w:pPr>
      <w:r>
        <w:rPr>
          <w:rFonts w:ascii="UT Sans" w:hAnsi="UT Sans" w:cs="UT Sans"/>
          <w:b w:val="0"/>
          <w:i w:val="0"/>
          <w:sz w:val="24"/>
        </w:rPr>
        <w:t>Operatorii trebuie să depună formularul electronic F7000 până la data de 31 ianuarie a anului următor celui de raportare [6]. Prima raportare efectivă a avut ca termen limită 31 ianuarie 2024 pentru datele aferente anului 2023 [6]. Procesul de due diligence implică validarea informațiilor furnizate de vânzători contra surselor publice disponibile, cu obligația de a semnala inconsistențe până la 31 decembrie al anului de raportare [6].</w:t>
      </w:r>
    </w:p>
    <w:p>
      <w:pPr>
        <w:spacing w:line="360" w:lineRule="auto"/>
        <w:jc w:val="both"/>
      </w:pPr>
      <w:r>
        <w:rPr>
          <w:rFonts w:ascii="UT Sans" w:hAnsi="UT Sans" w:cs="UT Sans"/>
          <w:b w:val="0"/>
          <w:i w:val="0"/>
          <w:sz w:val="24"/>
        </w:rPr>
        <w:t>Există praguri de excludere menite să reducă povara administrativă pentru vânzătorii mici. Nu fac obiectul raportării "vânzătorii excluși" care îndeplinesc una dintre următoarele condiții [6]:</w:t>
      </w:r>
    </w:p>
    <w:p>
      <w:pPr>
        <w:jc w:val="both"/>
        <w:spacing w:after="80" w:line="360" w:lineRule="auto"/>
        <w:ind w:left="720" w:hanging="360"/>
      </w:pPr>
      <w:r>
        <w:rPr>
          <w:rFonts w:ascii="UT Sans" w:hAnsi="UT Sans" w:cs="UT Sans"/>
          <w:b w:val="0"/>
          <w:i w:val="0"/>
          <w:sz w:val="22"/>
        </w:rPr>
        <w:t>• Entități guvernamentale sau entități ale căror acțiuni sunt tranzacționate la bursă</w:t>
      </w:r>
    </w:p>
    <w:p>
      <w:pPr>
        <w:jc w:val="both"/>
        <w:spacing w:after="80" w:line="360" w:lineRule="auto"/>
        <w:ind w:left="720" w:hanging="360"/>
      </w:pPr>
      <w:r>
        <w:rPr>
          <w:rFonts w:ascii="UT Sans" w:hAnsi="UT Sans" w:cs="UT Sans"/>
          <w:b w:val="0"/>
          <w:i w:val="0"/>
          <w:sz w:val="22"/>
        </w:rPr>
        <w:t>• Vânzători de bunuri care au facilitat mai puțin de 30 de vânzări, iar contraprestația totală nu a depășit 2.000 EUR în perioada de raportare</w:t>
      </w:r>
    </w:p>
    <w:p>
      <w:pPr>
        <w:jc w:val="both"/>
        <w:spacing w:after="80" w:line="360" w:lineRule="auto"/>
        <w:ind w:left="720" w:hanging="360"/>
      </w:pPr>
      <w:r>
        <w:rPr>
          <w:rFonts w:ascii="UT Sans" w:hAnsi="UT Sans" w:cs="UT Sans"/>
          <w:b w:val="0"/>
          <w:i w:val="0"/>
          <w:sz w:val="22"/>
        </w:rPr>
        <w:t>• Entități care oferă cazare prin platforme și au efectuat mai puțin de 2.000 de activități relevante</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UT Sans" w:hAnsi="UT Sans" w:cs="UT Sans"/>
                <w:b/>
                <w:i w:val="0"/>
                <w:sz w:val="22"/>
              </w:rPr>
              <w:t>Pilon Raportare</w:t>
            </w:r>
          </w:p>
        </w:tc>
        <w:tc>
          <w:tcPr>
            <w:tcW w:type="dxa" w:w="3213"/>
          </w:tcPr>
          <w:p>
            <w:r>
              <w:rPr>
                <w:rFonts w:ascii="UT Sans" w:hAnsi="UT Sans" w:cs="UT Sans"/>
                <w:b/>
                <w:i w:val="0"/>
                <w:sz w:val="22"/>
              </w:rPr>
              <w:t>Obligația Platformei</w:t>
            </w:r>
          </w:p>
        </w:tc>
        <w:tc>
          <w:tcPr>
            <w:tcW w:type="dxa" w:w="3213"/>
          </w:tcPr>
          <w:p>
            <w:r>
              <w:rPr>
                <w:rFonts w:ascii="UT Sans" w:hAnsi="UT Sans" w:cs="UT Sans"/>
                <w:b/>
                <w:i w:val="0"/>
                <w:sz w:val="22"/>
              </w:rPr>
              <w:t>Sancțiune Neconformare</w:t>
            </w:r>
          </w:p>
        </w:tc>
      </w:tr>
      <w:tr>
        <w:tc>
          <w:tcPr>
            <w:tcW w:type="dxa" w:w="3213"/>
          </w:tcPr>
          <w:p>
            <w:r>
              <w:rPr>
                <w:rFonts w:ascii="UT Sans" w:hAnsi="UT Sans" w:cs="UT Sans"/>
                <w:b w:val="0"/>
                <w:i w:val="0"/>
                <w:sz w:val="22"/>
              </w:rPr>
              <w:t>Identitate Vânzător</w:t>
            </w:r>
          </w:p>
        </w:tc>
        <w:tc>
          <w:tcPr>
            <w:tcW w:type="dxa" w:w="3213"/>
          </w:tcPr>
          <w:p>
            <w:r>
              <w:rPr>
                <w:rFonts w:ascii="UT Sans" w:hAnsi="UT Sans" w:cs="UT Sans"/>
                <w:b w:val="0"/>
                <w:i w:val="0"/>
                <w:sz w:val="22"/>
              </w:rPr>
              <w:t>Colectarea și validarea CIF/TVA și adresei [6]</w:t>
            </w:r>
          </w:p>
        </w:tc>
        <w:tc>
          <w:tcPr>
            <w:tcW w:type="dxa" w:w="3213"/>
          </w:tcPr>
          <w:p>
            <w:r>
              <w:rPr>
                <w:rFonts w:ascii="UT Sans" w:hAnsi="UT Sans" w:cs="UT Sans"/>
                <w:b w:val="0"/>
                <w:i w:val="0"/>
                <w:sz w:val="22"/>
              </w:rPr>
              <w:t>Blocarea contului după 60 zile</w:t>
            </w:r>
          </w:p>
        </w:tc>
      </w:tr>
      <w:tr>
        <w:tc>
          <w:tcPr>
            <w:tcW w:type="dxa" w:w="3213"/>
          </w:tcPr>
          <w:p>
            <w:r>
              <w:rPr>
                <w:rFonts w:ascii="UT Sans" w:hAnsi="UT Sans" w:cs="UT Sans"/>
                <w:b w:val="0"/>
                <w:i w:val="0"/>
                <w:sz w:val="22"/>
              </w:rPr>
              <w:t>Raportare Financiară</w:t>
            </w:r>
          </w:p>
        </w:tc>
        <w:tc>
          <w:tcPr>
            <w:tcW w:type="dxa" w:w="3213"/>
          </w:tcPr>
          <w:p>
            <w:r>
              <w:rPr>
                <w:rFonts w:ascii="UT Sans" w:hAnsi="UT Sans" w:cs="UT Sans"/>
                <w:b w:val="0"/>
                <w:i w:val="0"/>
                <w:sz w:val="22"/>
              </w:rPr>
              <w:t>Agregare remunerație și nr. tranzacții/trimestru [6]</w:t>
            </w:r>
          </w:p>
        </w:tc>
        <w:tc>
          <w:tcPr>
            <w:tcW w:type="dxa" w:w="3213"/>
          </w:tcPr>
          <w:p>
            <w:r>
              <w:rPr>
                <w:rFonts w:ascii="UT Sans" w:hAnsi="UT Sans" w:cs="UT Sans"/>
                <w:b w:val="0"/>
                <w:i w:val="0"/>
                <w:sz w:val="22"/>
              </w:rPr>
              <w:t>Amendă până la 20.000 EUR [6]</w:t>
            </w:r>
          </w:p>
        </w:tc>
      </w:tr>
      <w:tr>
        <w:tc>
          <w:tcPr>
            <w:tcW w:type="dxa" w:w="3213"/>
          </w:tcPr>
          <w:p>
            <w:r>
              <w:rPr>
                <w:rFonts w:ascii="UT Sans" w:hAnsi="UT Sans" w:cs="UT Sans"/>
                <w:b w:val="0"/>
                <w:i w:val="0"/>
                <w:sz w:val="22"/>
              </w:rPr>
              <w:t>Due Diligence</w:t>
            </w:r>
          </w:p>
        </w:tc>
        <w:tc>
          <w:tcPr>
            <w:tcW w:type="dxa" w:w="3213"/>
          </w:tcPr>
          <w:p>
            <w:r>
              <w:rPr>
                <w:rFonts w:ascii="UT Sans" w:hAnsi="UT Sans" w:cs="UT Sans"/>
                <w:b w:val="0"/>
                <w:i w:val="0"/>
                <w:sz w:val="22"/>
              </w:rPr>
              <w:t>Validare contra surselor publice [6]</w:t>
            </w:r>
          </w:p>
        </w:tc>
        <w:tc>
          <w:tcPr>
            <w:tcW w:type="dxa" w:w="3213"/>
          </w:tcPr>
          <w:p>
            <w:r>
              <w:rPr>
                <w:rFonts w:ascii="UT Sans" w:hAnsi="UT Sans" w:cs="UT Sans"/>
                <w:b w:val="0"/>
                <w:i w:val="0"/>
                <w:sz w:val="22"/>
              </w:rPr>
              <w:t>Răspundere solidară fiscală</w:t>
            </w:r>
          </w:p>
        </w:tc>
      </w:tr>
      <w:tr>
        <w:tc>
          <w:tcPr>
            <w:tcW w:type="dxa" w:w="3213"/>
          </w:tcPr>
          <w:p>
            <w:r>
              <w:rPr>
                <w:rFonts w:ascii="UT Sans" w:hAnsi="UT Sans" w:cs="UT Sans"/>
                <w:b w:val="0"/>
                <w:i w:val="0"/>
                <w:sz w:val="22"/>
              </w:rPr>
              <w:t>Transmitere Formular</w:t>
            </w:r>
          </w:p>
        </w:tc>
        <w:tc>
          <w:tcPr>
            <w:tcW w:type="dxa" w:w="3213"/>
          </w:tcPr>
          <w:p>
            <w:r>
              <w:rPr>
                <w:rFonts w:ascii="UT Sans" w:hAnsi="UT Sans" w:cs="UT Sans"/>
                <w:b w:val="0"/>
                <w:i w:val="0"/>
                <w:sz w:val="22"/>
              </w:rPr>
              <w:t>Depunere F7000 până la 31 ianuarie [6]</w:t>
            </w:r>
          </w:p>
        </w:tc>
        <w:tc>
          <w:tcPr>
            <w:tcW w:type="dxa" w:w="3213"/>
          </w:tcPr>
          <w:p>
            <w:r>
              <w:rPr>
                <w:rFonts w:ascii="UT Sans" w:hAnsi="UT Sans" w:cs="UT Sans"/>
                <w:b w:val="0"/>
                <w:i w:val="0"/>
                <w:sz w:val="22"/>
              </w:rPr>
              <w:t>Suspendare operațiuni [6]</w:t>
            </w:r>
          </w:p>
        </w:tc>
      </w:tr>
    </w:tbl>
    <w:p>
      <w:pPr>
        <w:spacing w:line="360" w:lineRule="auto" w:after="80"/>
        <w:jc w:val="both"/>
      </w:pPr>
      <w:r>
        <w:rPr>
          <w:rFonts w:ascii="UT Sans" w:hAnsi="UT Sans" w:cs="UT Sans"/>
          <w:b w:val="0"/>
          <w:i w:val="0"/>
          <w:sz w:val="24"/>
        </w:rPr>
      </w:r>
    </w:p>
    <w:p>
      <w:pPr>
        <w:spacing w:line="360" w:lineRule="auto"/>
        <w:jc w:val="both"/>
      </w:pPr>
      <w:r>
        <w:rPr>
          <w:rFonts w:ascii="UT Sans" w:hAnsi="UT Sans" w:cs="UT Sans"/>
          <w:b w:val="0"/>
          <w:i w:val="0"/>
          <w:sz w:val="24"/>
        </w:rPr>
        <w:t>AgriConnect integrează aceste cerințe de raportare direct în modulele IAM și Financial, asigurând că toate datele necesare pentru declarația informativă sunt colectate la punctul tranzacției, nu post-factum. Sistemul generează automat raportul F7000 prin endpoint-ul POST /dac7/generate, agregând datele trimestriale de venit ale fiecărui vânzător activ pe platformă [6].</w:t>
      </w:r>
    </w:p>
    <w:p>
      <w:pPr>
        <w:pStyle w:val="Heading2"/>
        <w:keepNext/>
        <w:keepLines/>
        <w:spacing w:before="360" w:after="0" w:line="360" w:lineRule="auto"/>
        <w:jc w:val="both"/>
      </w:pPr>
      <w:r>
        <w:rPr>
          <w:rFonts w:ascii="UT Sans" w:hAnsi="UT Sans" w:cs="UT Sans"/>
          <w:b/>
          <w:i w:val="0"/>
          <w:sz w:val="28"/>
        </w:rPr>
        <w:t>3.3 Sistemul RO e-Transport și Codul UIT</w:t>
      </w:r>
    </w:p>
    <w:p>
      <w:pPr>
        <w:pStyle w:val="Heading3"/>
        <w:keepNext/>
        <w:keepLines/>
        <w:spacing w:before="200" w:after="0" w:line="360" w:lineRule="auto"/>
        <w:jc w:val="both"/>
      </w:pPr>
      <w:r>
        <w:rPr>
          <w:rFonts w:ascii="UT Sans" w:hAnsi="UT Sans" w:cs="UT Sans"/>
          <w:b/>
          <w:i w:val="0"/>
          <w:sz w:val="22"/>
        </w:rPr>
        <w:t>3.3.1 Criterii de monitorizare și bunuri cu risc fiscal ridicat</w:t>
      </w:r>
    </w:p>
    <w:p>
      <w:pPr>
        <w:spacing w:line="360" w:lineRule="auto"/>
        <w:jc w:val="both"/>
      </w:pPr>
      <w:r>
        <w:rPr>
          <w:rFonts w:ascii="UT Sans" w:hAnsi="UT Sans" w:cs="UT Sans"/>
          <w:b w:val="0"/>
          <w:i w:val="0"/>
          <w:sz w:val="24"/>
        </w:rPr>
        <w:t>Sistemul național RO e-Transport completează cadrul de supraveghere fiscală prin monitorizarea în timp real a transporturilor rutiere de bunuri pe teritoriul național [6]. Scopul principal este reducerea evaziunii fiscale prin identificarea punctelor de deturnare a mărfurilor din circuitul legal. Sistemul funcționează prin obligativitatea declarării anticipate a transporturilor și verificarea în trafic a existenței codului UIT [6].</w:t>
      </w:r>
    </w:p>
    <w:p>
      <w:pPr>
        <w:spacing w:line="360" w:lineRule="auto"/>
        <w:jc w:val="both"/>
      </w:pPr>
      <w:r>
        <w:rPr>
          <w:rFonts w:ascii="UT Sans" w:hAnsi="UT Sans" w:cs="UT Sans"/>
          <w:b w:val="0"/>
          <w:i w:val="0"/>
          <w:sz w:val="24"/>
        </w:rPr>
        <w:t>RO e-Transport monitorizează două mari categorii de transporturi: transporturile internaționale de orice bunuri și transporturile naționale de bunuri cu risc fiscal ridicat (BRFR) [6]. Un transport devine raportabil dacă îndeplinește simultan următoarele condiții [6]:</w:t>
      </w:r>
    </w:p>
    <w:p>
      <w:pPr>
        <w:jc w:val="both"/>
        <w:spacing w:after="80" w:line="360" w:lineRule="auto"/>
        <w:ind w:left="720" w:hanging="360"/>
      </w:pPr>
      <w:r>
        <w:rPr>
          <w:rFonts w:ascii="UT Sans" w:hAnsi="UT Sans" w:cs="UT Sans"/>
          <w:b w:val="0"/>
          <w:i w:val="0"/>
          <w:sz w:val="22"/>
        </w:rPr>
        <w:t>• Este efectuat cu un vehicul cu masa maximă tehnic admisibilă de cel puțin 2,5 tone</w:t>
      </w:r>
    </w:p>
    <w:p>
      <w:pPr>
        <w:jc w:val="both"/>
        <w:spacing w:after="80" w:line="360" w:lineRule="auto"/>
        <w:ind w:left="720" w:hanging="360"/>
      </w:pPr>
      <w:r>
        <w:rPr>
          <w:rFonts w:ascii="UT Sans" w:hAnsi="UT Sans" w:cs="UT Sans"/>
          <w:b w:val="0"/>
          <w:i w:val="0"/>
          <w:sz w:val="22"/>
        </w:rPr>
        <w:t>• Masa brută a mărfurilor depășește 500 kg SAU valoarea totală a mărfurilor depășește 10.000 lei (fără TVA)</w:t>
      </w:r>
    </w:p>
    <w:p>
      <w:pPr>
        <w:jc w:val="both"/>
        <w:spacing w:after="80" w:line="360" w:lineRule="auto"/>
        <w:ind w:left="720" w:hanging="360"/>
      </w:pPr>
      <w:r>
        <w:rPr>
          <w:rFonts w:ascii="UT Sans" w:hAnsi="UT Sans" w:cs="UT Sans"/>
          <w:b w:val="0"/>
          <w:i w:val="0"/>
          <w:sz w:val="22"/>
        </w:rPr>
        <w:t>• Bunurile transportate se încadrează în categoriile BRFR definite de ANAF (inclusiv cerealele sub codurile NC monitorizate)</w:t>
      </w:r>
    </w:p>
    <w:p>
      <w:pPr>
        <w:pStyle w:val="Heading3"/>
        <w:keepNext/>
        <w:keepLines/>
        <w:spacing w:before="200" w:after="0" w:line="360" w:lineRule="auto"/>
        <w:jc w:val="both"/>
      </w:pPr>
      <w:r>
        <w:rPr>
          <w:rFonts w:ascii="UT Sans" w:hAnsi="UT Sans" w:cs="UT Sans"/>
          <w:b/>
          <w:i w:val="0"/>
          <w:sz w:val="22"/>
        </w:rPr>
        <w:t>3.3.2 Procesul de obținere și utilizare a codului UIT</w:t>
      </w:r>
    </w:p>
    <w:p>
      <w:pPr>
        <w:spacing w:line="360" w:lineRule="auto"/>
        <w:jc w:val="both"/>
      </w:pPr>
      <w:r>
        <w:rPr>
          <w:rFonts w:ascii="UT Sans" w:hAnsi="UT Sans" w:cs="UT Sans"/>
          <w:b w:val="0"/>
          <w:i w:val="0"/>
          <w:sz w:val="24"/>
        </w:rPr>
        <w:t>Codul UIT (Unitate de Identificare a Transportului) este elementul central al sistemului. Acesta este un cod unic generat în SPV (Spațiul Privat Virtual) după declararea datelor aferente transportului [6]. Responsabilitatea declarării revine furnizorului (pentru tranzacții interne) sau beneficiarului (pentru achiziții intracomunitare) [6].</w:t>
      </w:r>
    </w:p>
    <w:p>
      <w:pPr>
        <w:spacing w:line="360" w:lineRule="auto"/>
        <w:jc w:val="both"/>
      </w:pPr>
      <w:r>
        <w:rPr>
          <w:rFonts w:ascii="UT Sans" w:hAnsi="UT Sans" w:cs="UT Sans"/>
          <w:b w:val="0"/>
          <w:i w:val="0"/>
          <w:sz w:val="24"/>
        </w:rPr>
        <w:t>Ciclul de viață complet al unui UIT parcurge mai multe etape: Notificarea inițială (declararea datelor transportului, incluzând expeditor, destinatar, tipul mărfii, cantitate, valoare, vehicul și ruta planificată), Generarea codului UIT de către sistemul ANAF, Comunicarea codului către transportator (care trebuie să îl aibă disponibil în format electronic sau tipărit pe toată durata transportului), și eventual Modificarea sau Anularea declarației dacă condițiile se schimbă [6].</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UT Sans" w:hAnsi="UT Sans" w:cs="UT Sans"/>
                <w:b/>
                <w:i w:val="0"/>
                <w:sz w:val="22"/>
              </w:rPr>
              <w:t>Caracteristică UIT</w:t>
            </w:r>
          </w:p>
        </w:tc>
        <w:tc>
          <w:tcPr>
            <w:tcW w:type="dxa" w:w="3213"/>
          </w:tcPr>
          <w:p>
            <w:r>
              <w:rPr>
                <w:rFonts w:ascii="UT Sans" w:hAnsi="UT Sans" w:cs="UT Sans"/>
                <w:b/>
                <w:i w:val="0"/>
                <w:sz w:val="22"/>
              </w:rPr>
              <w:t>Detaliu</w:t>
            </w:r>
          </w:p>
        </w:tc>
        <w:tc>
          <w:tcPr>
            <w:tcW w:type="dxa" w:w="3213"/>
          </w:tcPr>
          <w:p>
            <w:r>
              <w:rPr>
                <w:rFonts w:ascii="UT Sans" w:hAnsi="UT Sans" w:cs="UT Sans"/>
                <w:b/>
                <w:i w:val="0"/>
                <w:sz w:val="22"/>
              </w:rPr>
              <w:t>Impact Operațional</w:t>
            </w:r>
          </w:p>
        </w:tc>
      </w:tr>
      <w:tr>
        <w:tc>
          <w:tcPr>
            <w:tcW w:type="dxa" w:w="3213"/>
          </w:tcPr>
          <w:p>
            <w:r>
              <w:rPr>
                <w:rFonts w:ascii="UT Sans" w:hAnsi="UT Sans" w:cs="UT Sans"/>
                <w:b w:val="0"/>
                <w:i w:val="0"/>
                <w:sz w:val="22"/>
              </w:rPr>
              <w:t>Valabilitate</w:t>
            </w:r>
          </w:p>
        </w:tc>
        <w:tc>
          <w:tcPr>
            <w:tcW w:type="dxa" w:w="3213"/>
          </w:tcPr>
          <w:p>
            <w:r>
              <w:rPr>
                <w:rFonts w:ascii="UT Sans" w:hAnsi="UT Sans" w:cs="UT Sans"/>
                <w:b w:val="0"/>
                <w:i w:val="0"/>
                <w:sz w:val="22"/>
              </w:rPr>
              <w:t>5 zile (național); 15 zile (internațional) [6]</w:t>
            </w:r>
          </w:p>
        </w:tc>
        <w:tc>
          <w:tcPr>
            <w:tcW w:type="dxa" w:w="3213"/>
          </w:tcPr>
          <w:p>
            <w:r>
              <w:rPr>
                <w:rFonts w:ascii="UT Sans" w:hAnsi="UT Sans" w:cs="UT Sans"/>
                <w:b w:val="0"/>
                <w:i w:val="0"/>
                <w:sz w:val="22"/>
              </w:rPr>
              <w:t>Planificare anticipată necesară</w:t>
            </w:r>
          </w:p>
        </w:tc>
      </w:tr>
      <w:tr>
        <w:tc>
          <w:tcPr>
            <w:tcW w:type="dxa" w:w="3213"/>
          </w:tcPr>
          <w:p>
            <w:r>
              <w:rPr>
                <w:rFonts w:ascii="UT Sans" w:hAnsi="UT Sans" w:cs="UT Sans"/>
                <w:b w:val="0"/>
                <w:i w:val="0"/>
                <w:sz w:val="22"/>
              </w:rPr>
              <w:t>Moment Generare</w:t>
            </w:r>
          </w:p>
        </w:tc>
        <w:tc>
          <w:tcPr>
            <w:tcW w:type="dxa" w:w="3213"/>
          </w:tcPr>
          <w:p>
            <w:r>
              <w:rPr>
                <w:rFonts w:ascii="UT Sans" w:hAnsi="UT Sans" w:cs="UT Sans"/>
                <w:b w:val="0"/>
                <w:i w:val="0"/>
                <w:sz w:val="22"/>
              </w:rPr>
              <w:t>Max 3 zile înainte de transport [6]</w:t>
            </w:r>
          </w:p>
        </w:tc>
        <w:tc>
          <w:tcPr>
            <w:tcW w:type="dxa" w:w="3213"/>
          </w:tcPr>
          <w:p>
            <w:r>
              <w:rPr>
                <w:rFonts w:ascii="UT Sans" w:hAnsi="UT Sans" w:cs="UT Sans"/>
                <w:b w:val="0"/>
                <w:i w:val="0"/>
                <w:sz w:val="22"/>
              </w:rPr>
              <w:t>Integrare timpurie în fluxul contractual</w:t>
            </w:r>
          </w:p>
        </w:tc>
      </w:tr>
      <w:tr>
        <w:tc>
          <w:tcPr>
            <w:tcW w:type="dxa" w:w="3213"/>
          </w:tcPr>
          <w:p>
            <w:r>
              <w:rPr>
                <w:rFonts w:ascii="UT Sans" w:hAnsi="UT Sans" w:cs="UT Sans"/>
                <w:b w:val="0"/>
                <w:i w:val="0"/>
                <w:sz w:val="22"/>
              </w:rPr>
              <w:t>Obligație GPS (2025)</w:t>
            </w:r>
          </w:p>
        </w:tc>
        <w:tc>
          <w:tcPr>
            <w:tcW w:type="dxa" w:w="3213"/>
          </w:tcPr>
          <w:p>
            <w:r>
              <w:rPr>
                <w:rFonts w:ascii="UT Sans" w:hAnsi="UT Sans" w:cs="UT Sans"/>
                <w:b w:val="0"/>
                <w:i w:val="0"/>
                <w:sz w:val="22"/>
              </w:rPr>
              <w:t>Transfer date GPS către ANAF [6]</w:t>
            </w:r>
          </w:p>
        </w:tc>
        <w:tc>
          <w:tcPr>
            <w:tcW w:type="dxa" w:w="3213"/>
          </w:tcPr>
          <w:p>
            <w:r>
              <w:rPr>
                <w:rFonts w:ascii="UT Sans" w:hAnsi="UT Sans" w:cs="UT Sans"/>
                <w:b w:val="0"/>
                <w:i w:val="0"/>
                <w:sz w:val="22"/>
              </w:rPr>
              <w:t>Hardware GPS pe vehicule obligatoriu</w:t>
            </w:r>
          </w:p>
        </w:tc>
      </w:tr>
      <w:tr>
        <w:tc>
          <w:tcPr>
            <w:tcW w:type="dxa" w:w="3213"/>
          </w:tcPr>
          <w:p>
            <w:r>
              <w:rPr>
                <w:rFonts w:ascii="UT Sans" w:hAnsi="UT Sans" w:cs="UT Sans"/>
                <w:b w:val="0"/>
                <w:i w:val="0"/>
                <w:sz w:val="22"/>
              </w:rPr>
              <w:t>Sancțiuni</w:t>
            </w:r>
          </w:p>
        </w:tc>
        <w:tc>
          <w:tcPr>
            <w:tcW w:type="dxa" w:w="3213"/>
          </w:tcPr>
          <w:p>
            <w:r>
              <w:rPr>
                <w:rFonts w:ascii="UT Sans" w:hAnsi="UT Sans" w:cs="UT Sans"/>
                <w:b w:val="0"/>
                <w:i w:val="0"/>
                <w:sz w:val="22"/>
              </w:rPr>
              <w:t>Amenzi până la 100.000 lei [6]</w:t>
            </w:r>
          </w:p>
        </w:tc>
        <w:tc>
          <w:tcPr>
            <w:tcW w:type="dxa" w:w="3213"/>
          </w:tcPr>
          <w:p>
            <w:r>
              <w:rPr>
                <w:rFonts w:ascii="UT Sans" w:hAnsi="UT Sans" w:cs="UT Sans"/>
                <w:b w:val="0"/>
                <w:i w:val="0"/>
                <w:sz w:val="22"/>
              </w:rPr>
              <w:t>Risc operațional semnificativ</w:t>
            </w:r>
          </w:p>
        </w:tc>
      </w:tr>
      <w:tr>
        <w:tc>
          <w:tcPr>
            <w:tcW w:type="dxa" w:w="3213"/>
          </w:tcPr>
          <w:p>
            <w:r>
              <w:rPr>
                <w:rFonts w:ascii="UT Sans" w:hAnsi="UT Sans" w:cs="UT Sans"/>
                <w:b w:val="0"/>
                <w:i w:val="0"/>
                <w:sz w:val="22"/>
              </w:rPr>
              <w:t>Confiscare</w:t>
            </w:r>
          </w:p>
        </w:tc>
        <w:tc>
          <w:tcPr>
            <w:tcW w:type="dxa" w:w="3213"/>
          </w:tcPr>
          <w:p>
            <w:r>
              <w:rPr>
                <w:rFonts w:ascii="UT Sans" w:hAnsi="UT Sans" w:cs="UT Sans"/>
                <w:b w:val="0"/>
                <w:i w:val="0"/>
                <w:sz w:val="22"/>
              </w:rPr>
              <w:t>Bunuri fără UIT pot fi confiscate [6]</w:t>
            </w:r>
          </w:p>
        </w:tc>
        <w:tc>
          <w:tcPr>
            <w:tcW w:type="dxa" w:w="3213"/>
          </w:tcPr>
          <w:p>
            <w:r>
              <w:rPr>
                <w:rFonts w:ascii="UT Sans" w:hAnsi="UT Sans" w:cs="UT Sans"/>
                <w:b w:val="0"/>
                <w:i w:val="0"/>
                <w:sz w:val="22"/>
              </w:rPr>
              <w:t>Pierdere totală a încărcăturii</w:t>
            </w:r>
          </w:p>
        </w:tc>
      </w:tr>
    </w:tbl>
    <w:p>
      <w:pPr>
        <w:spacing w:line="360" w:lineRule="auto" w:after="80"/>
        <w:jc w:val="both"/>
      </w:pPr>
      <w:r>
        <w:rPr>
          <w:rFonts w:ascii="UT Sans" w:hAnsi="UT Sans" w:cs="UT Sans"/>
          <w:b w:val="0"/>
          <w:i w:val="0"/>
          <w:sz w:val="24"/>
        </w:rPr>
      </w:r>
    </w:p>
    <w:p>
      <w:pPr>
        <w:spacing w:line="360" w:lineRule="auto"/>
        <w:jc w:val="both"/>
      </w:pPr>
      <w:r>
        <w:rPr>
          <w:rFonts w:ascii="UT Sans" w:hAnsi="UT Sans" w:cs="UT Sans"/>
          <w:b w:val="0"/>
          <w:i w:val="0"/>
          <w:sz w:val="24"/>
        </w:rPr>
        <w:t>AgriConnect automatizează întregul ciclu de viață al codului UIT prin integrarea API-ului ANAF v2 în modulul de Transport. Utilizând datele contractuale din contextul Trading, platforma pre-completează declarațiile XML, gestionând automat ciclul: Notificare → Modificare → Confirmare/Anulare [6]. Această integrare asigură că transportul nu este niciodată tratat ca o operațiune pur fizică, ci ca un flux de date coordonat și legal conform [6].</w:t>
      </w:r>
    </w:p>
    <w:p>
      <w:pPr>
        <w:pStyle w:val="Heading2"/>
        <w:keepNext/>
        <w:keepLines/>
        <w:spacing w:before="360" w:after="0" w:line="360" w:lineRule="auto"/>
        <w:jc w:val="both"/>
      </w:pPr>
      <w:r>
        <w:rPr>
          <w:rFonts w:ascii="UT Sans" w:hAnsi="UT Sans" w:cs="UT Sans"/>
          <w:b/>
          <w:i w:val="0"/>
          <w:sz w:val="28"/>
        </w:rPr>
        <w:t>3.4 Infrastructura Financiară: PSD2 și Sistemul Escrow</w:t>
      </w:r>
    </w:p>
    <w:p>
      <w:pPr>
        <w:pStyle w:val="Heading3"/>
        <w:keepNext/>
        <w:keepLines/>
        <w:spacing w:before="200" w:after="0" w:line="360" w:lineRule="auto"/>
        <w:jc w:val="both"/>
      </w:pPr>
      <w:r>
        <w:rPr>
          <w:rFonts w:ascii="UT Sans" w:hAnsi="UT Sans" w:cs="UT Sans"/>
          <w:b/>
          <w:i w:val="0"/>
          <w:sz w:val="22"/>
        </w:rPr>
        <w:t>3.4.1 Arhitectura conturilor protejate și segregarea fondurilor</w:t>
      </w:r>
    </w:p>
    <w:p>
      <w:pPr>
        <w:spacing w:line="360" w:lineRule="auto"/>
        <w:jc w:val="both"/>
      </w:pPr>
      <w:r>
        <w:rPr>
          <w:rFonts w:ascii="UT Sans" w:hAnsi="UT Sans" w:cs="UT Sans"/>
          <w:b w:val="0"/>
          <w:i w:val="0"/>
          <w:sz w:val="24"/>
        </w:rPr>
        <w:t>Sistemele de plăți digitale în cadrul marketplace-urilor B2B au fost fundamental restructurate de Directiva Revizuită a Serviciilor de Plată (PSD2), transpusă în legislația națională prin Legea nr. 209/2019 [7]. Această reglementare a catalizat trecerea către Open Banking, permițând furnizorilor de servicii terți (Third-Party Providers - TPPs) să acceseze datele conturilor bancare și să inițieze plăți în numele clienților, cu consimțământul explicit al acestora [7].</w:t>
      </w:r>
    </w:p>
    <w:p>
      <w:pPr>
        <w:spacing w:line="360" w:lineRule="auto"/>
        <w:jc w:val="both"/>
      </w:pPr>
      <w:r>
        <w:rPr>
          <w:rFonts w:ascii="UT Sans" w:hAnsi="UT Sans" w:cs="UT Sans"/>
          <w:b w:val="0"/>
          <w:i w:val="0"/>
          <w:sz w:val="24"/>
        </w:rPr>
        <w:t>Conceptul de "safeguarded accounts" sau conturi de segregare este esențial pentru protejarea capitalului utilizatorilor [7]. Aceste conturi sunt structurate astfel încât fondurile clienților să fie izolate legal și operațional de activele proprii ale platformei. Într-o tranzacție cu cereale, cumpărătorul transferă contravaloarea mărfii într-un cont protejat, unde fondurile rămân blocate până când condițiile contractuale — recepția calitativă și cantitativă a lotului conform specificațiilor din listare — sunt confirmate prin platformă [7].</w:t>
      </w:r>
    </w:p>
    <w:p>
      <w:pPr>
        <w:pStyle w:val="Heading3"/>
        <w:keepNext/>
        <w:keepLines/>
        <w:spacing w:before="200" w:after="0" w:line="360" w:lineRule="auto"/>
        <w:jc w:val="both"/>
      </w:pPr>
      <w:r>
        <w:rPr>
          <w:rFonts w:ascii="UT Sans" w:hAnsi="UT Sans" w:cs="UT Sans"/>
          <w:b/>
          <w:i w:val="0"/>
          <w:sz w:val="22"/>
        </w:rPr>
        <w:t>3.4.2 Implementare tehnică și interconectivitate bancară</w:t>
      </w:r>
    </w:p>
    <w:p>
      <w:pPr>
        <w:spacing w:line="360" w:lineRule="auto"/>
        <w:jc w:val="both"/>
      </w:pPr>
      <w:r>
        <w:rPr>
          <w:rFonts w:ascii="UT Sans" w:hAnsi="UT Sans" w:cs="UT Sans"/>
          <w:b w:val="0"/>
          <w:i w:val="0"/>
          <w:sz w:val="24"/>
        </w:rPr>
        <w:t>Implementarea unui sistem de escrow digital în România necesită o integrare profundă cu API-urile bancare PSD2. O analiză a capabilităților la nivelul principalelor instituții bancare din România relevă o diversitate de protocoale de autentificare și restricții specifice fiecărei bănci [8]:</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UT Sans" w:hAnsi="UT Sans" w:cs="UT Sans"/>
                <w:b/>
                <w:i w:val="0"/>
                <w:sz w:val="22"/>
              </w:rPr>
              <w:t>Instituție Bancară</w:t>
            </w:r>
          </w:p>
        </w:tc>
        <w:tc>
          <w:tcPr>
            <w:tcW w:type="dxa" w:w="3213"/>
          </w:tcPr>
          <w:p>
            <w:r>
              <w:rPr>
                <w:rFonts w:ascii="UT Sans" w:hAnsi="UT Sans" w:cs="UT Sans"/>
                <w:b/>
                <w:i w:val="0"/>
                <w:sz w:val="22"/>
              </w:rPr>
              <w:t>Flux Autorizare</w:t>
            </w:r>
          </w:p>
        </w:tc>
        <w:tc>
          <w:tcPr>
            <w:tcW w:type="dxa" w:w="3213"/>
          </w:tcPr>
          <w:p>
            <w:r>
              <w:rPr>
                <w:rFonts w:ascii="UT Sans" w:hAnsi="UT Sans" w:cs="UT Sans"/>
                <w:b/>
                <w:i w:val="0"/>
                <w:sz w:val="22"/>
              </w:rPr>
              <w:t>Restricții Cont</w:t>
            </w:r>
          </w:p>
        </w:tc>
      </w:tr>
      <w:tr>
        <w:tc>
          <w:tcPr>
            <w:tcW w:type="dxa" w:w="3213"/>
          </w:tcPr>
          <w:p>
            <w:r>
              <w:rPr>
                <w:rFonts w:ascii="UT Sans" w:hAnsi="UT Sans" w:cs="UT Sans"/>
                <w:b w:val="0"/>
                <w:i w:val="0"/>
                <w:sz w:val="22"/>
              </w:rPr>
              <w:t>Banca Transilvania</w:t>
            </w:r>
          </w:p>
        </w:tc>
        <w:tc>
          <w:tcPr>
            <w:tcW w:type="dxa" w:w="3213"/>
          </w:tcPr>
          <w:p>
            <w:r>
              <w:rPr>
                <w:rFonts w:ascii="UT Sans" w:hAnsi="UT Sans" w:cs="UT Sans"/>
                <w:b w:val="0"/>
                <w:i w:val="0"/>
                <w:sz w:val="22"/>
              </w:rPr>
              <w:t>BT24 (web) sau BT Go/BT Pay (mobile)</w:t>
            </w:r>
          </w:p>
        </w:tc>
        <w:tc>
          <w:tcPr>
            <w:tcW w:type="dxa" w:w="3213"/>
          </w:tcPr>
          <w:p>
            <w:r>
              <w:rPr>
                <w:rFonts w:ascii="UT Sans" w:hAnsi="UT Sans" w:cs="UT Sans"/>
                <w:b w:val="0"/>
                <w:i w:val="0"/>
                <w:sz w:val="22"/>
              </w:rPr>
              <w:t>Nu suportă BT Ultra; exclude depozit/credit [8]</w:t>
            </w:r>
          </w:p>
        </w:tc>
      </w:tr>
      <w:tr>
        <w:tc>
          <w:tcPr>
            <w:tcW w:type="dxa" w:w="3213"/>
          </w:tcPr>
          <w:p>
            <w:r>
              <w:rPr>
                <w:rFonts w:ascii="UT Sans" w:hAnsi="UT Sans" w:cs="UT Sans"/>
                <w:b w:val="0"/>
                <w:i w:val="0"/>
                <w:sz w:val="22"/>
              </w:rPr>
              <w:t>BCR</w:t>
            </w:r>
          </w:p>
        </w:tc>
        <w:tc>
          <w:tcPr>
            <w:tcW w:type="dxa" w:w="3213"/>
          </w:tcPr>
          <w:p>
            <w:r>
              <w:rPr>
                <w:rFonts w:ascii="UT Sans" w:hAnsi="UT Sans" w:cs="UT Sans"/>
                <w:b w:val="0"/>
                <w:i w:val="0"/>
                <w:sz w:val="22"/>
              </w:rPr>
              <w:t>George (web/mobile)</w:t>
            </w:r>
          </w:p>
        </w:tc>
        <w:tc>
          <w:tcPr>
            <w:tcW w:type="dxa" w:w="3213"/>
          </w:tcPr>
          <w:p>
            <w:r>
              <w:rPr>
                <w:rFonts w:ascii="UT Sans" w:hAnsi="UT Sans" w:cs="UT Sans"/>
                <w:b w:val="0"/>
                <w:i w:val="0"/>
                <w:sz w:val="22"/>
              </w:rPr>
              <w:t>Exclude conturi depozit și credit [8]</w:t>
            </w:r>
          </w:p>
        </w:tc>
      </w:tr>
      <w:tr>
        <w:tc>
          <w:tcPr>
            <w:tcW w:type="dxa" w:w="3213"/>
          </w:tcPr>
          <w:p>
            <w:r>
              <w:rPr>
                <w:rFonts w:ascii="UT Sans" w:hAnsi="UT Sans" w:cs="UT Sans"/>
                <w:b w:val="0"/>
                <w:i w:val="0"/>
                <w:sz w:val="22"/>
              </w:rPr>
              <w:t>BRD</w:t>
            </w:r>
          </w:p>
        </w:tc>
        <w:tc>
          <w:tcPr>
            <w:tcW w:type="dxa" w:w="3213"/>
          </w:tcPr>
          <w:p>
            <w:r>
              <w:rPr>
                <w:rFonts w:ascii="UT Sans" w:hAnsi="UT Sans" w:cs="UT Sans"/>
                <w:b w:val="0"/>
                <w:i w:val="0"/>
                <w:sz w:val="22"/>
              </w:rPr>
              <w:t>MyBRD Mobile / BRD@ffice</w:t>
            </w:r>
          </w:p>
        </w:tc>
        <w:tc>
          <w:tcPr>
            <w:tcW w:type="dxa" w:w="3213"/>
          </w:tcPr>
          <w:p>
            <w:r>
              <w:rPr>
                <w:rFonts w:ascii="UT Sans" w:hAnsi="UT Sans" w:cs="UT Sans"/>
                <w:b w:val="0"/>
                <w:i w:val="0"/>
                <w:sz w:val="22"/>
              </w:rPr>
              <w:t>Suportă conturi curente și de card [8]</w:t>
            </w:r>
          </w:p>
        </w:tc>
      </w:tr>
      <w:tr>
        <w:tc>
          <w:tcPr>
            <w:tcW w:type="dxa" w:w="3213"/>
          </w:tcPr>
          <w:p>
            <w:r>
              <w:rPr>
                <w:rFonts w:ascii="UT Sans" w:hAnsi="UT Sans" w:cs="UT Sans"/>
                <w:b w:val="0"/>
                <w:i w:val="0"/>
                <w:sz w:val="22"/>
              </w:rPr>
              <w:t>ING Bank</w:t>
            </w:r>
          </w:p>
        </w:tc>
        <w:tc>
          <w:tcPr>
            <w:tcW w:type="dxa" w:w="3213"/>
          </w:tcPr>
          <w:p>
            <w:r>
              <w:rPr>
                <w:rFonts w:ascii="UT Sans" w:hAnsi="UT Sans" w:cs="UT Sans"/>
                <w:b w:val="0"/>
                <w:i w:val="0"/>
                <w:sz w:val="22"/>
              </w:rPr>
              <w:t>Home'Bank</w:t>
            </w:r>
          </w:p>
        </w:tc>
        <w:tc>
          <w:tcPr>
            <w:tcW w:type="dxa" w:w="3213"/>
          </w:tcPr>
          <w:p>
            <w:r>
              <w:rPr>
                <w:rFonts w:ascii="UT Sans" w:hAnsi="UT Sans" w:cs="UT Sans"/>
                <w:b w:val="0"/>
                <w:i w:val="0"/>
                <w:sz w:val="22"/>
              </w:rPr>
              <w:t>Suportă curente, card, POS, colector [8]</w:t>
            </w:r>
          </w:p>
        </w:tc>
      </w:tr>
      <w:tr>
        <w:tc>
          <w:tcPr>
            <w:tcW w:type="dxa" w:w="3213"/>
          </w:tcPr>
          <w:p>
            <w:r>
              <w:rPr>
                <w:rFonts w:ascii="UT Sans" w:hAnsi="UT Sans" w:cs="UT Sans"/>
                <w:b w:val="0"/>
                <w:i w:val="0"/>
                <w:sz w:val="22"/>
              </w:rPr>
              <w:t>Raiffeisen</w:t>
            </w:r>
          </w:p>
        </w:tc>
        <w:tc>
          <w:tcPr>
            <w:tcW w:type="dxa" w:w="3213"/>
          </w:tcPr>
          <w:p>
            <w:r>
              <w:rPr>
                <w:rFonts w:ascii="UT Sans" w:hAnsi="UT Sans" w:cs="UT Sans"/>
                <w:b w:val="0"/>
                <w:i w:val="0"/>
                <w:sz w:val="22"/>
              </w:rPr>
              <w:t>Raiffeisen Online / Smart Mobile</w:t>
            </w:r>
          </w:p>
        </w:tc>
        <w:tc>
          <w:tcPr>
            <w:tcW w:type="dxa" w:w="3213"/>
          </w:tcPr>
          <w:p>
            <w:r>
              <w:rPr>
                <w:rFonts w:ascii="UT Sans" w:hAnsi="UT Sans" w:cs="UT Sans"/>
                <w:b w:val="0"/>
                <w:i w:val="0"/>
                <w:sz w:val="22"/>
              </w:rPr>
              <w:t>Exclude conturi depozit/credit [8]</w:t>
            </w:r>
          </w:p>
        </w:tc>
      </w:tr>
    </w:tbl>
    <w:p>
      <w:pPr>
        <w:spacing w:line="360" w:lineRule="auto" w:after="80"/>
        <w:jc w:val="both"/>
      </w:pPr>
      <w:r>
        <w:rPr>
          <w:rFonts w:ascii="UT Sans" w:hAnsi="UT Sans" w:cs="UT Sans"/>
          <w:b w:val="0"/>
          <w:i w:val="0"/>
          <w:sz w:val="24"/>
        </w:rPr>
      </w:r>
    </w:p>
    <w:p>
      <w:pPr>
        <w:pStyle w:val="Heading3"/>
        <w:keepNext/>
        <w:keepLines/>
        <w:spacing w:before="200" w:after="0" w:line="360" w:lineRule="auto"/>
        <w:jc w:val="both"/>
      </w:pPr>
      <w:r>
        <w:rPr>
          <w:rFonts w:ascii="UT Sans" w:hAnsi="UT Sans" w:cs="UT Sans"/>
          <w:b/>
          <w:i w:val="0"/>
          <w:sz w:val="22"/>
        </w:rPr>
        <w:t>3.4.3 Pilonii de securitate PSD2 și Split Payment</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UT Sans" w:hAnsi="UT Sans" w:cs="UT Sans"/>
                <w:b/>
                <w:i w:val="0"/>
                <w:sz w:val="22"/>
              </w:rPr>
              <w:t>Pilon Securitate PSD2</w:t>
            </w:r>
          </w:p>
        </w:tc>
        <w:tc>
          <w:tcPr>
            <w:tcW w:type="dxa" w:w="3213"/>
          </w:tcPr>
          <w:p>
            <w:r>
              <w:rPr>
                <w:rFonts w:ascii="UT Sans" w:hAnsi="UT Sans" w:cs="UT Sans"/>
                <w:b/>
                <w:i w:val="0"/>
                <w:sz w:val="22"/>
              </w:rPr>
              <w:t>Cerință Legală</w:t>
            </w:r>
          </w:p>
        </w:tc>
        <w:tc>
          <w:tcPr>
            <w:tcW w:type="dxa" w:w="3213"/>
          </w:tcPr>
          <w:p>
            <w:r>
              <w:rPr>
                <w:rFonts w:ascii="UT Sans" w:hAnsi="UT Sans" w:cs="UT Sans"/>
                <w:b/>
                <w:i w:val="0"/>
                <w:sz w:val="22"/>
              </w:rPr>
              <w:t>Implementare în AgriConnect</w:t>
            </w:r>
          </w:p>
        </w:tc>
      </w:tr>
      <w:tr>
        <w:tc>
          <w:tcPr>
            <w:tcW w:type="dxa" w:w="3213"/>
          </w:tcPr>
          <w:p>
            <w:r>
              <w:rPr>
                <w:rFonts w:ascii="UT Sans" w:hAnsi="UT Sans" w:cs="UT Sans"/>
                <w:b w:val="0"/>
                <w:i w:val="0"/>
                <w:sz w:val="22"/>
              </w:rPr>
              <w:t>SCA</w:t>
            </w:r>
          </w:p>
        </w:tc>
        <w:tc>
          <w:tcPr>
            <w:tcW w:type="dxa" w:w="3213"/>
          </w:tcPr>
          <w:p>
            <w:r>
              <w:rPr>
                <w:rFonts w:ascii="UT Sans" w:hAnsi="UT Sans" w:cs="UT Sans"/>
                <w:b w:val="0"/>
                <w:i w:val="0"/>
                <w:sz w:val="22"/>
              </w:rPr>
              <w:t>Verificare multi-factor [8]</w:t>
            </w:r>
          </w:p>
        </w:tc>
        <w:tc>
          <w:tcPr>
            <w:tcW w:type="dxa" w:w="3213"/>
          </w:tcPr>
          <w:p>
            <w:r>
              <w:rPr>
                <w:rFonts w:ascii="UT Sans" w:hAnsi="UT Sans" w:cs="UT Sans"/>
                <w:b w:val="0"/>
                <w:i w:val="0"/>
                <w:sz w:val="22"/>
              </w:rPr>
              <w:t>Protocol 3D Secure 2 pentru toate plățile</w:t>
            </w:r>
          </w:p>
        </w:tc>
      </w:tr>
      <w:tr>
        <w:tc>
          <w:tcPr>
            <w:tcW w:type="dxa" w:w="3213"/>
          </w:tcPr>
          <w:p>
            <w:r>
              <w:rPr>
                <w:rFonts w:ascii="UT Sans" w:hAnsi="UT Sans" w:cs="UT Sans"/>
                <w:b w:val="0"/>
                <w:i w:val="0"/>
                <w:sz w:val="22"/>
              </w:rPr>
              <w:t>Dynamic Linking</w:t>
            </w:r>
          </w:p>
        </w:tc>
        <w:tc>
          <w:tcPr>
            <w:tcW w:type="dxa" w:w="3213"/>
          </w:tcPr>
          <w:p>
            <w:r>
              <w:rPr>
                <w:rFonts w:ascii="UT Sans" w:hAnsi="UT Sans" w:cs="UT Sans"/>
                <w:b w:val="0"/>
                <w:i w:val="0"/>
                <w:sz w:val="22"/>
              </w:rPr>
              <w:t>Coduri unice sumă/beneficiar [8]</w:t>
            </w:r>
          </w:p>
        </w:tc>
        <w:tc>
          <w:tcPr>
            <w:tcW w:type="dxa" w:w="3213"/>
          </w:tcPr>
          <w:p>
            <w:r>
              <w:rPr>
                <w:rFonts w:ascii="UT Sans" w:hAnsi="UT Sans" w:cs="UT Sans"/>
                <w:b w:val="0"/>
                <w:i w:val="0"/>
                <w:sz w:val="22"/>
              </w:rPr>
              <w:t>Afișare destinatar și total pe ecranul auth</w:t>
            </w:r>
          </w:p>
        </w:tc>
      </w:tr>
      <w:tr>
        <w:tc>
          <w:tcPr>
            <w:tcW w:type="dxa" w:w="3213"/>
          </w:tcPr>
          <w:p>
            <w:r>
              <w:rPr>
                <w:rFonts w:ascii="UT Sans" w:hAnsi="UT Sans" w:cs="UT Sans"/>
                <w:b w:val="0"/>
                <w:i w:val="0"/>
                <w:sz w:val="22"/>
              </w:rPr>
              <w:t>Open Banking</w:t>
            </w:r>
          </w:p>
        </w:tc>
        <w:tc>
          <w:tcPr>
            <w:tcW w:type="dxa" w:w="3213"/>
          </w:tcPr>
          <w:p>
            <w:r>
              <w:rPr>
                <w:rFonts w:ascii="UT Sans" w:hAnsi="UT Sans" w:cs="UT Sans"/>
                <w:b w:val="0"/>
                <w:i w:val="0"/>
                <w:sz w:val="22"/>
              </w:rPr>
              <w:t>Acces cont (XS2A) pentru TPP [8]</w:t>
            </w:r>
          </w:p>
        </w:tc>
        <w:tc>
          <w:tcPr>
            <w:tcW w:type="dxa" w:w="3213"/>
          </w:tcPr>
          <w:p>
            <w:r>
              <w:rPr>
                <w:rFonts w:ascii="UT Sans" w:hAnsi="UT Sans" w:cs="UT Sans"/>
                <w:b w:val="0"/>
                <w:i w:val="0"/>
                <w:sz w:val="22"/>
              </w:rPr>
              <w:t>Verificare sold cumpărător via AISP</w:t>
            </w:r>
          </w:p>
        </w:tc>
      </w:tr>
      <w:tr>
        <w:tc>
          <w:tcPr>
            <w:tcW w:type="dxa" w:w="3213"/>
          </w:tcPr>
          <w:p>
            <w:r>
              <w:rPr>
                <w:rFonts w:ascii="UT Sans" w:hAnsi="UT Sans" w:cs="UT Sans"/>
                <w:b w:val="0"/>
                <w:i w:val="0"/>
                <w:sz w:val="22"/>
              </w:rPr>
              <w:t>Interzicere Suprataxare</w:t>
            </w:r>
          </w:p>
        </w:tc>
        <w:tc>
          <w:tcPr>
            <w:tcW w:type="dxa" w:w="3213"/>
          </w:tcPr>
          <w:p>
            <w:r>
              <w:rPr>
                <w:rFonts w:ascii="UT Sans" w:hAnsi="UT Sans" w:cs="UT Sans"/>
                <w:b w:val="0"/>
                <w:i w:val="0"/>
                <w:sz w:val="22"/>
              </w:rPr>
              <w:t>Fără taxe suplimentare card [8]</w:t>
            </w:r>
          </w:p>
        </w:tc>
        <w:tc>
          <w:tcPr>
            <w:tcW w:type="dxa" w:w="3213"/>
          </w:tcPr>
          <w:p>
            <w:r>
              <w:rPr>
                <w:rFonts w:ascii="UT Sans" w:hAnsi="UT Sans" w:cs="UT Sans"/>
                <w:b w:val="0"/>
                <w:i w:val="0"/>
                <w:sz w:val="22"/>
              </w:rPr>
              <w:t>Comisioane marketplace clar afișate</w:t>
            </w:r>
          </w:p>
        </w:tc>
      </w:tr>
    </w:tbl>
    <w:p>
      <w:pPr>
        <w:spacing w:line="360" w:lineRule="auto" w:after="80"/>
        <w:jc w:val="both"/>
      </w:pPr>
      <w:r>
        <w:rPr>
          <w:rFonts w:ascii="UT Sans" w:hAnsi="UT Sans" w:cs="UT Sans"/>
          <w:b w:val="0"/>
          <w:i w:val="0"/>
          <w:sz w:val="24"/>
        </w:rPr>
      </w:r>
    </w:p>
    <w:p>
      <w:pPr>
        <w:spacing w:line="360" w:lineRule="auto"/>
        <w:jc w:val="both"/>
      </w:pPr>
      <w:r>
        <w:rPr>
          <w:rFonts w:ascii="UT Sans" w:hAnsi="UT Sans" w:cs="UT Sans"/>
          <w:b w:val="0"/>
          <w:i w:val="0"/>
          <w:sz w:val="24"/>
        </w:rPr>
        <w:t>Platforma suportă "Split Payments", o funcționalitate esențială pentru logistica multi-parte [4]. Într-o tranzacție tipică AgriConnect, suma totală plătită de cumpărător este împărțită automat: 95% către vânzător (fermier), 3% către transportator pentru servicii de fret, și 2% către AgriConnect ca comision de intermediere. Această împărțire este gestionată atomic prin endpoint-ul POST /escrow/:id/release, asigurând că toate cele trei plăți sunt procesate în aceeași tranzacție [4].</w:t>
      </w:r>
    </w:p>
    <w:p>
      <w:pPr>
        <w:pStyle w:val="Heading2"/>
        <w:keepNext/>
        <w:keepLines/>
        <w:spacing w:before="360" w:after="0" w:line="360" w:lineRule="auto"/>
        <w:jc w:val="both"/>
      </w:pPr>
      <w:r>
        <w:rPr>
          <w:rFonts w:ascii="UT Sans" w:hAnsi="UT Sans" w:cs="UT Sans"/>
          <w:b/>
          <w:i w:val="0"/>
          <w:sz w:val="28"/>
        </w:rPr>
        <w:t>3.5 Practici Comerciale Neloiale: Legea 81/2022</w:t>
      </w:r>
    </w:p>
    <w:p>
      <w:pPr>
        <w:spacing w:line="360" w:lineRule="auto"/>
        <w:jc w:val="both"/>
      </w:pPr>
      <w:r>
        <w:rPr>
          <w:rFonts w:ascii="UT Sans" w:hAnsi="UT Sans" w:cs="UT Sans"/>
          <w:b w:val="0"/>
          <w:i w:val="0"/>
          <w:sz w:val="24"/>
        </w:rPr>
        <w:t>Legea nr. 81/2022, care transpune Directiva (UE) 2019/633, a fost introdusă pentru a corecta inechitățile dintre furnizorii de produse agricole (adesea fermieri mici) și cumpărătorii mari (retaileri sau traderi internaționali) prin interzicerea practicilor comerciale neloiale (UTP) [8]. Legea stabilește norme stricte privind comportamentul cumpărătorilor [8]:</w:t>
      </w:r>
    </w:p>
    <w:p>
      <w:pPr>
        <w:jc w:val="both"/>
        <w:spacing w:after="80" w:line="360" w:lineRule="auto"/>
        <w:ind w:left="720" w:hanging="360"/>
      </w:pPr>
      <w:r>
        <w:rPr>
          <w:rFonts w:ascii="UT Sans" w:hAnsi="UT Sans" w:cs="UT Sans"/>
          <w:b w:val="0"/>
          <w:i w:val="0"/>
          <w:sz w:val="22"/>
        </w:rPr>
        <w:t>• Depășirea Termenelor de Plată: maxim 14 zile pentru produse perisabile și 30 de zile pentru restul produselor agricole [8]</w:t>
      </w:r>
    </w:p>
    <w:p>
      <w:pPr>
        <w:jc w:val="both"/>
        <w:spacing w:after="80" w:line="360" w:lineRule="auto"/>
        <w:ind w:left="720" w:hanging="360"/>
      </w:pPr>
      <w:r>
        <w:rPr>
          <w:rFonts w:ascii="UT Sans" w:hAnsi="UT Sans" w:cs="UT Sans"/>
          <w:b w:val="0"/>
          <w:i w:val="0"/>
          <w:sz w:val="22"/>
        </w:rPr>
        <w:t>• Anularea Comenzilor: interzisă cu un preaviz mai mic de 30 de zile pentru produse perisabile [8]</w:t>
      </w:r>
    </w:p>
    <w:p>
      <w:pPr>
        <w:jc w:val="both"/>
        <w:spacing w:after="80" w:line="360" w:lineRule="auto"/>
        <w:ind w:left="720" w:hanging="360"/>
      </w:pPr>
      <w:r>
        <w:rPr>
          <w:rFonts w:ascii="UT Sans" w:hAnsi="UT Sans" w:cs="UT Sans"/>
          <w:b w:val="0"/>
          <w:i w:val="0"/>
          <w:sz w:val="22"/>
        </w:rPr>
        <w:t>• Taxe de Listare și Marketing: cumpărătorul nu poate impune furnizorului plăți pentru listare sau activități promoționale, decât dacă sunt convenite explicit prin contract [8]</w:t>
      </w:r>
    </w:p>
    <w:p>
      <w:pPr>
        <w:jc w:val="both"/>
        <w:spacing w:after="80" w:line="360" w:lineRule="auto"/>
        <w:ind w:left="720" w:hanging="360"/>
      </w:pPr>
      <w:r>
        <w:rPr>
          <w:rFonts w:ascii="UT Sans" w:hAnsi="UT Sans" w:cs="UT Sans"/>
          <w:b w:val="0"/>
          <w:i w:val="0"/>
          <w:sz w:val="22"/>
        </w:rPr>
        <w:t>• Plafonarea Remizelor: este interzisă aplicarea de reduceri care depășesc cumulat 20% din valoarea facturată [8]</w:t>
      </w:r>
    </w:p>
    <w:p>
      <w:pPr>
        <w:jc w:val="both"/>
        <w:spacing w:after="80" w:line="360" w:lineRule="auto"/>
        <w:ind w:left="720" w:hanging="360"/>
      </w:pPr>
      <w:r>
        <w:rPr>
          <w:rFonts w:ascii="UT Sans" w:hAnsi="UT Sans" w:cs="UT Sans"/>
          <w:b w:val="0"/>
          <w:i w:val="0"/>
          <w:sz w:val="22"/>
        </w:rPr>
        <w:t>• Modificări Unilaterale: este interzisă modificarea retroactivă a condițiilor contractuale privind calitatea, cantitatea sau prețul [8]</w:t>
      </w:r>
    </w:p>
    <w:p>
      <w:pPr>
        <w:spacing w:line="360" w:lineRule="auto"/>
        <w:jc w:val="both"/>
      </w:pPr>
      <w:r>
        <w:rPr>
          <w:rFonts w:ascii="UT Sans" w:hAnsi="UT Sans" w:cs="UT Sans"/>
          <w:b w:val="0"/>
          <w:i w:val="0"/>
          <w:sz w:val="24"/>
        </w:rPr>
        <w:t>Consiliul Concurenței are rolul de autoritate de aplicare, având puterea de a investiga sesizările, de a efectua inspecții inopinate și de a aplica sancțiuni de până la 1% din cifra de afaceri [8]. AgriConnect servește ca un registru neutru al interacțiunilor comerciale — dacă un cumpărător modifică unilateral condițiile contractuale sau depășește termenul de plată, contextul Disputes al platformei semnalizează automat acțiunea ca o potențială încălcare a Legii 81/2022 [8].</w:t>
      </w:r>
    </w:p>
    <w:p>
      <w:pPr>
        <w:pStyle w:val="Heading2"/>
        <w:keepNext/>
        <w:keepLines/>
        <w:spacing w:before="360" w:after="0" w:line="360" w:lineRule="auto"/>
        <w:jc w:val="both"/>
      </w:pPr>
      <w:r>
        <w:rPr>
          <w:rFonts w:ascii="UT Sans" w:hAnsi="UT Sans" w:cs="UT Sans"/>
          <w:b/>
          <w:i w:val="0"/>
          <w:sz w:val="28"/>
        </w:rPr>
        <w:t>3.6 GDPR, Privacy by Design și Trasabilitate Farm-to-Fork</w:t>
      </w:r>
    </w:p>
    <w:p>
      <w:pPr>
        <w:pStyle w:val="Heading3"/>
        <w:keepNext/>
        <w:keepLines/>
        <w:spacing w:before="200" w:after="0" w:line="360" w:lineRule="auto"/>
        <w:jc w:val="both"/>
      </w:pPr>
      <w:r>
        <w:rPr>
          <w:rFonts w:ascii="UT Sans" w:hAnsi="UT Sans" w:cs="UT Sans"/>
          <w:b/>
          <w:i w:val="0"/>
          <w:sz w:val="22"/>
        </w:rPr>
        <w:t>3.6.1 Protecția datelor prin design în ecosistemele B2B</w:t>
      </w:r>
    </w:p>
    <w:p>
      <w:pPr>
        <w:spacing w:line="360" w:lineRule="auto"/>
        <w:jc w:val="both"/>
      </w:pPr>
      <w:r>
        <w:rPr>
          <w:rFonts w:ascii="UT Sans" w:hAnsi="UT Sans" w:cs="UT Sans"/>
          <w:b w:val="0"/>
          <w:i w:val="0"/>
          <w:sz w:val="24"/>
        </w:rPr>
        <w:t>O platformă B2B care gestionează volume mari de date comerciale și financiare trebuie să integreze principiile GDPR încă din faza de arhitectură [9]. "Privacy by Design" înseamnă că măsurile tehnice și organizatorice sunt integrate în tehnologia de procesare a datelor de la bun început, nu adăugate retroactiv [9]. Acest lucru implică:</w:t>
      </w:r>
    </w:p>
    <w:p>
      <w:pPr>
        <w:jc w:val="both"/>
        <w:spacing w:after="80" w:line="360" w:lineRule="auto"/>
        <w:ind w:left="720" w:hanging="360"/>
      </w:pPr>
      <w:r>
        <w:rPr>
          <w:rFonts w:ascii="UT Sans" w:hAnsi="UT Sans" w:cs="UT Sans"/>
          <w:b w:val="0"/>
          <w:i w:val="0"/>
          <w:sz w:val="22"/>
        </w:rPr>
        <w:t>• Minimizarea Datelor: colectarea doar a informațiilor strict necesare pentru conformitatea fiscală (DAC7) și logistică (e-Transport)</w:t>
      </w:r>
    </w:p>
    <w:p>
      <w:pPr>
        <w:jc w:val="both"/>
        <w:spacing w:after="80" w:line="360" w:lineRule="auto"/>
        <w:ind w:left="720" w:hanging="360"/>
      </w:pPr>
      <w:r>
        <w:rPr>
          <w:rFonts w:ascii="UT Sans" w:hAnsi="UT Sans" w:cs="UT Sans"/>
          <w:b w:val="0"/>
          <w:i w:val="0"/>
          <w:sz w:val="22"/>
        </w:rPr>
        <w:t>• Pseudonimizarea și Criptarea: protejarea datelor de contact ale fermierilor și a detaliilor bancare, cu acces permis doar pe baza principiului "need-to-know"</w:t>
      </w:r>
    </w:p>
    <w:p>
      <w:pPr>
        <w:jc w:val="both"/>
        <w:spacing w:after="80" w:line="360" w:lineRule="auto"/>
        <w:ind w:left="720" w:hanging="360"/>
      </w:pPr>
      <w:r>
        <w:rPr>
          <w:rFonts w:ascii="UT Sans" w:hAnsi="UT Sans" w:cs="UT Sans"/>
          <w:b w:val="0"/>
          <w:i w:val="0"/>
          <w:sz w:val="22"/>
        </w:rPr>
        <w:t>• Intersecția GDPR-DAC7: deși operatorii trebuie să raporteze datele vânzătorilor către ANAF sub DAC7, aceștia trebuie să informeze subiecții datelor despre acest proces și să ofere acces la datele raportate la cerere [6]</w:t>
      </w:r>
    </w:p>
    <w:p>
      <w:pPr>
        <w:pStyle w:val="Heading3"/>
        <w:keepNext/>
        <w:keepLines/>
        <w:spacing w:before="200" w:after="0" w:line="360" w:lineRule="auto"/>
        <w:jc w:val="both"/>
      </w:pPr>
      <w:r>
        <w:rPr>
          <w:rFonts w:ascii="UT Sans" w:hAnsi="UT Sans" w:cs="UT Sans"/>
          <w:b/>
          <w:i w:val="0"/>
          <w:sz w:val="22"/>
        </w:rPr>
        <w:t>3.6.2 Trasabilitatea alimentară: Regulamentul (CE) 178/2002</w:t>
      </w:r>
    </w:p>
    <w:p>
      <w:pPr>
        <w:spacing w:line="360" w:lineRule="auto"/>
        <w:jc w:val="both"/>
      </w:pPr>
      <w:r>
        <w:rPr>
          <w:rFonts w:ascii="UT Sans" w:hAnsi="UT Sans" w:cs="UT Sans"/>
          <w:b w:val="0"/>
          <w:i w:val="0"/>
          <w:sz w:val="24"/>
        </w:rPr>
        <w:t>Trasabilitatea este "coloana vertebrală" a siguranței alimentare în UE. Regulamentul (CE) nr. 178/2002 stabilește principii generale, impunând operatorilor capacitatea de a identifica orice persoană de la care au fost aprovizionați și orice persoană căreia i-au livrat un produs — principiul "one-step-forward, one-step-back" [9]. O implementare digitală a trasabilității presupune identificarea loturilor (fiecare partidă de cereale corelată cu loturile de materii prime), etichetarea corespunzătoare pentru retrageri rapide, și integrarea cu platforma B2B unde documentele de însoțire și certificatele de calitate sunt stocate digital [9]. ANSVSA supraveghează aceste fluxuri în România [9].</w:t>
      </w:r>
    </w:p>
    <w:p>
      <w:pPr>
        <w:pStyle w:val="Heading2"/>
        <w:keepNext/>
        <w:keepLines/>
        <w:spacing w:before="360" w:after="0" w:line="360" w:lineRule="auto"/>
        <w:jc w:val="both"/>
      </w:pPr>
      <w:r>
        <w:rPr>
          <w:rFonts w:ascii="UT Sans" w:hAnsi="UT Sans" w:cs="UT Sans"/>
          <w:b/>
          <w:i w:val="0"/>
          <w:sz w:val="28"/>
        </w:rPr>
        <w:t>3.7 Delimitarea juridică: CAEN 4611 vs. Legea 357/2005</w:t>
      </w:r>
    </w:p>
    <w:p>
      <w:pPr>
        <w:spacing w:line="360" w:lineRule="auto"/>
        <w:jc w:val="both"/>
      </w:pPr>
      <w:r>
        <w:rPr>
          <w:rFonts w:ascii="UT Sans" w:hAnsi="UT Sans" w:cs="UT Sans"/>
          <w:b w:val="0"/>
          <w:i w:val="0"/>
          <w:sz w:val="24"/>
        </w:rPr>
        <w:t>Există o distincție clară între platformele de intermediere (agregatoare de cerere și ofertă) și bursele de mărfuri reglementate. Bursele de mărfuri funcționează în temeiul Legii nr. 357/2005 ca instituții care administrează piețe de interes public, asigurând condiții centralizate de negociere pentru bunuri fungibile [9]. Bursa Română de Mărfuri (BRM) operează terminale specializate pentru gaze, energie și un "Ring al Cerealelor" [9].</w:t>
      </w:r>
    </w:p>
    <w:p>
      <w:pPr>
        <w:spacing w:line="360" w:lineRule="auto"/>
        <w:jc w:val="both"/>
      </w:pPr>
      <w:r>
        <w:rPr>
          <w:rFonts w:ascii="UT Sans" w:hAnsi="UT Sans" w:cs="UT Sans"/>
          <w:b w:val="0"/>
          <w:i w:val="0"/>
          <w:sz w:val="24"/>
        </w:rPr>
        <w:t>AgriConnect operează sub codul CAEN 4611 ca un intermediar digital, facilitând tranzacții bilaterale OTC (over-the-counter) [9]. Diferența majoră rezidă în tipul de instrumente tranzacționate: dacă platforma ar oferi contracte futures sau opțiuni pe marfă, aceasta ar intra sub incidența Legii nr. 126/2018 privind piețele de instrumente financiare, necesitând autorizări complexe de la ASF și capital social ridicat [9]. Pentru tranzacțiile spot cu livrare imediată și contractele forward (cu livrare fizică la o dată viitoare), modelul de intermediere oferă flexibilitate maximă în configurarea licitațiilor și condițiilor specifice de livrare, fără povara regulatorie a unei burse reglementate [9].</w:t>
      </w:r>
    </w:p>
    <w:p>
      <w:r>
        <w:br w:type="page"/>
      </w:r>
    </w:p>
    <w:p>
      <w:pPr>
        <w:pStyle w:val="Heading1"/>
        <w:keepNext/>
        <w:keepLines/>
        <w:spacing w:before="360" w:after="160" w:line="360" w:lineRule="auto"/>
        <w:jc w:val="both"/>
      </w:pPr>
      <w:r>
        <w:rPr>
          <w:rFonts w:ascii="UT Sans" w:hAnsi="UT Sans" w:cs="UT Sans"/>
          <w:b/>
          <w:i w:val="0"/>
          <w:sz w:val="36"/>
        </w:rPr>
        <w:t>4. IMPLEMENTAREA PROIECTULUI</w:t>
      </w:r>
    </w:p>
    <w:p>
      <w:pPr>
        <w:spacing w:line="360" w:lineRule="auto"/>
        <w:jc w:val="both"/>
      </w:pPr>
      <w:r>
        <w:rPr>
          <w:rFonts w:ascii="UT Sans" w:hAnsi="UT Sans" w:cs="UT Sans"/>
          <w:b w:val="0"/>
          <w:i w:val="0"/>
          <w:sz w:val="24"/>
        </w:rPr>
        <w:t>Prezentul capitol descrie în detaliu implementarea practică a platformei AgriConnect, acoperind modulele backend și frontend, algoritmii de optimizare logistică, mecanismele de securitate și strategia de deployment. Implementarea se bazează pe principiile arhitecturale definite în Capitolul 2 și pe cadrul legislativ prezentat în Capitolul 3.</w:t>
      </w:r>
    </w:p>
    <w:p>
      <w:pPr>
        <w:pStyle w:val="Heading2"/>
        <w:keepNext/>
        <w:keepLines/>
        <w:spacing w:before="360" w:after="0" w:line="360" w:lineRule="auto"/>
        <w:jc w:val="both"/>
      </w:pPr>
      <w:r>
        <w:rPr>
          <w:rFonts w:ascii="UT Sans" w:hAnsi="UT Sans" w:cs="UT Sans"/>
          <w:b/>
          <w:i w:val="0"/>
          <w:sz w:val="28"/>
        </w:rPr>
        <w:t>4.1 Structura și Configurarea Proiectului</w:t>
      </w:r>
    </w:p>
    <w:p>
      <w:pPr>
        <w:spacing w:line="360" w:lineRule="auto"/>
        <w:jc w:val="both"/>
      </w:pPr>
      <w:r>
        <w:rPr>
          <w:rFonts w:ascii="UT Sans" w:hAnsi="UT Sans" w:cs="UT Sans"/>
          <w:b w:val="0"/>
          <w:i w:val="0"/>
          <w:sz w:val="24"/>
        </w:rPr>
        <w:t>AgriConnect este organizat ca un monorepo cu două componente principale: agritech-backend (NestJS 11, TypeScript 5, TypeORM 0.3) și agritech-frontend (React 19, Vite 7, React Router 7). Entry point-ul backend-ului (main.ts) configurează CORS-ul pentru a permite comunicarea cross-origin între frontend și backend, ValidationPipe-ul global cu opțiunile whitelist și transform pentru sanitizarea automată a input-ului, și pornește serverul pe portul 3000 [13].</w:t>
      </w:r>
    </w:p>
    <w:p>
      <w:pPr>
        <w:spacing w:line="360" w:lineRule="auto"/>
        <w:jc w:val="both"/>
      </w:pPr>
      <w:r>
        <w:rPr>
          <w:rFonts w:ascii="UT Sans" w:hAnsi="UT Sans" w:cs="UT Sans"/>
          <w:b w:val="0"/>
          <w:i w:val="0"/>
          <w:sz w:val="24"/>
        </w:rPr>
        <w:t>Modulul rădăcină (app.module.ts) orchestrează 7 module de domeniu și 11 entități prin configurarea TypeORM cu sincronizare automată a schemei bazei de date. Fiecare modul de domeniu este importat explicit, iar configurarea TypeORM utilizează TypeOrmModule.forRoot() cu entitățile specificate și opțiunea synchronize: true pentru dezvoltare (dezactivată în producție pentru a preveni migrări accidentale).</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r>
              <w:rPr>
                <w:rFonts w:ascii="UT Sans" w:hAnsi="UT Sans" w:cs="UT Sans"/>
                <w:b/>
                <w:i w:val="0"/>
                <w:sz w:val="22"/>
              </w:rPr>
              <w:t>#</w:t>
            </w:r>
          </w:p>
        </w:tc>
        <w:tc>
          <w:tcPr>
            <w:tcW w:type="dxa" w:w="1928"/>
          </w:tcPr>
          <w:p>
            <w:r>
              <w:rPr>
                <w:rFonts w:ascii="UT Sans" w:hAnsi="UT Sans" w:cs="UT Sans"/>
                <w:b/>
                <w:i w:val="0"/>
                <w:sz w:val="22"/>
              </w:rPr>
              <w:t>Modul</w:t>
            </w:r>
          </w:p>
        </w:tc>
        <w:tc>
          <w:tcPr>
            <w:tcW w:type="dxa" w:w="1928"/>
          </w:tcPr>
          <w:p>
            <w:r>
              <w:rPr>
                <w:rFonts w:ascii="UT Sans" w:hAnsi="UT Sans" w:cs="UT Sans"/>
                <w:b/>
                <w:i w:val="0"/>
                <w:sz w:val="22"/>
              </w:rPr>
              <w:t>Entități</w:t>
            </w:r>
          </w:p>
        </w:tc>
        <w:tc>
          <w:tcPr>
            <w:tcW w:type="dxa" w:w="1928"/>
          </w:tcPr>
          <w:p>
            <w:r>
              <w:rPr>
                <w:rFonts w:ascii="UT Sans" w:hAnsi="UT Sans" w:cs="UT Sans"/>
                <w:b/>
                <w:i w:val="0"/>
                <w:sz w:val="22"/>
              </w:rPr>
              <w:t>Endpoint-uri Cheie</w:t>
            </w:r>
          </w:p>
        </w:tc>
        <w:tc>
          <w:tcPr>
            <w:tcW w:type="dxa" w:w="1928"/>
          </w:tcPr>
          <w:p>
            <w:r>
              <w:rPr>
                <w:rFonts w:ascii="UT Sans" w:hAnsi="UT Sans" w:cs="UT Sans"/>
                <w:b/>
                <w:i w:val="0"/>
                <w:sz w:val="22"/>
              </w:rPr>
              <w:t>Funcționalități</w:t>
            </w:r>
          </w:p>
        </w:tc>
      </w:tr>
      <w:tr>
        <w:tc>
          <w:tcPr>
            <w:tcW w:type="dxa" w:w="1928"/>
          </w:tcPr>
          <w:p>
            <w:r>
              <w:rPr>
                <w:rFonts w:ascii="UT Sans" w:hAnsi="UT Sans" w:cs="UT Sans"/>
                <w:b w:val="0"/>
                <w:i w:val="0"/>
                <w:sz w:val="22"/>
              </w:rPr>
              <w:t>1</w:t>
            </w:r>
          </w:p>
        </w:tc>
        <w:tc>
          <w:tcPr>
            <w:tcW w:type="dxa" w:w="1928"/>
          </w:tcPr>
          <w:p>
            <w:r>
              <w:rPr>
                <w:rFonts w:ascii="UT Sans" w:hAnsi="UT Sans" w:cs="UT Sans"/>
                <w:b w:val="0"/>
                <w:i w:val="0"/>
                <w:sz w:val="22"/>
              </w:rPr>
              <w:t>IAM</w:t>
            </w:r>
          </w:p>
        </w:tc>
        <w:tc>
          <w:tcPr>
            <w:tcW w:type="dxa" w:w="1928"/>
          </w:tcPr>
          <w:p>
            <w:r>
              <w:rPr>
                <w:rFonts w:ascii="UT Sans" w:hAnsi="UT Sans" w:cs="UT Sans"/>
                <w:b w:val="0"/>
                <w:i w:val="0"/>
                <w:sz w:val="22"/>
              </w:rPr>
              <w:t>User, Company</w:t>
            </w:r>
          </w:p>
        </w:tc>
        <w:tc>
          <w:tcPr>
            <w:tcW w:type="dxa" w:w="1928"/>
          </w:tcPr>
          <w:p>
            <w:r>
              <w:rPr>
                <w:rFonts w:ascii="UT Sans" w:hAnsi="UT Sans" w:cs="UT Sans"/>
                <w:b w:val="0"/>
                <w:i w:val="0"/>
                <w:sz w:val="22"/>
              </w:rPr>
              <w:t>/register, /login</w:t>
            </w:r>
          </w:p>
        </w:tc>
        <w:tc>
          <w:tcPr>
            <w:tcW w:type="dxa" w:w="1928"/>
          </w:tcPr>
          <w:p>
            <w:r>
              <w:rPr>
                <w:rFonts w:ascii="UT Sans" w:hAnsi="UT Sans" w:cs="UT Sans"/>
                <w:b w:val="0"/>
                <w:i w:val="0"/>
                <w:sz w:val="22"/>
              </w:rPr>
              <w:t>JWT, validare CUI ANAF, KYC, RBAC</w:t>
            </w:r>
          </w:p>
        </w:tc>
      </w:tr>
      <w:tr>
        <w:tc>
          <w:tcPr>
            <w:tcW w:type="dxa" w:w="1928"/>
          </w:tcPr>
          <w:p>
            <w:r>
              <w:rPr>
                <w:rFonts w:ascii="UT Sans" w:hAnsi="UT Sans" w:cs="UT Sans"/>
                <w:b w:val="0"/>
                <w:i w:val="0"/>
                <w:sz w:val="22"/>
              </w:rPr>
              <w:t>2</w:t>
            </w:r>
          </w:p>
        </w:tc>
        <w:tc>
          <w:tcPr>
            <w:tcW w:type="dxa" w:w="1928"/>
          </w:tcPr>
          <w:p>
            <w:r>
              <w:rPr>
                <w:rFonts w:ascii="UT Sans" w:hAnsi="UT Sans" w:cs="UT Sans"/>
                <w:b w:val="0"/>
                <w:i w:val="0"/>
                <w:sz w:val="22"/>
              </w:rPr>
              <w:t>Trading</w:t>
            </w:r>
          </w:p>
        </w:tc>
        <w:tc>
          <w:tcPr>
            <w:tcW w:type="dxa" w:w="1928"/>
          </w:tcPr>
          <w:p>
            <w:r>
              <w:rPr>
                <w:rFonts w:ascii="UT Sans" w:hAnsi="UT Sans" w:cs="UT Sans"/>
                <w:b w:val="0"/>
                <w:i w:val="0"/>
                <w:sz w:val="22"/>
              </w:rPr>
              <w:t>Commodity, Listing, ForwardContract</w:t>
            </w:r>
          </w:p>
        </w:tc>
        <w:tc>
          <w:tcPr>
            <w:tcW w:type="dxa" w:w="1928"/>
          </w:tcPr>
          <w:p>
            <w:r>
              <w:rPr>
                <w:rFonts w:ascii="UT Sans" w:hAnsi="UT Sans" w:cs="UT Sans"/>
                <w:b w:val="0"/>
                <w:i w:val="0"/>
                <w:sz w:val="22"/>
              </w:rPr>
              <w:t>/listings, /commodities</w:t>
            </w:r>
          </w:p>
        </w:tc>
        <w:tc>
          <w:tcPr>
            <w:tcW w:type="dxa" w:w="1928"/>
          </w:tcPr>
          <w:p>
            <w:r>
              <w:rPr>
                <w:rFonts w:ascii="UT Sans" w:hAnsi="UT Sans" w:cs="UT Sans"/>
                <w:b w:val="0"/>
                <w:i w:val="0"/>
                <w:sz w:val="22"/>
              </w:rPr>
              <w:t>JSONB/GIN search, contracte, facturare</w:t>
            </w:r>
          </w:p>
        </w:tc>
      </w:tr>
      <w:tr>
        <w:tc>
          <w:tcPr>
            <w:tcW w:type="dxa" w:w="1928"/>
          </w:tcPr>
          <w:p>
            <w:r>
              <w:rPr>
                <w:rFonts w:ascii="UT Sans" w:hAnsi="UT Sans" w:cs="UT Sans"/>
                <w:b w:val="0"/>
                <w:i w:val="0"/>
                <w:sz w:val="22"/>
              </w:rPr>
              <w:t>3</w:t>
            </w:r>
          </w:p>
        </w:tc>
        <w:tc>
          <w:tcPr>
            <w:tcW w:type="dxa" w:w="1928"/>
          </w:tcPr>
          <w:p>
            <w:r>
              <w:rPr>
                <w:rFonts w:ascii="UT Sans" w:hAnsi="UT Sans" w:cs="UT Sans"/>
                <w:b w:val="0"/>
                <w:i w:val="0"/>
                <w:sz w:val="22"/>
              </w:rPr>
              <w:t>Financial</w:t>
            </w:r>
          </w:p>
        </w:tc>
        <w:tc>
          <w:tcPr>
            <w:tcW w:type="dxa" w:w="1928"/>
          </w:tcPr>
          <w:p>
            <w:r>
              <w:rPr>
                <w:rFonts w:ascii="UT Sans" w:hAnsi="UT Sans" w:cs="UT Sans"/>
                <w:b w:val="0"/>
                <w:i w:val="0"/>
                <w:sz w:val="22"/>
              </w:rPr>
              <w:t>Order, EscrowPayment</w:t>
            </w:r>
          </w:p>
        </w:tc>
        <w:tc>
          <w:tcPr>
            <w:tcW w:type="dxa" w:w="1928"/>
          </w:tcPr>
          <w:p>
            <w:r>
              <w:rPr>
                <w:rFonts w:ascii="UT Sans" w:hAnsi="UT Sans" w:cs="UT Sans"/>
                <w:b w:val="0"/>
                <w:i w:val="0"/>
                <w:sz w:val="22"/>
              </w:rPr>
              <w:t>/orders, /escrow, /dac7</w:t>
            </w:r>
          </w:p>
        </w:tc>
        <w:tc>
          <w:tcPr>
            <w:tcW w:type="dxa" w:w="1928"/>
          </w:tcPr>
          <w:p>
            <w:r>
              <w:rPr>
                <w:rFonts w:ascii="UT Sans" w:hAnsi="UT Sans" w:cs="UT Sans"/>
                <w:b w:val="0"/>
                <w:i w:val="0"/>
                <w:sz w:val="22"/>
              </w:rPr>
              <w:t>Split Payment, raport DAC7, Chargeback</w:t>
            </w:r>
          </w:p>
        </w:tc>
      </w:tr>
      <w:tr>
        <w:tc>
          <w:tcPr>
            <w:tcW w:type="dxa" w:w="1928"/>
          </w:tcPr>
          <w:p>
            <w:r>
              <w:rPr>
                <w:rFonts w:ascii="UT Sans" w:hAnsi="UT Sans" w:cs="UT Sans"/>
                <w:b w:val="0"/>
                <w:i w:val="0"/>
                <w:sz w:val="22"/>
              </w:rPr>
              <w:t>4</w:t>
            </w:r>
          </w:p>
        </w:tc>
        <w:tc>
          <w:tcPr>
            <w:tcW w:type="dxa" w:w="1928"/>
          </w:tcPr>
          <w:p>
            <w:r>
              <w:rPr>
                <w:rFonts w:ascii="UT Sans" w:hAnsi="UT Sans" w:cs="UT Sans"/>
                <w:b w:val="0"/>
                <w:i w:val="0"/>
                <w:sz w:val="22"/>
              </w:rPr>
              <w:t>Transport</w:t>
            </w:r>
          </w:p>
        </w:tc>
        <w:tc>
          <w:tcPr>
            <w:tcW w:type="dxa" w:w="1928"/>
          </w:tcPr>
          <w:p>
            <w:r>
              <w:rPr>
                <w:rFonts w:ascii="UT Sans" w:hAnsi="UT Sans" w:cs="UT Sans"/>
                <w:b w:val="0"/>
                <w:i w:val="0"/>
                <w:sz w:val="22"/>
              </w:rPr>
              <w:t>Shipment</w:t>
            </w:r>
          </w:p>
        </w:tc>
        <w:tc>
          <w:tcPr>
            <w:tcW w:type="dxa" w:w="1928"/>
          </w:tcPr>
          <w:p>
            <w:r>
              <w:rPr>
                <w:rFonts w:ascii="UT Sans" w:hAnsi="UT Sans" w:cs="UT Sans"/>
                <w:b w:val="0"/>
                <w:i w:val="0"/>
                <w:sz w:val="22"/>
              </w:rPr>
              <w:t>/route, /shipments, /bidding</w:t>
            </w:r>
          </w:p>
        </w:tc>
        <w:tc>
          <w:tcPr>
            <w:tcW w:type="dxa" w:w="1928"/>
          </w:tcPr>
          <w:p>
            <w:r>
              <w:rPr>
                <w:rFonts w:ascii="UT Sans" w:hAnsi="UT Sans" w:cs="UT Sans"/>
                <w:b w:val="0"/>
                <w:i w:val="0"/>
                <w:sz w:val="22"/>
              </w:rPr>
              <w:t>OSRM rutare, UIT, licitație 123cargo</w:t>
            </w:r>
          </w:p>
        </w:tc>
      </w:tr>
      <w:tr>
        <w:tc>
          <w:tcPr>
            <w:tcW w:type="dxa" w:w="1928"/>
          </w:tcPr>
          <w:p>
            <w:r>
              <w:rPr>
                <w:rFonts w:ascii="UT Sans" w:hAnsi="UT Sans" w:cs="UT Sans"/>
                <w:b w:val="0"/>
                <w:i w:val="0"/>
                <w:sz w:val="22"/>
              </w:rPr>
              <w:t>5</w:t>
            </w:r>
          </w:p>
        </w:tc>
        <w:tc>
          <w:tcPr>
            <w:tcW w:type="dxa" w:w="1928"/>
          </w:tcPr>
          <w:p>
            <w:r>
              <w:rPr>
                <w:rFonts w:ascii="UT Sans" w:hAnsi="UT Sans" w:cs="UT Sans"/>
                <w:b w:val="0"/>
                <w:i w:val="0"/>
                <w:sz w:val="22"/>
              </w:rPr>
              <w:t>Disputes</w:t>
            </w:r>
          </w:p>
        </w:tc>
        <w:tc>
          <w:tcPr>
            <w:tcW w:type="dxa" w:w="1928"/>
          </w:tcPr>
          <w:p>
            <w:r>
              <w:rPr>
                <w:rFonts w:ascii="UT Sans" w:hAnsi="UT Sans" w:cs="UT Sans"/>
                <w:b w:val="0"/>
                <w:i w:val="0"/>
                <w:sz w:val="22"/>
              </w:rPr>
              <w:t>Dispute, DisputeMessage</w:t>
            </w:r>
          </w:p>
        </w:tc>
        <w:tc>
          <w:tcPr>
            <w:tcW w:type="dxa" w:w="1928"/>
          </w:tcPr>
          <w:p>
            <w:r>
              <w:rPr>
                <w:rFonts w:ascii="UT Sans" w:hAnsi="UT Sans" w:cs="UT Sans"/>
                <w:b w:val="0"/>
                <w:i w:val="0"/>
                <w:sz w:val="22"/>
              </w:rPr>
              <w:t>/disputes, /:id/messages</w:t>
            </w:r>
          </w:p>
        </w:tc>
        <w:tc>
          <w:tcPr>
            <w:tcW w:type="dxa" w:w="1928"/>
          </w:tcPr>
          <w:p>
            <w:r>
              <w:rPr>
                <w:rFonts w:ascii="UT Sans" w:hAnsi="UT Sans" w:cs="UT Sans"/>
                <w:b w:val="0"/>
                <w:i w:val="0"/>
                <w:sz w:val="22"/>
              </w:rPr>
              <w:t>ADR Legea 81/2022, chat, refund</w:t>
            </w:r>
          </w:p>
        </w:tc>
      </w:tr>
      <w:tr>
        <w:tc>
          <w:tcPr>
            <w:tcW w:type="dxa" w:w="1928"/>
          </w:tcPr>
          <w:p>
            <w:r>
              <w:rPr>
                <w:rFonts w:ascii="UT Sans" w:hAnsi="UT Sans" w:cs="UT Sans"/>
                <w:b w:val="0"/>
                <w:i w:val="0"/>
                <w:sz w:val="22"/>
              </w:rPr>
              <w:t>6</w:t>
            </w:r>
          </w:p>
        </w:tc>
        <w:tc>
          <w:tcPr>
            <w:tcW w:type="dxa" w:w="1928"/>
          </w:tcPr>
          <w:p>
            <w:r>
              <w:rPr>
                <w:rFonts w:ascii="UT Sans" w:hAnsi="UT Sans" w:cs="UT Sans"/>
                <w:b w:val="0"/>
                <w:i w:val="0"/>
                <w:sz w:val="22"/>
              </w:rPr>
              <w:t>Notifications</w:t>
            </w:r>
          </w:p>
        </w:tc>
        <w:tc>
          <w:tcPr>
            <w:tcW w:type="dxa" w:w="1928"/>
          </w:tcPr>
          <w:p>
            <w:r>
              <w:rPr>
                <w:rFonts w:ascii="UT Sans" w:hAnsi="UT Sans" w:cs="UT Sans"/>
                <w:b w:val="0"/>
                <w:i w:val="0"/>
                <w:sz w:val="22"/>
              </w:rPr>
              <w:t>Notification</w:t>
            </w:r>
          </w:p>
        </w:tc>
        <w:tc>
          <w:tcPr>
            <w:tcW w:type="dxa" w:w="1928"/>
          </w:tcPr>
          <w:p>
            <w:r>
              <w:rPr>
                <w:rFonts w:ascii="UT Sans" w:hAnsi="UT Sans" w:cs="UT Sans"/>
                <w:b w:val="0"/>
                <w:i w:val="0"/>
                <w:sz w:val="22"/>
              </w:rPr>
              <w:t>/notifications, /unread</w:t>
            </w:r>
          </w:p>
        </w:tc>
        <w:tc>
          <w:tcPr>
            <w:tcW w:type="dxa" w:w="1928"/>
          </w:tcPr>
          <w:p>
            <w:r>
              <w:rPr>
                <w:rFonts w:ascii="UT Sans" w:hAnsi="UT Sans" w:cs="UT Sans"/>
                <w:b w:val="0"/>
                <w:i w:val="0"/>
                <w:sz w:val="22"/>
              </w:rPr>
              <w:t>CRUD, badge count, mark read</w:t>
            </w:r>
          </w:p>
        </w:tc>
      </w:tr>
      <w:tr>
        <w:tc>
          <w:tcPr>
            <w:tcW w:type="dxa" w:w="1928"/>
          </w:tcPr>
          <w:p>
            <w:r>
              <w:rPr>
                <w:rFonts w:ascii="UT Sans" w:hAnsi="UT Sans" w:cs="UT Sans"/>
                <w:b w:val="0"/>
                <w:i w:val="0"/>
                <w:sz w:val="22"/>
              </w:rPr>
              <w:t>7</w:t>
            </w:r>
          </w:p>
        </w:tc>
        <w:tc>
          <w:tcPr>
            <w:tcW w:type="dxa" w:w="1928"/>
          </w:tcPr>
          <w:p>
            <w:r>
              <w:rPr>
                <w:rFonts w:ascii="UT Sans" w:hAnsi="UT Sans" w:cs="UT Sans"/>
                <w:b w:val="0"/>
                <w:i w:val="0"/>
                <w:sz w:val="22"/>
              </w:rPr>
              <w:t>Profile</w:t>
            </w:r>
          </w:p>
        </w:tc>
        <w:tc>
          <w:tcPr>
            <w:tcW w:type="dxa" w:w="1928"/>
          </w:tcPr>
          <w:p>
            <w:r>
              <w:rPr>
                <w:rFonts w:ascii="UT Sans" w:hAnsi="UT Sans" w:cs="UT Sans"/>
                <w:b w:val="0"/>
                <w:i w:val="0"/>
                <w:sz w:val="22"/>
              </w:rPr>
              <w:t>(entități IAM)</w:t>
            </w:r>
          </w:p>
        </w:tc>
        <w:tc>
          <w:tcPr>
            <w:tcW w:type="dxa" w:w="1928"/>
          </w:tcPr>
          <w:p>
            <w:r>
              <w:rPr>
                <w:rFonts w:ascii="UT Sans" w:hAnsi="UT Sans" w:cs="UT Sans"/>
                <w:b w:val="0"/>
                <w:i w:val="0"/>
                <w:sz w:val="22"/>
              </w:rPr>
              <w:t>/profile, /company, /prefs</w:t>
            </w:r>
          </w:p>
        </w:tc>
        <w:tc>
          <w:tcPr>
            <w:tcW w:type="dxa" w:w="1928"/>
          </w:tcPr>
          <w:p>
            <w:r>
              <w:rPr>
                <w:rFonts w:ascii="UT Sans" w:hAnsi="UT Sans" w:cs="UT Sans"/>
                <w:b w:val="0"/>
                <w:i w:val="0"/>
                <w:sz w:val="22"/>
              </w:rPr>
              <w:t>Get/update profil și preferințe</w:t>
            </w:r>
          </w:p>
        </w:tc>
      </w:tr>
    </w:tbl>
    <w:p>
      <w:pPr>
        <w:spacing w:line="360" w:lineRule="auto" w:after="80"/>
        <w:jc w:val="both"/>
      </w:pPr>
      <w:r>
        <w:rPr>
          <w:rFonts w:ascii="UT Sans" w:hAnsi="UT Sans" w:cs="UT Sans"/>
          <w:b w:val="0"/>
          <w:i w:val="0"/>
          <w:sz w:val="24"/>
        </w:rPr>
      </w:r>
    </w:p>
    <w:p>
      <w:pPr>
        <w:pStyle w:val="Heading2"/>
        <w:keepNext/>
        <w:keepLines/>
        <w:spacing w:before="360" w:after="0" w:line="360" w:lineRule="auto"/>
        <w:jc w:val="both"/>
      </w:pPr>
      <w:r>
        <w:rPr>
          <w:rFonts w:ascii="UT Sans" w:hAnsi="UT Sans" w:cs="UT Sans"/>
          <w:b/>
          <w:i w:val="0"/>
          <w:sz w:val="28"/>
        </w:rPr>
        <w:t>4.2 Modulul IAM: Autentificare și Autorizare</w:t>
      </w:r>
    </w:p>
    <w:p>
      <w:pPr>
        <w:pStyle w:val="Heading3"/>
        <w:keepNext/>
        <w:keepLines/>
        <w:spacing w:before="200" w:after="0" w:line="360" w:lineRule="auto"/>
        <w:jc w:val="both"/>
      </w:pPr>
      <w:r>
        <w:rPr>
          <w:rFonts w:ascii="UT Sans" w:hAnsi="UT Sans" w:cs="UT Sans"/>
          <w:b/>
          <w:i w:val="0"/>
          <w:sz w:val="22"/>
        </w:rPr>
        <w:t>4.2.1 Fluxul de înregistrare și validare ANAF CUI</w:t>
      </w:r>
    </w:p>
    <w:p>
      <w:pPr>
        <w:spacing w:line="360" w:lineRule="auto"/>
        <w:jc w:val="both"/>
      </w:pPr>
      <w:r>
        <w:rPr>
          <w:rFonts w:ascii="UT Sans" w:hAnsi="UT Sans" w:cs="UT Sans"/>
          <w:b w:val="0"/>
          <w:i w:val="0"/>
          <w:sz w:val="24"/>
        </w:rPr>
        <w:t>Procesul de înregistrare în AgriConnect depășește simpla creare de cont. Fiecare companie trebuie să furnizeze un CUI (Cod Unic de Identificare) valid, pe care platforma îl verifică prin intermediul API-ului public ANAF. Această verificare confirmă existența juridică a entității, statusul de plătitor TVA (esențial pentru aplicarea corectă a Art. 331) și datele de contact oficiale. Utilizatorii sunt clasificați în trei roluri RBAC: FARMER (producător/vânzător), BUYER (cumpărător corporativ) și ADMIN (administrator platformă).</w:t>
      </w:r>
    </w:p>
    <w:p>
      <w:pPr>
        <w:spacing w:line="360" w:lineRule="auto"/>
        <w:jc w:val="both"/>
      </w:pPr>
      <w:r>
        <w:rPr>
          <w:rFonts w:ascii="UT Sans" w:hAnsi="UT Sans" w:cs="UT Sans"/>
          <w:b w:val="0"/>
          <w:i w:val="0"/>
          <w:sz w:val="24"/>
        </w:rPr>
        <w:t>Entitatea Company stochează informațiile corporative validate: denumirea oficială, CUI-ul, codul CAEN, adresa sediului social, statusul TVA și data ultimei verificări. Această abordare asigură conformitatea KYB (Know Your Business) și permite generarea automată a rapoartelor DAC7 cu date validate la sursă.</w:t>
      </w:r>
    </w:p>
    <w:p>
      <w:pPr>
        <w:pStyle w:val="Heading3"/>
        <w:keepNext/>
        <w:keepLines/>
        <w:spacing w:before="200" w:after="0" w:line="360" w:lineRule="auto"/>
        <w:jc w:val="both"/>
      </w:pPr>
      <w:r>
        <w:rPr>
          <w:rFonts w:ascii="UT Sans" w:hAnsi="UT Sans" w:cs="UT Sans"/>
          <w:b/>
          <w:i w:val="0"/>
          <w:sz w:val="22"/>
        </w:rPr>
        <w:t>4.2.2 Fluxul JWT și Refresh Token Rotation</w:t>
      </w:r>
    </w:p>
    <w:p>
      <w:pPr>
        <w:spacing w:line="360" w:lineRule="auto"/>
        <w:jc w:val="both"/>
      </w:pPr>
      <w:r>
        <w:rPr>
          <w:rFonts w:ascii="UT Sans" w:hAnsi="UT Sans" w:cs="UT Sans"/>
          <w:b w:val="0"/>
          <w:i w:val="0"/>
          <w:sz w:val="24"/>
        </w:rPr>
        <w:t>Modulul IAM implementează autentificare stateless prin JWT (JSON Web Tokens, RFC 7519). Token-urile sunt auto-conținute și semnate cu algoritmul HS256, eliminând necesitatea menținerii unei baze de date de sesiuni pe server [13]. Payload-ul JWT include claims standard (sub, iat, exp) și claims personalizate (role, companyId), permițând autorizarea la nivel de rută fără interogări suplimentare la baza de date [13].</w:t>
      </w:r>
    </w:p>
    <w:p>
      <w:pPr>
        <w:spacing w:line="360" w:lineRule="auto"/>
        <w:jc w:val="both"/>
      </w:pPr>
      <w:r>
        <w:rPr>
          <w:rFonts w:ascii="UT Sans" w:hAnsi="UT Sans" w:cs="UT Sans"/>
          <w:b w:val="0"/>
          <w:i w:val="0"/>
          <w:sz w:val="24"/>
        </w:rPr>
        <w:t>Totuși, natura stateless creează o "problemă a revocării": odată emis, un token nu poate fi ușor invalidat înainte de expirare. Pentru a adresa aceasta, AgriConnect implementează abordarea "Theme Park Ticket" cu rotație automată [13]:</w:t>
      </w:r>
    </w:p>
    <w:p>
      <w:pPr>
        <w:jc w:val="both"/>
        <w:spacing w:after="80" w:line="360" w:lineRule="auto"/>
        <w:ind w:left="720" w:hanging="360"/>
      </w:pPr>
      <w:r>
        <w:rPr>
          <w:rFonts w:ascii="UT Sans" w:hAnsi="UT Sans" w:cs="UT Sans"/>
          <w:b w:val="0"/>
          <w:i w:val="0"/>
          <w:sz w:val="22"/>
        </w:rPr>
        <w:t>• Access Tokens: durată scurtă de 15 minute, păstrate doar în memorie (variabile JavaScript), niciodată în localStorage pentru a minimiza expunerea la atacuri XSS [13]</w:t>
      </w:r>
    </w:p>
    <w:p>
      <w:pPr>
        <w:jc w:val="both"/>
        <w:spacing w:after="80" w:line="360" w:lineRule="auto"/>
        <w:ind w:left="720" w:hanging="360"/>
      </w:pPr>
      <w:r>
        <w:rPr>
          <w:rFonts w:ascii="UT Sans" w:hAnsi="UT Sans" w:cs="UT Sans"/>
          <w:b w:val="0"/>
          <w:i w:val="0"/>
          <w:sz w:val="22"/>
        </w:rPr>
        <w:t>• Refresh Tokens: durată lungă de 7 zile, stocate în cookie-uri HttpOnly și Secure (inaccesibile JavaScript-ului), protejate împotriva atacurilor XSS și transmise doar prin HTTPS [13]</w:t>
      </w:r>
    </w:p>
    <w:p>
      <w:pPr>
        <w:jc w:val="both"/>
        <w:spacing w:after="80" w:line="360" w:lineRule="auto"/>
        <w:ind w:left="720" w:hanging="360"/>
      </w:pPr>
      <w:r>
        <w:rPr>
          <w:rFonts w:ascii="UT Sans" w:hAnsi="UT Sans" w:cs="UT Sans"/>
          <w:b w:val="0"/>
          <w:i w:val="0"/>
          <w:sz w:val="22"/>
        </w:rPr>
        <w:t>• Refresh Token Rotation: la fiecare reîmprospătare, vechiul refresh token este invalidat și unul nou este emis. Dacă un atacator încearcă să folosească un token deja rotat, sistemul revocă întreaga "familie" de token-uri, forțând re-autentificarea completă [13]</w:t>
      </w:r>
    </w:p>
    <w:p>
      <w:pPr>
        <w:spacing w:line="360" w:lineRule="auto"/>
        <w:jc w:val="both"/>
      </w:pPr>
      <w:r>
        <w:rPr>
          <w:rFonts w:ascii="UT Sans" w:hAnsi="UT Sans" w:cs="UT Sans"/>
          <w:b w:val="0"/>
          <w:i w:val="0"/>
          <w:sz w:val="24"/>
        </w:rPr>
        <w:t>Pentru a asigura securitatea conturilor B2B, platforma utilizează rotația refresh token-urilor. Următorul extras de cod demonstrează logica de generare a token-urilor și invalidarea sigură a acestora folosind Redis, esențială pentru abordarea "Theme Park Ticket":</w:t>
      </w:r>
    </w:p>
    <w:p>
      <w:pPr>
        <w:spacing w:after="40"/>
      </w:pPr>
    </w:p>
    <w:p>
      <w:pPr>
        <w:spacing w:before="0" w:after="0" w:line="240" w:lineRule="auto"/>
        <w:ind w:left="400"/>
      </w:pPr>
      <w:r>
        <w:rPr>
          <w:rFonts w:ascii="Courier New" w:hAnsi="Courier New" w:cs="Courier New"/>
          <w:sz w:val="19"/>
        </w:rPr>
        <w:t>import { Injectable, UnauthorizedException } from '@nestjs/common';</w:t>
      </w:r>
    </w:p>
    <w:p>
      <w:pPr>
        <w:spacing w:before="0" w:after="0" w:line="240" w:lineRule="auto"/>
        <w:ind w:left="400"/>
      </w:pPr>
      <w:r>
        <w:rPr>
          <w:rFonts w:ascii="Courier New" w:hAnsi="Courier New" w:cs="Courier New"/>
          <w:sz w:val="19"/>
        </w:rPr>
        <w:t>import { JwtService } from '@nestjs/jwt';</w:t>
      </w:r>
    </w:p>
    <w:p>
      <w:pPr>
        <w:spacing w:before="0" w:after="0" w:line="240" w:lineRule="auto"/>
        <w:ind w:left="400"/>
      </w:pPr>
      <w:r>
        <w:rPr>
          <w:rFonts w:ascii="Courier New" w:hAnsi="Courier New" w:cs="Courier New"/>
          <w:sz w:val="19"/>
        </w:rPr>
        <w:t>import { RedisService } from '../redis/redis.service';</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@Injectable()</w:t>
      </w:r>
    </w:p>
    <w:p>
      <w:pPr>
        <w:spacing w:before="0" w:after="0" w:line="240" w:lineRule="auto"/>
        <w:ind w:left="400"/>
      </w:pPr>
      <w:r>
        <w:rPr>
          <w:rFonts w:ascii="Courier New" w:hAnsi="Courier New" w:cs="Courier New"/>
          <w:sz w:val="19"/>
        </w:rPr>
        <w:t>export class AuthService {</w:t>
      </w:r>
    </w:p>
    <w:p>
      <w:pPr>
        <w:spacing w:before="0" w:after="0" w:line="240" w:lineRule="auto"/>
        <w:ind w:left="400"/>
      </w:pPr>
      <w:r>
        <w:rPr>
          <w:rFonts w:ascii="Courier New" w:hAnsi="Courier New" w:cs="Courier New"/>
          <w:sz w:val="19"/>
        </w:rPr>
        <w:t xml:space="preserve">  constructor(</w:t>
      </w:r>
    </w:p>
    <w:p>
      <w:pPr>
        <w:spacing w:before="0" w:after="0" w:line="240" w:lineRule="auto"/>
        <w:ind w:left="400"/>
      </w:pPr>
      <w:r>
        <w:rPr>
          <w:rFonts w:ascii="Courier New" w:hAnsi="Courier New" w:cs="Courier New"/>
          <w:sz w:val="19"/>
        </w:rPr>
        <w:t xml:space="preserve">    private jwtService: JwtService,</w:t>
      </w:r>
    </w:p>
    <w:p>
      <w:pPr>
        <w:spacing w:before="0" w:after="0" w:line="240" w:lineRule="auto"/>
        <w:ind w:left="400"/>
      </w:pPr>
      <w:r>
        <w:rPr>
          <w:rFonts w:ascii="Courier New" w:hAnsi="Courier New" w:cs="Courier New"/>
          <w:sz w:val="19"/>
        </w:rPr>
        <w:t xml:space="preserve">    private redisService: RedisService</w:t>
      </w:r>
    </w:p>
    <w:p>
      <w:pPr>
        <w:spacing w:before="0" w:after="0" w:line="240" w:lineRule="auto"/>
        <w:ind w:left="400"/>
      </w:pPr>
      <w:r>
        <w:rPr>
          <w:rFonts w:ascii="Courier New" w:hAnsi="Courier New" w:cs="Courier New"/>
          <w:sz w:val="19"/>
        </w:rPr>
        <w:t xml:space="preserve">  ) {}</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async generateTokenPair(userId: string, role: string, companyId: string) {</w:t>
      </w:r>
    </w:p>
    <w:p>
      <w:pPr>
        <w:spacing w:before="0" w:after="0" w:line="240" w:lineRule="auto"/>
        <w:ind w:left="400"/>
      </w:pPr>
      <w:r>
        <w:rPr>
          <w:rFonts w:ascii="Courier New" w:hAnsi="Courier New" w:cs="Courier New"/>
          <w:sz w:val="19"/>
        </w:rPr>
        <w:t xml:space="preserve">    const payload = { sub: userId, role, companyId };</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 Access token scurt (15 min)</w:t>
      </w:r>
    </w:p>
    <w:p>
      <w:pPr>
        <w:spacing w:before="0" w:after="0" w:line="240" w:lineRule="auto"/>
        <w:ind w:left="400"/>
      </w:pPr>
      <w:r>
        <w:rPr>
          <w:rFonts w:ascii="Courier New" w:hAnsi="Courier New" w:cs="Courier New"/>
          <w:sz w:val="19"/>
        </w:rPr>
        <w:t xml:space="preserve">    const accessToken = this.jwtService.sign(payload, { </w:t>
      </w:r>
    </w:p>
    <w:p>
      <w:pPr>
        <w:spacing w:before="0" w:after="0" w:line="240" w:lineRule="auto"/>
        <w:ind w:left="400"/>
      </w:pPr>
      <w:r>
        <w:rPr>
          <w:rFonts w:ascii="Courier New" w:hAnsi="Courier New" w:cs="Courier New"/>
          <w:sz w:val="19"/>
        </w:rPr>
        <w:t xml:space="preserve">      expiresIn: '15m',</w:t>
      </w:r>
    </w:p>
    <w:p>
      <w:pPr>
        <w:spacing w:before="0" w:after="0" w:line="240" w:lineRule="auto"/>
        <w:ind w:left="400"/>
      </w:pPr>
      <w:r>
        <w:rPr>
          <w:rFonts w:ascii="Courier New" w:hAnsi="Courier New" w:cs="Courier New"/>
          <w:sz w:val="19"/>
        </w:rPr>
        <w:t xml:space="preserve">      secret: process.env.JWT_ACCESS_SECRET</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 Refresh token lung (7 zile)</w:t>
      </w:r>
    </w:p>
    <w:p>
      <w:pPr>
        <w:spacing w:before="0" w:after="0" w:line="240" w:lineRule="auto"/>
        <w:ind w:left="400"/>
      </w:pPr>
      <w:r>
        <w:rPr>
          <w:rFonts w:ascii="Courier New" w:hAnsi="Courier New" w:cs="Courier New"/>
          <w:sz w:val="19"/>
        </w:rPr>
        <w:t xml:space="preserve">    const refreshToken = this.jwtService.sign(payload, {</w:t>
      </w:r>
    </w:p>
    <w:p>
      <w:pPr>
        <w:spacing w:before="0" w:after="0" w:line="240" w:lineRule="auto"/>
        <w:ind w:left="400"/>
      </w:pPr>
      <w:r>
        <w:rPr>
          <w:rFonts w:ascii="Courier New" w:hAnsi="Courier New" w:cs="Courier New"/>
          <w:sz w:val="19"/>
        </w:rPr>
        <w:t xml:space="preserve">      expiresIn: '7d',</w:t>
      </w:r>
    </w:p>
    <w:p>
      <w:pPr>
        <w:spacing w:before="0" w:after="0" w:line="240" w:lineRule="auto"/>
        <w:ind w:left="400"/>
      </w:pPr>
      <w:r>
        <w:rPr>
          <w:rFonts w:ascii="Courier New" w:hAnsi="Courier New" w:cs="Courier New"/>
          <w:sz w:val="19"/>
        </w:rPr>
        <w:t xml:space="preserve">      secret: process.env.JWT_REFRESH_SECRET</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return { accessToken, refreshToken };</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async revokeToken(jti: string, remainingTtlSecs: number) {</w:t>
      </w:r>
    </w:p>
    <w:p>
      <w:pPr>
        <w:spacing w:before="0" w:after="0" w:line="240" w:lineRule="auto"/>
        <w:ind w:left="400"/>
      </w:pPr>
      <w:r>
        <w:rPr>
          <w:rFonts w:ascii="Courier New" w:hAnsi="Courier New" w:cs="Courier New"/>
          <w:sz w:val="19"/>
        </w:rPr>
        <w:t xml:space="preserve">    // Adaugare în blacklist-ul Redis cu TTL auto-expirant</w:t>
      </w:r>
    </w:p>
    <w:p>
      <w:pPr>
        <w:spacing w:before="0" w:after="0" w:line="240" w:lineRule="auto"/>
        <w:ind w:left="400"/>
      </w:pPr>
      <w:r>
        <w:rPr>
          <w:rFonts w:ascii="Courier New" w:hAnsi="Courier New" w:cs="Courier New"/>
          <w:sz w:val="19"/>
        </w:rPr>
        <w:t xml:space="preserve">    await this.redisService.set(`blacklist:${jti}`, 'revoked', 'EX', remainingTtlSecs);</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async isTokenRevoked(jti: string): Promise&lt;boolean&gt; {</w:t>
      </w:r>
    </w:p>
    <w:p>
      <w:pPr>
        <w:spacing w:before="0" w:after="0" w:line="240" w:lineRule="auto"/>
        <w:ind w:left="400"/>
      </w:pPr>
      <w:r>
        <w:rPr>
          <w:rFonts w:ascii="Courier New" w:hAnsi="Courier New" w:cs="Courier New"/>
          <w:sz w:val="19"/>
        </w:rPr>
        <w:t xml:space="preserve">    const status = await this.redisService.get(`blacklist:${jti}`);</w:t>
      </w:r>
    </w:p>
    <w:p>
      <w:pPr>
        <w:spacing w:before="0" w:after="0" w:line="240" w:lineRule="auto"/>
        <w:ind w:left="400"/>
      </w:pPr>
      <w:r>
        <w:rPr>
          <w:rFonts w:ascii="Courier New" w:hAnsi="Courier New" w:cs="Courier New"/>
          <w:sz w:val="19"/>
        </w:rPr>
        <w:t xml:space="preserve">    return status === 'revoked';</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w:t>
      </w:r>
    </w:p>
    <w:p>
      <w:pPr>
        <w:spacing w:before="120"/>
      </w:pPr>
    </w:p>
    <w:p>
      <w:pPr>
        <w:spacing w:line="360" w:lineRule="auto"/>
        <w:jc w:val="both"/>
      </w:pPr>
      <w:r>
        <w:rPr>
          <w:rFonts w:ascii="UT Sans" w:hAnsi="UT Sans" w:cs="UT Sans"/>
          <w:b w:val="0"/>
          <w:i w:val="0"/>
          <w:sz w:val="24"/>
        </w:rPr>
        <w:t>Când invalidarea imediată a unui access token este necesară — de exemplu, în cazul unei breșe de securitate sau al dezactivării unui cont — se implementează un blacklist bazat pe Redis. Prin stocarea jti (JWT ID) a token-urilor revocate în Redis cu un TTL egal cu durata de viață rămasă a token-ului, sistemul realizează verificări cvasi-instantanee (O(1)) în middleware-ul de autentificare [13].</w:t>
      </w:r>
    </w:p>
    <w:p>
      <w:pPr>
        <w:pStyle w:val="Heading3"/>
        <w:keepNext/>
        <w:keepLines/>
        <w:spacing w:before="200" w:after="0" w:line="360" w:lineRule="auto"/>
        <w:jc w:val="both"/>
      </w:pPr>
      <w:r>
        <w:rPr>
          <w:rFonts w:ascii="UT Sans" w:hAnsi="UT Sans" w:cs="UT Sans"/>
          <w:b/>
          <w:i w:val="0"/>
          <w:sz w:val="22"/>
        </w:rPr>
        <w:t>4.2.3 Hashing-ul parolelor: Argon2id vs. bcrypt</w:t>
      </w:r>
    </w:p>
    <w:p>
      <w:pPr>
        <w:spacing w:line="360" w:lineRule="auto"/>
        <w:jc w:val="both"/>
      </w:pPr>
      <w:r>
        <w:rPr>
          <w:rFonts w:ascii="UT Sans" w:hAnsi="UT Sans" w:cs="UT Sans"/>
          <w:b w:val="0"/>
          <w:i w:val="0"/>
          <w:sz w:val="24"/>
        </w:rPr>
        <w:t>Puterea computațională disponibilă atacatorilor a crescut dramatic. Până în 2025/2026, baseline-ul hardware pentru atacuri brute-force este estimat la clustere de 12x RTX 5090 GPU-uri [13]. Prin urmare, funcțiile tradiționale de hashing precum MD5 sau SHA-256 sunt complet inadecvate pentru stocarea parolelor [13]. Standardul actual de aur este Argon2id, câștigătorul Password Hashing Competition (PHC). Spre deosebire de bcrypt, care este legat exclusiv de CPU, Argon2id este "memory-hard", necesitând cantități mari de memorie RAM pentru fiecare operațiune de hash, făcându-l semnificativ mai rezistent la accelerarea prin GPU și circuite ASIC specializate [13].</w:t>
      </w:r>
    </w:p>
    <w:tbl>
      <w:tblPr>
        <w:tblStyle w:val="TableGrid"/>
        <w:tblW w:type="auto" w:w="0"/>
        <w:tblLook w:firstColumn="1" w:firstRow="1" w:lastColumn="0" w:lastRow="0" w:noHBand="0" w:noVBand="1" w:val="04A0"/>
      </w:tblPr>
      <w:tblGrid>
        <w:gridCol w:w="2410"/>
        <w:gridCol w:w="2410"/>
        <w:gridCol w:w="2410"/>
        <w:gridCol w:w="2410"/>
      </w:tblGrid>
      <w:tr>
        <w:tc>
          <w:tcPr>
            <w:tcW w:type="dxa" w:w="2410"/>
          </w:tcPr>
          <w:p>
            <w:r>
              <w:rPr>
                <w:rFonts w:ascii="UT Sans" w:hAnsi="UT Sans" w:cs="UT Sans"/>
                <w:b/>
                <w:i w:val="0"/>
                <w:sz w:val="22"/>
              </w:rPr>
              <w:t>Algoritm</w:t>
            </w:r>
          </w:p>
        </w:tc>
        <w:tc>
          <w:tcPr>
            <w:tcW w:type="dxa" w:w="2410"/>
          </w:tcPr>
          <w:p>
            <w:r>
              <w:rPr>
                <w:rFonts w:ascii="UT Sans" w:hAnsi="UT Sans" w:cs="UT Sans"/>
                <w:b/>
                <w:i w:val="0"/>
                <w:sz w:val="22"/>
              </w:rPr>
              <w:t>Tip Rezistență</w:t>
            </w:r>
          </w:p>
        </w:tc>
        <w:tc>
          <w:tcPr>
            <w:tcW w:type="dxa" w:w="2410"/>
          </w:tcPr>
          <w:p>
            <w:r>
              <w:rPr>
                <w:rFonts w:ascii="UT Sans" w:hAnsi="UT Sans" w:cs="UT Sans"/>
                <w:b/>
                <w:i w:val="0"/>
                <w:sz w:val="22"/>
              </w:rPr>
              <w:t>Timp Spargere (12x RTX 5090)</w:t>
            </w:r>
          </w:p>
        </w:tc>
        <w:tc>
          <w:tcPr>
            <w:tcW w:type="dxa" w:w="2410"/>
          </w:tcPr>
          <w:p>
            <w:r>
              <w:rPr>
                <w:rFonts w:ascii="UT Sans" w:hAnsi="UT Sans" w:cs="UT Sans"/>
                <w:b/>
                <w:i w:val="0"/>
                <w:sz w:val="22"/>
              </w:rPr>
              <w:t>Work Factor Recomandat 2026</w:t>
            </w:r>
          </w:p>
        </w:tc>
      </w:tr>
      <w:tr>
        <w:tc>
          <w:tcPr>
            <w:tcW w:type="dxa" w:w="2410"/>
          </w:tcPr>
          <w:p>
            <w:r>
              <w:rPr>
                <w:rFonts w:ascii="UT Sans" w:hAnsi="UT Sans" w:cs="UT Sans"/>
                <w:b w:val="0"/>
                <w:i w:val="0"/>
                <w:sz w:val="22"/>
              </w:rPr>
              <w:t>MD5/SHA-256</w:t>
            </w:r>
          </w:p>
        </w:tc>
        <w:tc>
          <w:tcPr>
            <w:tcW w:type="dxa" w:w="2410"/>
          </w:tcPr>
          <w:p>
            <w:r>
              <w:rPr>
                <w:rFonts w:ascii="UT Sans" w:hAnsi="UT Sans" w:cs="UT Sans"/>
                <w:b w:val="0"/>
                <w:i w:val="0"/>
                <w:sz w:val="22"/>
              </w:rPr>
              <w:t>Niciunul</w:t>
            </w:r>
          </w:p>
        </w:tc>
        <w:tc>
          <w:tcPr>
            <w:tcW w:type="dxa" w:w="2410"/>
          </w:tcPr>
          <w:p>
            <w:r>
              <w:rPr>
                <w:rFonts w:ascii="UT Sans" w:hAnsi="UT Sans" w:cs="UT Sans"/>
                <w:b w:val="0"/>
                <w:i w:val="0"/>
                <w:sz w:val="22"/>
              </w:rPr>
              <w:t>Secunde</w:t>
            </w:r>
          </w:p>
        </w:tc>
        <w:tc>
          <w:tcPr>
            <w:tcW w:type="dxa" w:w="2410"/>
          </w:tcPr>
          <w:p>
            <w:r>
              <w:rPr>
                <w:rFonts w:ascii="UT Sans" w:hAnsi="UT Sans" w:cs="UT Sans"/>
                <w:b w:val="0"/>
                <w:i w:val="0"/>
                <w:sz w:val="22"/>
              </w:rPr>
              <w:t>NU SE UTILIZEAZĂ [13]</w:t>
            </w:r>
          </w:p>
        </w:tc>
      </w:tr>
      <w:tr>
        <w:tc>
          <w:tcPr>
            <w:tcW w:type="dxa" w:w="2410"/>
          </w:tcPr>
          <w:p>
            <w:r>
              <w:rPr>
                <w:rFonts w:ascii="UT Sans" w:hAnsi="UT Sans" w:cs="UT Sans"/>
                <w:b w:val="0"/>
                <w:i w:val="0"/>
                <w:sz w:val="22"/>
              </w:rPr>
              <w:t>Bcrypt</w:t>
            </w:r>
          </w:p>
        </w:tc>
        <w:tc>
          <w:tcPr>
            <w:tcW w:type="dxa" w:w="2410"/>
          </w:tcPr>
          <w:p>
            <w:r>
              <w:rPr>
                <w:rFonts w:ascii="UT Sans" w:hAnsi="UT Sans" w:cs="UT Sans"/>
                <w:b w:val="0"/>
                <w:i w:val="0"/>
                <w:sz w:val="22"/>
              </w:rPr>
              <w:t>CPU-bound</w:t>
            </w:r>
          </w:p>
        </w:tc>
        <w:tc>
          <w:tcPr>
            <w:tcW w:type="dxa" w:w="2410"/>
          </w:tcPr>
          <w:p>
            <w:r>
              <w:rPr>
                <w:rFonts w:ascii="UT Sans" w:hAnsi="UT Sans" w:cs="UT Sans"/>
                <w:b w:val="0"/>
                <w:i w:val="0"/>
                <w:sz w:val="22"/>
              </w:rPr>
              <w:t>~30 Zile (parolă complexă 8 char)</w:t>
            </w:r>
          </w:p>
        </w:tc>
        <w:tc>
          <w:tcPr>
            <w:tcW w:type="dxa" w:w="2410"/>
          </w:tcPr>
          <w:p>
            <w:r>
              <w:rPr>
                <w:rFonts w:ascii="UT Sans" w:hAnsi="UT Sans" w:cs="UT Sans"/>
                <w:b w:val="0"/>
                <w:i w:val="0"/>
                <w:sz w:val="22"/>
              </w:rPr>
              <w:t>cost=14 [13]</w:t>
            </w:r>
          </w:p>
        </w:tc>
      </w:tr>
      <w:tr>
        <w:tc>
          <w:tcPr>
            <w:tcW w:type="dxa" w:w="2410"/>
          </w:tcPr>
          <w:p>
            <w:r>
              <w:rPr>
                <w:rFonts w:ascii="UT Sans" w:hAnsi="UT Sans" w:cs="UT Sans"/>
                <w:b w:val="0"/>
                <w:i w:val="0"/>
                <w:sz w:val="22"/>
              </w:rPr>
              <w:t>Scrypt</w:t>
            </w:r>
          </w:p>
        </w:tc>
        <w:tc>
          <w:tcPr>
            <w:tcW w:type="dxa" w:w="2410"/>
          </w:tcPr>
          <w:p>
            <w:r>
              <w:rPr>
                <w:rFonts w:ascii="UT Sans" w:hAnsi="UT Sans" w:cs="UT Sans"/>
                <w:b w:val="0"/>
                <w:i w:val="0"/>
                <w:sz w:val="22"/>
              </w:rPr>
              <w:t>Memory-bound</w:t>
            </w:r>
          </w:p>
        </w:tc>
        <w:tc>
          <w:tcPr>
            <w:tcW w:type="dxa" w:w="2410"/>
          </w:tcPr>
          <w:p>
            <w:r>
              <w:rPr>
                <w:rFonts w:ascii="UT Sans" w:hAnsi="UT Sans" w:cs="UT Sans"/>
                <w:b w:val="0"/>
                <w:i w:val="0"/>
                <w:sz w:val="22"/>
              </w:rPr>
              <w:t>~200 Zile</w:t>
            </w:r>
          </w:p>
        </w:tc>
        <w:tc>
          <w:tcPr>
            <w:tcW w:type="dxa" w:w="2410"/>
          </w:tcPr>
          <w:p>
            <w:r>
              <w:rPr>
                <w:rFonts w:ascii="UT Sans" w:hAnsi="UT Sans" w:cs="UT Sans"/>
                <w:b w:val="0"/>
                <w:i w:val="0"/>
                <w:sz w:val="22"/>
              </w:rPr>
              <w:t>N=2^17 [13]</w:t>
            </w:r>
          </w:p>
        </w:tc>
      </w:tr>
      <w:tr>
        <w:tc>
          <w:tcPr>
            <w:tcW w:type="dxa" w:w="2410"/>
          </w:tcPr>
          <w:p>
            <w:r>
              <w:rPr>
                <w:rFonts w:ascii="UT Sans" w:hAnsi="UT Sans" w:cs="UT Sans"/>
                <w:b w:val="0"/>
                <w:i w:val="0"/>
                <w:sz w:val="22"/>
              </w:rPr>
              <w:t>Argon2id</w:t>
            </w:r>
          </w:p>
        </w:tc>
        <w:tc>
          <w:tcPr>
            <w:tcW w:type="dxa" w:w="2410"/>
          </w:tcPr>
          <w:p>
            <w:r>
              <w:rPr>
                <w:rFonts w:ascii="UT Sans" w:hAnsi="UT Sans" w:cs="UT Sans"/>
                <w:b w:val="0"/>
                <w:i w:val="0"/>
                <w:sz w:val="22"/>
              </w:rPr>
              <w:t>Memory-hard</w:t>
            </w:r>
          </w:p>
        </w:tc>
        <w:tc>
          <w:tcPr>
            <w:tcW w:type="dxa" w:w="2410"/>
          </w:tcPr>
          <w:p>
            <w:r>
              <w:rPr>
                <w:rFonts w:ascii="UT Sans" w:hAnsi="UT Sans" w:cs="UT Sans"/>
                <w:b w:val="0"/>
                <w:i w:val="0"/>
                <w:sz w:val="22"/>
              </w:rPr>
              <w:t>~500 Zile</w:t>
            </w:r>
          </w:p>
        </w:tc>
        <w:tc>
          <w:tcPr>
            <w:tcW w:type="dxa" w:w="2410"/>
          </w:tcPr>
          <w:p>
            <w:r>
              <w:rPr>
                <w:rFonts w:ascii="UT Sans" w:hAnsi="UT Sans" w:cs="UT Sans"/>
                <w:b w:val="0"/>
                <w:i w:val="0"/>
                <w:sz w:val="22"/>
              </w:rPr>
              <w:t>m=128MB, t=3, p=1 [13]</w:t>
            </w:r>
          </w:p>
        </w:tc>
      </w:tr>
    </w:tbl>
    <w:p>
      <w:pPr>
        <w:spacing w:line="360" w:lineRule="auto" w:after="80"/>
        <w:jc w:val="both"/>
      </w:pPr>
      <w:r>
        <w:rPr>
          <w:rFonts w:ascii="UT Sans" w:hAnsi="UT Sans" w:cs="UT Sans"/>
          <w:b w:val="0"/>
          <w:i w:val="0"/>
          <w:sz w:val="24"/>
        </w:rPr>
      </w:r>
    </w:p>
    <w:p>
      <w:pPr>
        <w:spacing w:line="360" w:lineRule="auto"/>
        <w:jc w:val="both"/>
      </w:pPr>
      <w:r>
        <w:rPr>
          <w:rFonts w:ascii="UT Sans" w:hAnsi="UT Sans" w:cs="UT Sans"/>
          <w:b w:val="0"/>
          <w:i w:val="0"/>
          <w:sz w:val="24"/>
        </w:rPr>
        <w:t>Standardul actual de aur este Argon2id, câștigătorul Password Hashing Competition (PHC). Algoritmul este implementat cu parametri OWASP pentru anul 2026:</w:t>
      </w:r>
    </w:p>
    <w:p>
      <w:pPr>
        <w:spacing w:after="40"/>
      </w:pPr>
    </w:p>
    <w:p>
      <w:pPr>
        <w:spacing w:before="0" w:after="0" w:line="240" w:lineRule="auto"/>
        <w:ind w:left="400"/>
      </w:pPr>
      <w:r>
        <w:rPr>
          <w:rFonts w:ascii="Courier New" w:hAnsi="Courier New" w:cs="Courier New"/>
          <w:sz w:val="19"/>
        </w:rPr>
        <w:t>import * as argon2 from 'argon2';</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export class PasswordHelper {</w:t>
      </w:r>
    </w:p>
    <w:p>
      <w:pPr>
        <w:spacing w:before="0" w:after="0" w:line="240" w:lineRule="auto"/>
        <w:ind w:left="400"/>
      </w:pPr>
      <w:r>
        <w:rPr>
          <w:rFonts w:ascii="Courier New" w:hAnsi="Courier New" w:cs="Courier New"/>
          <w:sz w:val="19"/>
        </w:rPr>
        <w:t xml:space="preserve">  static async hash(password: string): Promise&lt;string&gt; {</w:t>
      </w:r>
    </w:p>
    <w:p>
      <w:pPr>
        <w:spacing w:before="0" w:after="0" w:line="240" w:lineRule="auto"/>
        <w:ind w:left="400"/>
      </w:pPr>
      <w:r>
        <w:rPr>
          <w:rFonts w:ascii="Courier New" w:hAnsi="Courier New" w:cs="Courier New"/>
          <w:sz w:val="19"/>
        </w:rPr>
        <w:t xml:space="preserve">    return await argon2.hash(password, {</w:t>
      </w:r>
    </w:p>
    <w:p>
      <w:pPr>
        <w:spacing w:before="0" w:after="0" w:line="240" w:lineRule="auto"/>
        <w:ind w:left="400"/>
      </w:pPr>
      <w:r>
        <w:rPr>
          <w:rFonts w:ascii="Courier New" w:hAnsi="Courier New" w:cs="Courier New"/>
          <w:sz w:val="19"/>
        </w:rPr>
        <w:t xml:space="preserve">      type: argon2.argon2id,</w:t>
      </w:r>
    </w:p>
    <w:p>
      <w:pPr>
        <w:spacing w:before="0" w:after="0" w:line="240" w:lineRule="auto"/>
        <w:ind w:left="400"/>
      </w:pPr>
      <w:r>
        <w:rPr>
          <w:rFonts w:ascii="Courier New" w:hAnsi="Courier New" w:cs="Courier New"/>
          <w:sz w:val="19"/>
        </w:rPr>
        <w:t xml:space="preserve">      memoryCost: 131072, // 128 MB (m=128MB)</w:t>
      </w:r>
    </w:p>
    <w:p>
      <w:pPr>
        <w:spacing w:before="0" w:after="0" w:line="240" w:lineRule="auto"/>
        <w:ind w:left="400"/>
      </w:pPr>
      <w:r>
        <w:rPr>
          <w:rFonts w:ascii="Courier New" w:hAnsi="Courier New" w:cs="Courier New"/>
          <w:sz w:val="19"/>
        </w:rPr>
        <w:t xml:space="preserve">      timeCost: 3,        // 3 iterations (t=3)</w:t>
      </w:r>
    </w:p>
    <w:p>
      <w:pPr>
        <w:spacing w:before="0" w:after="0" w:line="240" w:lineRule="auto"/>
        <w:ind w:left="400"/>
      </w:pPr>
      <w:r>
        <w:rPr>
          <w:rFonts w:ascii="Courier New" w:hAnsi="Courier New" w:cs="Courier New"/>
          <w:sz w:val="19"/>
        </w:rPr>
        <w:t xml:space="preserve">      parallelism: 1,     // 1 thread (p=1)</w:t>
      </w:r>
    </w:p>
    <w:p>
      <w:pPr>
        <w:spacing w:before="0" w:after="0" w:line="240" w:lineRule="auto"/>
        <w:ind w:left="400"/>
      </w:pPr>
      <w:r>
        <w:rPr>
          <w:rFonts w:ascii="Courier New" w:hAnsi="Courier New" w:cs="Courier New"/>
          <w:sz w:val="19"/>
        </w:rPr>
        <w:t xml:space="preserve">      hashLength: 32      // 32-byte hash</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static async verify(hash: string, plain: string): Promise&lt;boolean&gt; {</w:t>
      </w:r>
    </w:p>
    <w:p>
      <w:pPr>
        <w:spacing w:before="0" w:after="0" w:line="240" w:lineRule="auto"/>
        <w:ind w:left="400"/>
      </w:pPr>
      <w:r>
        <w:rPr>
          <w:rFonts w:ascii="Courier New" w:hAnsi="Courier New" w:cs="Courier New"/>
          <w:sz w:val="19"/>
        </w:rPr>
        <w:t xml:space="preserve">    try {</w:t>
      </w:r>
    </w:p>
    <w:p>
      <w:pPr>
        <w:spacing w:before="0" w:after="0" w:line="240" w:lineRule="auto"/>
        <w:ind w:left="400"/>
      </w:pPr>
      <w:r>
        <w:rPr>
          <w:rFonts w:ascii="Courier New" w:hAnsi="Courier New" w:cs="Courier New"/>
          <w:sz w:val="19"/>
        </w:rPr>
        <w:t xml:space="preserve">      return await argon2.verify(hash, plain);</w:t>
      </w:r>
    </w:p>
    <w:p>
      <w:pPr>
        <w:spacing w:before="0" w:after="0" w:line="240" w:lineRule="auto"/>
        <w:ind w:left="400"/>
      </w:pPr>
      <w:r>
        <w:rPr>
          <w:rFonts w:ascii="Courier New" w:hAnsi="Courier New" w:cs="Courier New"/>
          <w:sz w:val="19"/>
        </w:rPr>
        <w:t xml:space="preserve">    } catch (err) {</w:t>
      </w:r>
    </w:p>
    <w:p>
      <w:pPr>
        <w:spacing w:before="0" w:after="0" w:line="240" w:lineRule="auto"/>
        <w:ind w:left="400"/>
      </w:pPr>
      <w:r>
        <w:rPr>
          <w:rFonts w:ascii="Courier New" w:hAnsi="Courier New" w:cs="Courier New"/>
          <w:sz w:val="19"/>
        </w:rPr>
        <w:t xml:space="preserve">      return false;</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w:t>
      </w:r>
    </w:p>
    <w:p>
      <w:pPr>
        <w:spacing w:before="120"/>
      </w:pPr>
    </w:p>
    <w:p>
      <w:pPr>
        <w:pStyle w:val="Heading2"/>
        <w:keepNext/>
        <w:keepLines/>
        <w:spacing w:before="360" w:after="0" w:line="360" w:lineRule="auto"/>
        <w:jc w:val="both"/>
      </w:pPr>
      <w:r>
        <w:rPr>
          <w:rFonts w:ascii="UT Sans" w:hAnsi="UT Sans" w:cs="UT Sans"/>
          <w:b/>
          <w:i w:val="0"/>
          <w:sz w:val="28"/>
        </w:rPr>
        <w:t>4.3 Modulul Trading: Catalog și Contracte Forward</w:t>
      </w:r>
    </w:p>
    <w:p>
      <w:pPr>
        <w:pStyle w:val="Heading3"/>
        <w:keepNext/>
        <w:keepLines/>
        <w:spacing w:before="200" w:after="0" w:line="360" w:lineRule="auto"/>
        <w:jc w:val="both"/>
      </w:pPr>
      <w:r>
        <w:rPr>
          <w:rFonts w:ascii="UT Sans" w:hAnsi="UT Sans" w:cs="UT Sans"/>
          <w:b/>
          <w:i w:val="0"/>
          <w:sz w:val="22"/>
        </w:rPr>
        <w:t>4.3.1 Căutarea JSONB cu indecși GIN</w:t>
      </w:r>
    </w:p>
    <w:p>
      <w:pPr>
        <w:spacing w:line="360" w:lineRule="auto"/>
        <w:jc w:val="both"/>
      </w:pPr>
      <w:r>
        <w:rPr>
          <w:rFonts w:ascii="UT Sans" w:hAnsi="UT Sans" w:cs="UT Sans"/>
          <w:b w:val="0"/>
          <w:i w:val="0"/>
          <w:sz w:val="24"/>
        </w:rPr>
        <w:t>Fiecare listing de cereale stochează parametrii de calitate într-o coloană JSONB, permițând variabilitatea atributelor între diferite tipuri de mărfuri. Entitatea Listing conține câmpuri relaționale standard (id, commodity_id, seller_id, base_price, quantity, listing_date, status) și un câmp JSONB quality_attributes care stochează parametrii specifici tipului de cereală.</w:t>
      </w:r>
    </w:p>
    <w:p>
      <w:pPr>
        <w:spacing w:line="360" w:lineRule="auto"/>
        <w:jc w:val="both"/>
      </w:pPr>
      <w:r>
        <w:rPr>
          <w:rFonts w:ascii="UT Sans" w:hAnsi="UT Sans" w:cs="UT Sans"/>
          <w:b w:val="0"/>
          <w:i w:val="0"/>
          <w:sz w:val="24"/>
        </w:rPr>
        <w:t>Endpoint-ul GET /listings/search implementează interogări de containment @&gt; pe câmpurile JSONB, utilizând indecșii GIN configurați cu jsonb_path_ops pentru performanță optimă [7]. Un cumpărător poate filtra simultan după multiple criterii de calitate (proteină &gt; 12.5%, umiditate &lt; 14%, Besatz &lt; 2%) cu timp de răspuns sub 10 milisecunde, chiar și pe un catalog de mii de listări active. Serviciul Trading combină aceste filtre JSONB cu filtre relaționale standard (categorie, regiune, preț) într-o singură interogare SQL optimizată.</w:t>
      </w:r>
    </w:p>
    <w:p>
      <w:pPr>
        <w:pStyle w:val="Heading3"/>
        <w:keepNext/>
        <w:keepLines/>
        <w:spacing w:before="200" w:after="0" w:line="360" w:lineRule="auto"/>
        <w:jc w:val="both"/>
      </w:pPr>
      <w:r>
        <w:rPr>
          <w:rFonts w:ascii="UT Sans" w:hAnsi="UT Sans" w:cs="UT Sans"/>
          <w:b/>
          <w:i w:val="0"/>
          <w:sz w:val="22"/>
        </w:rPr>
        <w:t>4.3.2 Contracte Forward și facturare cu taxare inversă</w:t>
      </w:r>
    </w:p>
    <w:p>
      <w:pPr>
        <w:spacing w:line="360" w:lineRule="auto"/>
        <w:jc w:val="both"/>
      </w:pPr>
      <w:r>
        <w:rPr>
          <w:rFonts w:ascii="UT Sans" w:hAnsi="UT Sans" w:cs="UT Sans"/>
          <w:b w:val="0"/>
          <w:i w:val="0"/>
          <w:sz w:val="24"/>
        </w:rPr>
        <w:t>Contractele forward permit participanților să blocheze un preț pentru livrare la o dată viitoare, protejându-se astfel de volatilitatea pieței. Entitatea ForwardContract stochează termenii contractuali: părțile implicate, marfa și specificațiile de calitate, cantitatea, prețul convenit, data de livrare, condițiile de reziliere și statusul curent (DRAFT, ACTIVE, FULFILLED, CANCELLED).</w:t>
      </w:r>
    </w:p>
    <w:p>
      <w:pPr>
        <w:spacing w:line="360" w:lineRule="auto"/>
        <w:jc w:val="both"/>
      </w:pPr>
      <w:r>
        <w:rPr>
          <w:rFonts w:ascii="UT Sans" w:hAnsi="UT Sans" w:cs="UT Sans"/>
          <w:b w:val="0"/>
          <w:i w:val="0"/>
          <w:sz w:val="24"/>
        </w:rPr>
        <w:t>Endpoint-ul GET /forward-contracts/:id/invoice generează automat facturi conforme cu Art. 331. Algoritmul de facturare parcurge următoarele etape: verificarea statusului TVA al ambelor părți prin validarea CUI-ului la ANAF, verificarea codului NC al produsului tranzacționat contra listei Art. 331, și aplicarea automată a mențiunii "Taxare inversă" pe factură când toate condițiile sunt îndeplinite [10]. Dacă una dintre părți nu este înregistrată în scopuri de TVA, factura este emisă cu TVA standard de 19%.</w:t>
      </w:r>
    </w:p>
    <w:p>
      <w:pPr>
        <w:pStyle w:val="Heading2"/>
        <w:keepNext/>
        <w:keepLines/>
        <w:spacing w:before="360" w:after="0" w:line="360" w:lineRule="auto"/>
        <w:jc w:val="both"/>
      </w:pPr>
      <w:r>
        <w:rPr>
          <w:rFonts w:ascii="UT Sans" w:hAnsi="UT Sans" w:cs="UT Sans"/>
          <w:b/>
          <w:i w:val="0"/>
          <w:sz w:val="28"/>
        </w:rPr>
        <w:t>4.4 Modulul Financial: Escrow și DAC7</w:t>
      </w:r>
    </w:p>
    <w:p>
      <w:pPr>
        <w:spacing w:line="360" w:lineRule="auto"/>
        <w:jc w:val="both"/>
      </w:pPr>
      <w:r>
        <w:rPr>
          <w:rFonts w:ascii="UT Sans" w:hAnsi="UT Sans" w:cs="UT Sans"/>
          <w:b w:val="0"/>
          <w:i w:val="0"/>
          <w:sz w:val="24"/>
        </w:rPr>
        <w:t>Modulul Financial orchestrează fluxul complet de plăți prin trei endpoint-uri specializate care corespund celor trei faze ale ciclului de viață al unui escrow: POST /escrow/:id/fund (blocarea fondurilor cumpărătorului în contul de segregare), POST /escrow/:id/release (eliberarea fondurilor către vânzător după confirmarea recepției calitative) și POST /escrow/:id/refund (returnarea fondurilor în caz de dispută rezolvată în favoarea cumpărătorului) [6].</w:t>
      </w:r>
    </w:p>
    <w:p>
      <w:pPr>
        <w:spacing w:line="360" w:lineRule="auto"/>
        <w:jc w:val="both"/>
      </w:pPr>
      <w:r>
        <w:rPr>
          <w:rFonts w:ascii="UT Sans" w:hAnsi="UT Sans" w:cs="UT Sans"/>
          <w:b w:val="0"/>
          <w:i w:val="0"/>
          <w:sz w:val="24"/>
        </w:rPr>
        <w:t>Sistemul implementează un flux de Escrow digital tripartit conform PSD2 (Payment Services Directive 2). Pentru logistica multi-parte, o tranzacție implică simultan cumpărătorul, vânzătorul și transportatorul. Split Payment divide automat fiecare tranzacție în trei fluxuri:</w:t>
      </w:r>
    </w:p>
    <w:p>
      <w:pPr>
        <w:spacing w:after="40"/>
      </w:pPr>
    </w:p>
    <w:p>
      <w:pPr>
        <w:spacing w:before="0" w:after="0" w:line="240" w:lineRule="auto"/>
        <w:ind w:left="400"/>
      </w:pPr>
      <w:r>
        <w:rPr>
          <w:rFonts w:ascii="Courier New" w:hAnsi="Courier New" w:cs="Courier New"/>
          <w:sz w:val="19"/>
        </w:rPr>
        <w:t>@Injectable()</w:t>
      </w:r>
    </w:p>
    <w:p>
      <w:pPr>
        <w:spacing w:before="0" w:after="0" w:line="240" w:lineRule="auto"/>
        <w:ind w:left="400"/>
      </w:pPr>
      <w:r>
        <w:rPr>
          <w:rFonts w:ascii="Courier New" w:hAnsi="Courier New" w:cs="Courier New"/>
          <w:sz w:val="19"/>
        </w:rPr>
        <w:t>export class EscrowService {</w:t>
      </w:r>
    </w:p>
    <w:p>
      <w:pPr>
        <w:spacing w:before="0" w:after="0" w:line="240" w:lineRule="auto"/>
        <w:ind w:left="400"/>
      </w:pPr>
      <w:r>
        <w:rPr>
          <w:rFonts w:ascii="Courier New" w:hAnsi="Courier New" w:cs="Courier New"/>
          <w:sz w:val="19"/>
        </w:rPr>
        <w:t xml:space="preserve">  constructor(private dataSource: DataSource) {}</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async releaseFunds(orderId: string): Promise&lt;void&gt; {</w:t>
      </w:r>
    </w:p>
    <w:p>
      <w:pPr>
        <w:spacing w:before="0" w:after="0" w:line="240" w:lineRule="auto"/>
        <w:ind w:left="400"/>
      </w:pPr>
      <w:r>
        <w:rPr>
          <w:rFonts w:ascii="Courier New" w:hAnsi="Courier New" w:cs="Courier New"/>
          <w:sz w:val="19"/>
        </w:rPr>
        <w:t xml:space="preserve">    // Utilizăm tranzacții ACID pentru a garanta split payment-ul atomic</w:t>
      </w:r>
    </w:p>
    <w:p>
      <w:pPr>
        <w:spacing w:before="0" w:after="0" w:line="240" w:lineRule="auto"/>
        <w:ind w:left="400"/>
      </w:pPr>
      <w:r>
        <w:rPr>
          <w:rFonts w:ascii="Courier New" w:hAnsi="Courier New" w:cs="Courier New"/>
          <w:sz w:val="19"/>
        </w:rPr>
        <w:t xml:space="preserve">    const queryRunner = this.dataSource.createQueryRunner();</w:t>
      </w:r>
    </w:p>
    <w:p>
      <w:pPr>
        <w:spacing w:before="0" w:after="0" w:line="240" w:lineRule="auto"/>
        <w:ind w:left="400"/>
      </w:pPr>
      <w:r>
        <w:rPr>
          <w:rFonts w:ascii="Courier New" w:hAnsi="Courier New" w:cs="Courier New"/>
          <w:sz w:val="19"/>
        </w:rPr>
        <w:t xml:space="preserve">    await queryRunner.connect();</w:t>
      </w:r>
    </w:p>
    <w:p>
      <w:pPr>
        <w:spacing w:before="0" w:after="0" w:line="240" w:lineRule="auto"/>
        <w:ind w:left="400"/>
      </w:pPr>
      <w:r>
        <w:rPr>
          <w:rFonts w:ascii="Courier New" w:hAnsi="Courier New" w:cs="Courier New"/>
          <w:sz w:val="19"/>
        </w:rPr>
        <w:t xml:space="preserve">    await queryRunner.startTransaction();</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try {</w:t>
      </w:r>
    </w:p>
    <w:p>
      <w:pPr>
        <w:spacing w:before="0" w:after="0" w:line="240" w:lineRule="auto"/>
        <w:ind w:left="400"/>
      </w:pPr>
      <w:r>
        <w:rPr>
          <w:rFonts w:ascii="Courier New" w:hAnsi="Courier New" w:cs="Courier New"/>
          <w:sz w:val="19"/>
        </w:rPr>
        <w:t xml:space="preserve">      const order = await queryRunner.manager.findOne(OrderEntity, { </w:t>
      </w:r>
    </w:p>
    <w:p>
      <w:pPr>
        <w:spacing w:before="0" w:after="0" w:line="240" w:lineRule="auto"/>
        <w:ind w:left="400"/>
      </w:pPr>
      <w:r>
        <w:rPr>
          <w:rFonts w:ascii="Courier New" w:hAnsi="Courier New" w:cs="Courier New"/>
          <w:sz w:val="19"/>
        </w:rPr>
        <w:t xml:space="preserve">        where: { id: orderId }, relations: ['seller', 'carrier'] </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if (order.escrow_status !== 'FUNDED') {</w:t>
      </w:r>
    </w:p>
    <w:p>
      <w:pPr>
        <w:spacing w:before="0" w:after="0" w:line="240" w:lineRule="auto"/>
        <w:ind w:left="400"/>
      </w:pPr>
      <w:r>
        <w:rPr>
          <w:rFonts w:ascii="Courier New" w:hAnsi="Courier New" w:cs="Courier New"/>
          <w:sz w:val="19"/>
        </w:rPr>
        <w:t xml:space="preserve">        throw new BadRequestException('Escrow is not funded');</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const totalAmount = order.total_price_ron;</w:t>
      </w:r>
    </w:p>
    <w:p>
      <w:pPr>
        <w:spacing w:before="0" w:after="0" w:line="240" w:lineRule="auto"/>
        <w:ind w:left="400"/>
      </w:pPr>
      <w:r>
        <w:rPr>
          <w:rFonts w:ascii="Courier New" w:hAnsi="Courier New" w:cs="Courier New"/>
          <w:sz w:val="19"/>
        </w:rPr>
        <w:t xml:space="preserve">      const platformFee = totalAmount * 0.02;     // 2% platformă</w:t>
      </w:r>
    </w:p>
    <w:p>
      <w:pPr>
        <w:spacing w:before="0" w:after="0" w:line="240" w:lineRule="auto"/>
        <w:ind w:left="400"/>
      </w:pPr>
      <w:r>
        <w:rPr>
          <w:rFonts w:ascii="Courier New" w:hAnsi="Courier New" w:cs="Courier New"/>
          <w:sz w:val="19"/>
        </w:rPr>
        <w:t xml:space="preserve">      const carrierFee = totalAmount * 0.03;      // 3% transportator</w:t>
      </w:r>
    </w:p>
    <w:p>
      <w:pPr>
        <w:spacing w:before="0" w:after="0" w:line="240" w:lineRule="auto"/>
        <w:ind w:left="400"/>
      </w:pPr>
      <w:r>
        <w:rPr>
          <w:rFonts w:ascii="Courier New" w:hAnsi="Courier New" w:cs="Courier New"/>
          <w:sz w:val="19"/>
        </w:rPr>
        <w:t xml:space="preserve">      const sellerPayout = totalAmount * 0.95;    // 95% fermier</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 Aici se inițiază transferurile via TPP / Open Banking API</w:t>
      </w:r>
    </w:p>
    <w:p>
      <w:pPr>
        <w:spacing w:before="0" w:after="0" w:line="240" w:lineRule="auto"/>
        <w:ind w:left="400"/>
      </w:pPr>
      <w:r>
        <w:rPr>
          <w:rFonts w:ascii="Courier New" w:hAnsi="Courier New" w:cs="Courier New"/>
          <w:sz w:val="19"/>
        </w:rPr>
        <w:t xml:space="preserve">      await this.paymentGateway.payout(order.seller.iban, sellerPayout);</w:t>
      </w:r>
    </w:p>
    <w:p>
      <w:pPr>
        <w:spacing w:before="0" w:after="0" w:line="240" w:lineRule="auto"/>
        <w:ind w:left="400"/>
      </w:pPr>
      <w:r>
        <w:rPr>
          <w:rFonts w:ascii="Courier New" w:hAnsi="Courier New" w:cs="Courier New"/>
          <w:sz w:val="19"/>
        </w:rPr>
        <w:t xml:space="preserve">      await this.paymentGateway.payout(order.carrier.iban, carrierFee);</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order.escrow_status = 'RELEASED';</w:t>
      </w:r>
    </w:p>
    <w:p>
      <w:pPr>
        <w:spacing w:before="0" w:after="0" w:line="240" w:lineRule="auto"/>
        <w:ind w:left="400"/>
      </w:pPr>
      <w:r>
        <w:rPr>
          <w:rFonts w:ascii="Courier New" w:hAnsi="Courier New" w:cs="Courier New"/>
          <w:sz w:val="19"/>
        </w:rPr>
        <w:t xml:space="preserve">      order.released_at = new Date();</w:t>
      </w:r>
    </w:p>
    <w:p>
      <w:pPr>
        <w:spacing w:before="0" w:after="0" w:line="240" w:lineRule="auto"/>
        <w:ind w:left="400"/>
      </w:pPr>
      <w:r>
        <w:rPr>
          <w:rFonts w:ascii="Courier New" w:hAnsi="Courier New" w:cs="Courier New"/>
          <w:sz w:val="19"/>
        </w:rPr>
        <w:t xml:space="preserve">      await queryRunner.manager.save(order);</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await queryRunner.commitTransaction();</w:t>
      </w:r>
    </w:p>
    <w:p>
      <w:pPr>
        <w:spacing w:before="0" w:after="0" w:line="240" w:lineRule="auto"/>
        <w:ind w:left="400"/>
      </w:pPr>
      <w:r>
        <w:rPr>
          <w:rFonts w:ascii="Courier New" w:hAnsi="Courier New" w:cs="Courier New"/>
          <w:sz w:val="19"/>
        </w:rPr>
        <w:t xml:space="preserve">    } catch (error) {</w:t>
      </w:r>
    </w:p>
    <w:p>
      <w:pPr>
        <w:spacing w:before="0" w:after="0" w:line="240" w:lineRule="auto"/>
        <w:ind w:left="400"/>
      </w:pPr>
      <w:r>
        <w:rPr>
          <w:rFonts w:ascii="Courier New" w:hAnsi="Courier New" w:cs="Courier New"/>
          <w:sz w:val="19"/>
        </w:rPr>
        <w:t xml:space="preserve">      await queryRunner.rollbackTransaction();</w:t>
      </w:r>
    </w:p>
    <w:p>
      <w:pPr>
        <w:spacing w:before="0" w:after="0" w:line="240" w:lineRule="auto"/>
        <w:ind w:left="400"/>
      </w:pPr>
      <w:r>
        <w:rPr>
          <w:rFonts w:ascii="Courier New" w:hAnsi="Courier New" w:cs="Courier New"/>
          <w:sz w:val="19"/>
        </w:rPr>
        <w:t xml:space="preserve">      throw new InternalServerErrorException('Escrow release failed');</w:t>
      </w:r>
    </w:p>
    <w:p>
      <w:pPr>
        <w:spacing w:before="0" w:after="0" w:line="240" w:lineRule="auto"/>
        <w:ind w:left="400"/>
      </w:pPr>
      <w:r>
        <w:rPr>
          <w:rFonts w:ascii="Courier New" w:hAnsi="Courier New" w:cs="Courier New"/>
          <w:sz w:val="19"/>
        </w:rPr>
        <w:t xml:space="preserve">    } finally {</w:t>
      </w:r>
    </w:p>
    <w:p>
      <w:pPr>
        <w:spacing w:before="0" w:after="0" w:line="240" w:lineRule="auto"/>
        <w:ind w:left="400"/>
      </w:pPr>
      <w:r>
        <w:rPr>
          <w:rFonts w:ascii="Courier New" w:hAnsi="Courier New" w:cs="Courier New"/>
          <w:sz w:val="19"/>
        </w:rPr>
        <w:t xml:space="preserve">      await queryRunner.release();</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w:t>
      </w:r>
    </w:p>
    <w:p>
      <w:pPr>
        <w:spacing w:before="120"/>
      </w:pPr>
    </w:p>
    <w:p>
      <w:pPr>
        <w:spacing w:line="360" w:lineRule="auto"/>
        <w:jc w:val="both"/>
      </w:pPr>
      <w:r>
        <w:rPr>
          <w:rFonts w:ascii="UT Sans" w:hAnsi="UT Sans" w:cs="UT Sans"/>
          <w:b w:val="0"/>
          <w:i w:val="0"/>
          <w:sz w:val="24"/>
        </w:rPr>
        <w:t>Endpoint-ul POST /dac7/generate produce raportul F7000 cerut de directiva DAC7, agregând datele trimestriale de venit ale fiecărui vânzător activ pe platformă. Raportul include: identificarea vânzătorului (denumire, CUI, adresa, număr TVA), numărul total de tranzacții per trimestru, remunerația totală brută și comisioanele reținute de platformă [10].</w:t>
      </w:r>
    </w:p>
    <w:p>
      <w:pPr>
        <w:pStyle w:val="Heading2"/>
        <w:keepNext/>
        <w:keepLines/>
        <w:spacing w:before="360" w:after="0" w:line="360" w:lineRule="auto"/>
        <w:jc w:val="both"/>
      </w:pPr>
      <w:r>
        <w:rPr>
          <w:rFonts w:ascii="UT Sans" w:hAnsi="UT Sans" w:cs="UT Sans"/>
          <w:b/>
          <w:i w:val="0"/>
          <w:sz w:val="28"/>
        </w:rPr>
        <w:t>4.5 OSRM și Optimizarea Transporturilor</w:t>
      </w:r>
    </w:p>
    <w:p>
      <w:pPr>
        <w:pStyle w:val="Heading3"/>
        <w:keepNext/>
        <w:keepLines/>
        <w:spacing w:before="200" w:after="0" w:line="360" w:lineRule="auto"/>
        <w:jc w:val="both"/>
      </w:pPr>
      <w:r>
        <w:rPr>
          <w:rFonts w:ascii="UT Sans" w:hAnsi="UT Sans" w:cs="UT Sans"/>
          <w:b/>
          <w:i w:val="0"/>
          <w:sz w:val="22"/>
        </w:rPr>
        <w:t>4.5.1 Arhitectura tehnică OSRM și Contraction Hierarchies</w:t>
      </w:r>
    </w:p>
    <w:p>
      <w:pPr>
        <w:spacing w:line="360" w:lineRule="auto"/>
        <w:jc w:val="both"/>
      </w:pPr>
      <w:r>
        <w:rPr>
          <w:rFonts w:ascii="UT Sans" w:hAnsi="UT Sans" w:cs="UT Sans"/>
          <w:b w:val="0"/>
          <w:i w:val="0"/>
          <w:sz w:val="24"/>
        </w:rPr>
        <w:t>Pentru calcularea rutelor de transport, AgriConnect integrează motorul Open Source Routing Machine (OSRM), un engine C++ de înaltă performanță care utilizează datele OpenStreetMap [14]. OSRM este preferat față de API-urile proprietare precum Google Maps Directions API deoarece permite interogări nelimitate la un cost fix de infrastructură, eliminând costurile per-request care pot deveni prohibitive pentru volume mari de interogări [14].</w:t>
      </w:r>
    </w:p>
    <w:p>
      <w:pPr>
        <w:spacing w:line="360" w:lineRule="auto"/>
        <w:jc w:val="both"/>
      </w:pPr>
      <w:r>
        <w:rPr>
          <w:rFonts w:ascii="UT Sans" w:hAnsi="UT Sans" w:cs="UT Sans"/>
          <w:b w:val="0"/>
          <w:i w:val="0"/>
          <w:sz w:val="24"/>
        </w:rPr>
        <w:t>Nucleul performanței OSRM este algoritmul Contraction Hierarchies (CH), care funcționează în două faze distincte [14]:</w:t>
      </w:r>
    </w:p>
    <w:p>
      <w:pPr>
        <w:jc w:val="both"/>
        <w:spacing w:after="80" w:line="360" w:lineRule="auto"/>
        <w:ind w:left="720" w:hanging="360"/>
      </w:pPr>
      <w:r>
        <w:rPr>
          <w:rFonts w:ascii="UT Sans" w:hAnsi="UT Sans" w:cs="UT Sans"/>
          <w:b w:val="0"/>
          <w:i w:val="0"/>
          <w:sz w:val="22"/>
        </w:rPr>
        <w:t>• Faza de Preprocesare (Node Contraction): nodurile grafului rutier sunt ierarhizate și "contractate" iterativ. Când un nod v este eliminat din graf, se adaugă muchii "shortcut" între vecinii săi dacă calea cea mai scurtă între ei trecea prin v. Drumurile de importanță națională (autostrăzi, drumuri europene) sunt plasate la nivelurile superioare ale ierarhiei, cele locale la inferioare [15]</w:t>
      </w:r>
    </w:p>
    <w:p>
      <w:pPr>
        <w:jc w:val="both"/>
        <w:spacing w:after="80" w:line="360" w:lineRule="auto"/>
        <w:ind w:left="720" w:hanging="360"/>
      </w:pPr>
      <w:r>
        <w:rPr>
          <w:rFonts w:ascii="UT Sans" w:hAnsi="UT Sans" w:cs="UT Sans"/>
          <w:b w:val="0"/>
          <w:i w:val="0"/>
          <w:sz w:val="22"/>
        </w:rPr>
        <w:t>• Faza de Interogare (Query): algoritmul utilizează o căutare bidirecțională Dijkstra restricționată. Căutarea pleacă simultan de la sursă și destinație, dar este restricționată să exploreze doar nodurile "mai sus" în ierarhie față de nodul curent. Intersecția celor două fronturi de căutare oferă calea optimă [15]</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UT Sans" w:hAnsi="UT Sans" w:cs="UT Sans"/>
                <w:b/>
                <w:i w:val="0"/>
                <w:sz w:val="22"/>
              </w:rPr>
              <w:t>Parametru OSRM</w:t>
            </w:r>
          </w:p>
        </w:tc>
        <w:tc>
          <w:tcPr>
            <w:tcW w:type="dxa" w:w="3213"/>
          </w:tcPr>
          <w:p>
            <w:r>
              <w:rPr>
                <w:rFonts w:ascii="UT Sans" w:hAnsi="UT Sans" w:cs="UT Sans"/>
                <w:b/>
                <w:i w:val="0"/>
                <w:sz w:val="22"/>
              </w:rPr>
              <w:t>Valoare Tipică</w:t>
            </w:r>
          </w:p>
        </w:tc>
        <w:tc>
          <w:tcPr>
            <w:tcW w:type="dxa" w:w="3213"/>
          </w:tcPr>
          <w:p>
            <w:r>
              <w:rPr>
                <w:rFonts w:ascii="UT Sans" w:hAnsi="UT Sans" w:cs="UT Sans"/>
                <w:b/>
                <w:i w:val="0"/>
                <w:sz w:val="22"/>
              </w:rPr>
              <w:t>Impact Operațional</w:t>
            </w:r>
          </w:p>
        </w:tc>
      </w:tr>
      <w:tr>
        <w:tc>
          <w:tcPr>
            <w:tcW w:type="dxa" w:w="3213"/>
          </w:tcPr>
          <w:p>
            <w:r>
              <w:rPr>
                <w:rFonts w:ascii="UT Sans" w:hAnsi="UT Sans" w:cs="UT Sans"/>
                <w:b w:val="0"/>
                <w:i w:val="0"/>
                <w:sz w:val="22"/>
              </w:rPr>
              <w:t>Timp Răspuns Interogare</w:t>
            </w:r>
          </w:p>
        </w:tc>
        <w:tc>
          <w:tcPr>
            <w:tcW w:type="dxa" w:w="3213"/>
          </w:tcPr>
          <w:p>
            <w:r>
              <w:rPr>
                <w:rFonts w:ascii="UT Sans" w:hAnsi="UT Sans" w:cs="UT Sans"/>
                <w:b w:val="0"/>
                <w:i w:val="0"/>
                <w:sz w:val="22"/>
              </w:rPr>
              <w:t>&lt;10 ms pentru rute naționale [14]</w:t>
            </w:r>
          </w:p>
        </w:tc>
        <w:tc>
          <w:tcPr>
            <w:tcW w:type="dxa" w:w="3213"/>
          </w:tcPr>
          <w:p>
            <w:r>
              <w:rPr>
                <w:rFonts w:ascii="UT Sans" w:hAnsi="UT Sans" w:cs="UT Sans"/>
                <w:b w:val="0"/>
                <w:i w:val="0"/>
                <w:sz w:val="22"/>
              </w:rPr>
              <w:t>Planificare transport în timp real</w:t>
            </w:r>
          </w:p>
        </w:tc>
      </w:tr>
      <w:tr>
        <w:tc>
          <w:tcPr>
            <w:tcW w:type="dxa" w:w="3213"/>
          </w:tcPr>
          <w:p>
            <w:r>
              <w:rPr>
                <w:rFonts w:ascii="UT Sans" w:hAnsi="UT Sans" w:cs="UT Sans"/>
                <w:b w:val="0"/>
                <w:i w:val="0"/>
                <w:sz w:val="22"/>
              </w:rPr>
              <w:t>Consum Memorie (România)</w:t>
            </w:r>
          </w:p>
        </w:tc>
        <w:tc>
          <w:tcPr>
            <w:tcW w:type="dxa" w:w="3213"/>
          </w:tcPr>
          <w:p>
            <w:r>
              <w:rPr>
                <w:rFonts w:ascii="UT Sans" w:hAnsi="UT Sans" w:cs="UT Sans"/>
                <w:b w:val="0"/>
                <w:i w:val="0"/>
                <w:sz w:val="22"/>
              </w:rPr>
              <w:t>~5 GB RAM [14]</w:t>
            </w:r>
          </w:p>
        </w:tc>
        <w:tc>
          <w:tcPr>
            <w:tcW w:type="dxa" w:w="3213"/>
          </w:tcPr>
          <w:p>
            <w:r>
              <w:rPr>
                <w:rFonts w:ascii="UT Sans" w:hAnsi="UT Sans" w:cs="UT Sans"/>
                <w:b w:val="0"/>
                <w:i w:val="0"/>
                <w:sz w:val="22"/>
              </w:rPr>
              <w:t>Server dedicat sau VPS recomandat</w:t>
            </w:r>
          </w:p>
        </w:tc>
      </w:tr>
      <w:tr>
        <w:tc>
          <w:tcPr>
            <w:tcW w:type="dxa" w:w="3213"/>
          </w:tcPr>
          <w:p>
            <w:r>
              <w:rPr>
                <w:rFonts w:ascii="UT Sans" w:hAnsi="UT Sans" w:cs="UT Sans"/>
                <w:b w:val="0"/>
                <w:i w:val="0"/>
                <w:sz w:val="22"/>
              </w:rPr>
              <w:t>Preprocesare (România)</w:t>
            </w:r>
          </w:p>
        </w:tc>
        <w:tc>
          <w:tcPr>
            <w:tcW w:type="dxa" w:w="3213"/>
          </w:tcPr>
          <w:p>
            <w:r>
              <w:rPr>
                <w:rFonts w:ascii="UT Sans" w:hAnsi="UT Sans" w:cs="UT Sans"/>
                <w:b w:val="0"/>
                <w:i w:val="0"/>
                <w:sz w:val="22"/>
              </w:rPr>
              <w:t>~30 minute [14]</w:t>
            </w:r>
          </w:p>
        </w:tc>
        <w:tc>
          <w:tcPr>
            <w:tcW w:type="dxa" w:w="3213"/>
          </w:tcPr>
          <w:p>
            <w:r>
              <w:rPr>
                <w:rFonts w:ascii="UT Sans" w:hAnsi="UT Sans" w:cs="UT Sans"/>
                <w:b w:val="0"/>
                <w:i w:val="0"/>
                <w:sz w:val="22"/>
              </w:rPr>
              <w:t>Actualizare săptămânală OSM</w:t>
            </w:r>
          </w:p>
        </w:tc>
      </w:tr>
      <w:tr>
        <w:tc>
          <w:tcPr>
            <w:tcW w:type="dxa" w:w="3213"/>
          </w:tcPr>
          <w:p>
            <w:r>
              <w:rPr>
                <w:rFonts w:ascii="UT Sans" w:hAnsi="UT Sans" w:cs="UT Sans"/>
                <w:b w:val="0"/>
                <w:i w:val="0"/>
                <w:sz w:val="22"/>
              </w:rPr>
              <w:t>Profile Vehicul</w:t>
            </w:r>
          </w:p>
        </w:tc>
        <w:tc>
          <w:tcPr>
            <w:tcW w:type="dxa" w:w="3213"/>
          </w:tcPr>
          <w:p>
            <w:r>
              <w:rPr>
                <w:rFonts w:ascii="UT Sans" w:hAnsi="UT Sans" w:cs="UT Sans"/>
                <w:b w:val="0"/>
                <w:i w:val="0"/>
                <w:sz w:val="22"/>
              </w:rPr>
              <w:t>Car, Heavy Vehicle (Lua) [14]</w:t>
            </w:r>
          </w:p>
        </w:tc>
        <w:tc>
          <w:tcPr>
            <w:tcW w:type="dxa" w:w="3213"/>
          </w:tcPr>
          <w:p>
            <w:r>
              <w:rPr>
                <w:rFonts w:ascii="UT Sans" w:hAnsi="UT Sans" w:cs="UT Sans"/>
                <w:b w:val="0"/>
                <w:i w:val="0"/>
                <w:sz w:val="22"/>
              </w:rPr>
              <w:t>Restricții tonaj, înălțime pentru cereale</w:t>
            </w:r>
          </w:p>
        </w:tc>
      </w:tr>
      <w:tr>
        <w:tc>
          <w:tcPr>
            <w:tcW w:type="dxa" w:w="3213"/>
          </w:tcPr>
          <w:p>
            <w:r>
              <w:rPr>
                <w:rFonts w:ascii="UT Sans" w:hAnsi="UT Sans" w:cs="UT Sans"/>
                <w:b w:val="0"/>
                <w:i w:val="0"/>
                <w:sz w:val="22"/>
              </w:rPr>
              <w:t>Servicii API</w:t>
            </w:r>
          </w:p>
        </w:tc>
        <w:tc>
          <w:tcPr>
            <w:tcW w:type="dxa" w:w="3213"/>
          </w:tcPr>
          <w:p>
            <w:r>
              <w:rPr>
                <w:rFonts w:ascii="UT Sans" w:hAnsi="UT Sans" w:cs="UT Sans"/>
                <w:b w:val="0"/>
                <w:i w:val="0"/>
                <w:sz w:val="22"/>
              </w:rPr>
              <w:t>/route, /table, /trip, /match [14]</w:t>
            </w:r>
          </w:p>
        </w:tc>
        <w:tc>
          <w:tcPr>
            <w:tcW w:type="dxa" w:w="3213"/>
          </w:tcPr>
          <w:p>
            <w:r>
              <w:rPr>
                <w:rFonts w:ascii="UT Sans" w:hAnsi="UT Sans" w:cs="UT Sans"/>
                <w:b w:val="0"/>
                <w:i w:val="0"/>
                <w:sz w:val="22"/>
              </w:rPr>
              <w:t>Rutare, matrice distanță, TSP, map matching</w:t>
            </w:r>
          </w:p>
        </w:tc>
      </w:tr>
    </w:tbl>
    <w:p>
      <w:pPr>
        <w:spacing w:line="360" w:lineRule="auto" w:after="80"/>
        <w:jc w:val="both"/>
      </w:pPr>
      <w:r>
        <w:rPr>
          <w:rFonts w:ascii="UT Sans" w:hAnsi="UT Sans" w:cs="UT Sans"/>
          <w:b w:val="0"/>
          <w:i w:val="0"/>
          <w:sz w:val="24"/>
        </w:rPr>
      </w:r>
    </w:p>
    <w:p>
      <w:pPr>
        <w:spacing w:line="360" w:lineRule="auto"/>
        <w:jc w:val="both"/>
      </w:pPr>
      <w:r>
        <w:rPr>
          <w:rFonts w:ascii="UT Sans" w:hAnsi="UT Sans" w:cs="UT Sans"/>
          <w:b w:val="0"/>
          <w:i w:val="0"/>
          <w:sz w:val="24"/>
        </w:rPr>
        <w:t>Rutarea în NestJS se face prin API-ul OSRM integrat, accesând instanța dockerizată a motorului:</w:t>
      </w:r>
    </w:p>
    <w:p>
      <w:pPr>
        <w:spacing w:after="40"/>
      </w:pPr>
    </w:p>
    <w:p>
      <w:pPr>
        <w:spacing w:before="0" w:after="0" w:line="240" w:lineRule="auto"/>
        <w:ind w:left="400"/>
      </w:pPr>
      <w:r>
        <w:rPr>
          <w:rFonts w:ascii="Courier New" w:hAnsi="Courier New" w:cs="Courier New"/>
          <w:sz w:val="19"/>
        </w:rPr>
        <w:t>import { Injectable } from '@nestjs/common';</w:t>
      </w:r>
    </w:p>
    <w:p>
      <w:pPr>
        <w:spacing w:before="0" w:after="0" w:line="240" w:lineRule="auto"/>
        <w:ind w:left="400"/>
      </w:pPr>
      <w:r>
        <w:rPr>
          <w:rFonts w:ascii="Courier New" w:hAnsi="Courier New" w:cs="Courier New"/>
          <w:sz w:val="19"/>
        </w:rPr>
        <w:t>import axios from 'axios';</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@Injectable()</w:t>
      </w:r>
    </w:p>
    <w:p>
      <w:pPr>
        <w:spacing w:before="0" w:after="0" w:line="240" w:lineRule="auto"/>
        <w:ind w:left="400"/>
      </w:pPr>
      <w:r>
        <w:rPr>
          <w:rFonts w:ascii="Courier New" w:hAnsi="Courier New" w:cs="Courier New"/>
          <w:sz w:val="19"/>
        </w:rPr>
        <w:t>export class RoutingService {</w:t>
      </w:r>
    </w:p>
    <w:p>
      <w:pPr>
        <w:spacing w:before="0" w:after="0" w:line="240" w:lineRule="auto"/>
        <w:ind w:left="400"/>
      </w:pPr>
      <w:r>
        <w:rPr>
          <w:rFonts w:ascii="Courier New" w:hAnsi="Courier New" w:cs="Courier New"/>
          <w:sz w:val="19"/>
        </w:rPr>
        <w:t xml:space="preserve">  private readonly osrmBaseUrl = process.env.OSRM_BASE_URL || 'http://localhost:5000';</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 Generează ruta optimă folosind Contraction Hierarchies din OSRM</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async calculateRoute(srcLat: number, srcLng: number, destLat: number, destLng: number) {</w:t>
      </w:r>
    </w:p>
    <w:p>
      <w:pPr>
        <w:spacing w:before="0" w:after="0" w:line="240" w:lineRule="auto"/>
        <w:ind w:left="400"/>
      </w:pPr>
      <w:r>
        <w:rPr>
          <w:rFonts w:ascii="Courier New" w:hAnsi="Courier New" w:cs="Courier New"/>
          <w:sz w:val="19"/>
        </w:rPr>
        <w:t xml:space="preserve">    const coordinates = `${srcLng},${srcLat};${destLng},${destLat}`;</w:t>
      </w:r>
    </w:p>
    <w:p>
      <w:pPr>
        <w:spacing w:before="0" w:after="0" w:line="240" w:lineRule="auto"/>
        <w:ind w:left="400"/>
      </w:pPr>
      <w:r>
        <w:rPr>
          <w:rFonts w:ascii="Courier New" w:hAnsi="Courier New" w:cs="Courier New"/>
          <w:sz w:val="19"/>
        </w:rPr>
        <w:t xml:space="preserve">    const url = `${this.osrmBaseUrl}/route/v1/driving/${coordinates}?overview=full&amp;geometries=geojson`;</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const response = await axios.get(url);</w:t>
      </w:r>
    </w:p>
    <w:p>
      <w:pPr>
        <w:spacing w:before="0" w:after="0" w:line="240" w:lineRule="auto"/>
        <w:ind w:left="400"/>
      </w:pPr>
      <w:r>
        <w:rPr>
          <w:rFonts w:ascii="Courier New" w:hAnsi="Courier New" w:cs="Courier New"/>
          <w:sz w:val="19"/>
        </w:rPr>
        <w:t xml:space="preserve">    if (response.data.code !== 'Ok') {</w:t>
      </w:r>
    </w:p>
    <w:p>
      <w:pPr>
        <w:spacing w:before="0" w:after="0" w:line="240" w:lineRule="auto"/>
        <w:ind w:left="400"/>
      </w:pPr>
      <w:r>
        <w:rPr>
          <w:rFonts w:ascii="Courier New" w:hAnsi="Courier New" w:cs="Courier New"/>
          <w:sz w:val="19"/>
        </w:rPr>
        <w:t xml:space="preserve">      throw new Error('OSRM routing failed');</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const route = response.data.routes[1];</w:t>
      </w:r>
    </w:p>
    <w:p>
      <w:pPr>
        <w:spacing w:before="0" w:after="0" w:line="240" w:lineRule="auto"/>
        <w:ind w:left="400"/>
      </w:pPr>
      <w:r>
        <w:rPr>
          <w:rFonts w:ascii="Courier New" w:hAnsi="Courier New" w:cs="Courier New"/>
          <w:sz w:val="19"/>
        </w:rPr>
        <w:t xml:space="preserve">    return {</w:t>
      </w:r>
    </w:p>
    <w:p>
      <w:pPr>
        <w:spacing w:before="0" w:after="0" w:line="240" w:lineRule="auto"/>
        <w:ind w:left="400"/>
      </w:pPr>
      <w:r>
        <w:rPr>
          <w:rFonts w:ascii="Courier New" w:hAnsi="Courier New" w:cs="Courier New"/>
          <w:sz w:val="19"/>
        </w:rPr>
        <w:t xml:space="preserve">      distanceKm: route.distance / 1000,</w:t>
      </w:r>
    </w:p>
    <w:p>
      <w:pPr>
        <w:spacing w:before="0" w:after="0" w:line="240" w:lineRule="auto"/>
        <w:ind w:left="400"/>
      </w:pPr>
      <w:r>
        <w:rPr>
          <w:rFonts w:ascii="Courier New" w:hAnsi="Courier New" w:cs="Courier New"/>
          <w:sz w:val="19"/>
        </w:rPr>
        <w:t xml:space="preserve">      durationHrs: route.duration / 3600,</w:t>
      </w:r>
    </w:p>
    <w:p>
      <w:pPr>
        <w:spacing w:before="0" w:after="0" w:line="240" w:lineRule="auto"/>
        <w:ind w:left="400"/>
      </w:pPr>
      <w:r>
        <w:rPr>
          <w:rFonts w:ascii="Courier New" w:hAnsi="Courier New" w:cs="Courier New"/>
          <w:sz w:val="19"/>
        </w:rPr>
        <w:t xml:space="preserve">      geometry: route.geometry</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w:t>
      </w:r>
    </w:p>
    <w:p>
      <w:pPr>
        <w:spacing w:before="120"/>
      </w:pPr>
    </w:p>
    <w:p>
      <w:pPr>
        <w:pStyle w:val="Heading3"/>
        <w:keepNext/>
        <w:keepLines/>
        <w:spacing w:before="200" w:after="0" w:line="360" w:lineRule="auto"/>
        <w:jc w:val="both"/>
      </w:pPr>
      <w:r>
        <w:rPr>
          <w:rFonts w:ascii="UT Sans" w:hAnsi="UT Sans" w:cs="UT Sans"/>
          <w:b/>
          <w:i w:val="0"/>
          <w:sz w:val="22"/>
        </w:rPr>
        <w:t>4.5.2 Freight Matching și optimizare TSP</w:t>
      </w:r>
    </w:p>
    <w:p>
      <w:pPr>
        <w:spacing w:line="360" w:lineRule="auto"/>
        <w:jc w:val="both"/>
      </w:pPr>
      <w:r>
        <w:rPr>
          <w:rFonts w:ascii="UT Sans" w:hAnsi="UT Sans" w:cs="UT Sans"/>
          <w:b w:val="0"/>
          <w:i w:val="0"/>
          <w:sz w:val="24"/>
        </w:rPr>
        <w:t>Modulul Transport funcționează ca un "Digital Freight Exchange". Când un cumpărător finalizează o comandă, platforma utilizează serviciul OSRM /table pentru a genera o matrice de distanță NxN, calculând simultan timpul și distanța între locația de ridicare a mărfii și pozițiile a zeci de vehicule disponibile [14]. Această matrice permite clasificarea instantanee a vehiculelor în funcție de proximitate, capacitate și tip.</w:t>
      </w:r>
    </w:p>
    <w:p>
      <w:pPr>
        <w:spacing w:line="360" w:lineRule="auto"/>
        <w:jc w:val="both"/>
      </w:pPr>
      <w:r>
        <w:rPr>
          <w:rFonts w:ascii="UT Sans" w:hAnsi="UT Sans" w:cs="UT Sans"/>
          <w:b w:val="0"/>
          <w:i w:val="0"/>
          <w:sz w:val="24"/>
        </w:rPr>
        <w:t>Pentru cumpărătorii corporativi care gestionează ridicări din multiple ferme, sistemul încorporează un solver TSP (Traveling Salesperson Problem) prin serviciul OSRM /trip [14]. Solverul calculează ordinea optimă de vizitare a tuturor punctelor de ridicare, minimizând distanța totală parcursă și reducând consumul de combustibil. Algoritmul utilizează euristici avansate (nearest neighbor + 2-opt improvement) pentru a oferi soluții cvasi-optime în timp polinomial [6].</w:t>
      </w:r>
    </w:p>
    <w:p>
      <w:pPr>
        <w:pStyle w:val="Heading2"/>
        <w:keepNext/>
        <w:keepLines/>
        <w:spacing w:before="360" w:after="0" w:line="360" w:lineRule="auto"/>
        <w:jc w:val="both"/>
      </w:pPr>
      <w:r>
        <w:rPr>
          <w:rFonts w:ascii="UT Sans" w:hAnsi="UT Sans" w:cs="UT Sans"/>
          <w:b/>
          <w:i w:val="0"/>
          <w:sz w:val="28"/>
        </w:rPr>
        <w:t>4.6 Modulul Disputes: ADR conform Legii 81/2022</w:t>
      </w:r>
    </w:p>
    <w:p>
      <w:pPr>
        <w:spacing w:line="360" w:lineRule="auto"/>
        <w:jc w:val="both"/>
      </w:pPr>
      <w:r>
        <w:rPr>
          <w:rFonts w:ascii="UT Sans" w:hAnsi="UT Sans" w:cs="UT Sans"/>
          <w:b w:val="0"/>
          <w:i w:val="0"/>
          <w:sz w:val="24"/>
        </w:rPr>
        <w:t>Sistemul de rezolvare a disputelor implementează un proces structurat de ADR (Alternative Dispute Resolution) în conformitate cu cerințele Legii 81/2022. Ciclul complet al unei dispute parcurge mai multe etape obligatorii:</w:t>
      </w:r>
    </w:p>
    <w:p>
      <w:pPr>
        <w:jc w:val="both"/>
        <w:spacing w:after="80" w:line="360" w:lineRule="auto"/>
        <w:ind w:left="720" w:hanging="360"/>
      </w:pPr>
      <w:r>
        <w:rPr>
          <w:rFonts w:ascii="UT Sans" w:hAnsi="UT Sans" w:cs="UT Sans"/>
          <w:b w:val="0"/>
          <w:i w:val="0"/>
          <w:sz w:val="22"/>
        </w:rPr>
        <w:t>• Deschiderea Disputei (POST /disputes): înregistrarea motivului, evidențelor fotografice/documentare și valorii contestate. Motivele sunt clasificate în categorii predefinite: neconformitate calitativă, întârziere livrare, nerespectare cantitativă, documentație incompletă</w:t>
      </w:r>
    </w:p>
    <w:p>
      <w:pPr>
        <w:jc w:val="both"/>
        <w:spacing w:after="80" w:line="360" w:lineRule="auto"/>
        <w:ind w:left="720" w:hanging="360"/>
      </w:pPr>
      <w:r>
        <w:rPr>
          <w:rFonts w:ascii="UT Sans" w:hAnsi="UT Sans" w:cs="UT Sans"/>
          <w:b w:val="0"/>
          <w:i w:val="0"/>
          <w:sz w:val="22"/>
        </w:rPr>
        <w:t>• Conciliere Obligatorie (POST /:id/messages): minimum 3 mesaje de chat între părți înainte de a permite escalarea. Această cerință asigură că părțile au încercat o rezoluție amiabilă conform spiritului legii [12]</w:t>
      </w:r>
    </w:p>
    <w:p>
      <w:pPr>
        <w:jc w:val="both"/>
        <w:spacing w:after="80" w:line="360" w:lineRule="auto"/>
        <w:ind w:left="720" w:hanging="360"/>
      </w:pPr>
      <w:r>
        <w:rPr>
          <w:rFonts w:ascii="UT Sans" w:hAnsi="UT Sans" w:cs="UT Sans"/>
          <w:b w:val="0"/>
          <w:i w:val="0"/>
          <w:sz w:val="22"/>
        </w:rPr>
        <w:t>• Propunere Rezoluție (POST /:id/resolve): una dintre părți propune o rezoluție (refund total, refund parțial proporțional cu diferența calitativă, sau acceptarea stării actuale)</w:t>
      </w:r>
    </w:p>
    <w:p>
      <w:pPr>
        <w:jc w:val="both"/>
        <w:spacing w:after="80" w:line="360" w:lineRule="auto"/>
        <w:ind w:left="720" w:hanging="360"/>
      </w:pPr>
      <w:r>
        <w:rPr>
          <w:rFonts w:ascii="UT Sans" w:hAnsi="UT Sans" w:cs="UT Sans"/>
          <w:b w:val="0"/>
          <w:i w:val="0"/>
          <w:sz w:val="22"/>
        </w:rPr>
        <w:t>• Escalare ADR (POST /:id/escalate): dacă concilierea eșuează, disputa este escalată către un mediator extern acreditat, cu toate evidențele documentate în platformă transmise automat [12]</w:t>
      </w:r>
    </w:p>
    <w:p>
      <w:pPr>
        <w:pStyle w:val="Heading2"/>
        <w:keepNext/>
        <w:keepLines/>
        <w:spacing w:before="360" w:after="0" w:line="360" w:lineRule="auto"/>
        <w:jc w:val="both"/>
      </w:pPr>
      <w:r>
        <w:rPr>
          <w:rFonts w:ascii="UT Sans" w:hAnsi="UT Sans" w:cs="UT Sans"/>
          <w:b/>
          <w:i w:val="0"/>
          <w:sz w:val="28"/>
        </w:rPr>
        <w:t>4.7 Frontend: Integrare Componente și Routing SPA</w:t>
      </w:r>
    </w:p>
    <w:p>
      <w:pPr>
        <w:spacing w:line="360" w:lineRule="auto"/>
        <w:jc w:val="both"/>
      </w:pPr>
      <w:r>
        <w:rPr>
          <w:rFonts w:ascii="UT Sans" w:hAnsi="UT Sans" w:cs="UT Sans"/>
          <w:b w:val="0"/>
          <w:i w:val="0"/>
          <w:sz w:val="24"/>
        </w:rPr>
        <w:t>Frontend-ul este structurat pe baza arhitecturii React 19. Componentele complexe, cum ar fi formularul de creare a listărilor (Listing), folosesc interfețe controlate complet tipizate:</w:t>
      </w:r>
    </w:p>
    <w:p>
      <w:pPr>
        <w:spacing w:after="40"/>
      </w:pPr>
    </w:p>
    <w:p>
      <w:pPr>
        <w:spacing w:before="0" w:after="0" w:line="240" w:lineRule="auto"/>
        <w:ind w:left="400"/>
      </w:pPr>
      <w:r>
        <w:rPr>
          <w:rFonts w:ascii="Courier New" w:hAnsi="Courier New" w:cs="Courier New"/>
          <w:sz w:val="19"/>
        </w:rPr>
        <w:t>import React, { useState } from 'react';</w:t>
      </w:r>
    </w:p>
    <w:p>
      <w:pPr>
        <w:spacing w:before="0" w:after="0" w:line="240" w:lineRule="auto"/>
        <w:ind w:left="400"/>
      </w:pPr>
      <w:r>
        <w:rPr>
          <w:rFonts w:ascii="Courier New" w:hAnsi="Courier New" w:cs="Courier New"/>
          <w:sz w:val="19"/>
        </w:rPr>
        <w:t>import { useMarketStore } from '../store/marketStore';</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export const QualityParametersForm: React.FC = () =&gt; {</w:t>
      </w:r>
    </w:p>
    <w:p>
      <w:pPr>
        <w:spacing w:before="0" w:after="0" w:line="240" w:lineRule="auto"/>
        <w:ind w:left="400"/>
      </w:pPr>
      <w:r>
        <w:rPr>
          <w:rFonts w:ascii="Courier New" w:hAnsi="Courier New" w:cs="Courier New"/>
          <w:sz w:val="19"/>
        </w:rPr>
        <w:t xml:space="preserve">  const [protein, setProtein] = useState&lt;number&gt;(12.5);</w:t>
      </w:r>
    </w:p>
    <w:p>
      <w:pPr>
        <w:spacing w:before="0" w:after="0" w:line="240" w:lineRule="auto"/>
        <w:ind w:left="400"/>
      </w:pPr>
      <w:r>
        <w:rPr>
          <w:rFonts w:ascii="Courier New" w:hAnsi="Courier New" w:cs="Courier New"/>
          <w:sz w:val="19"/>
        </w:rPr>
        <w:t xml:space="preserve">  const [moisture, setMoisture] = useState&lt;number&gt;(14.0);</w:t>
      </w:r>
    </w:p>
    <w:p>
      <w:pPr>
        <w:spacing w:before="0" w:after="0" w:line="240" w:lineRule="auto"/>
        <w:ind w:left="400"/>
      </w:pPr>
      <w:r>
        <w:rPr>
          <w:rFonts w:ascii="Courier New" w:hAnsi="Courier New" w:cs="Courier New"/>
          <w:sz w:val="19"/>
        </w:rPr>
        <w:t xml:space="preserve">  const [besatz, setBesatz] = useState&lt;number&gt;(2.0);</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const handleSubmit = async (e: React.FormEvent) =&gt; {</w:t>
      </w:r>
    </w:p>
    <w:p>
      <w:pPr>
        <w:spacing w:before="0" w:after="0" w:line="240" w:lineRule="auto"/>
        <w:ind w:left="400"/>
      </w:pPr>
      <w:r>
        <w:rPr>
          <w:rFonts w:ascii="Courier New" w:hAnsi="Courier New" w:cs="Courier New"/>
          <w:sz w:val="19"/>
        </w:rPr>
        <w:t xml:space="preserve">    e.preventDefault();</w:t>
      </w:r>
    </w:p>
    <w:p>
      <w:pPr>
        <w:spacing w:before="0" w:after="0" w:line="240" w:lineRule="auto"/>
        <w:ind w:left="400"/>
      </w:pPr>
      <w:r>
        <w:rPr>
          <w:rFonts w:ascii="Courier New" w:hAnsi="Courier New" w:cs="Courier New"/>
          <w:sz w:val="19"/>
        </w:rPr>
        <w:t xml:space="preserve">    const payload = {</w:t>
      </w:r>
    </w:p>
    <w:p>
      <w:pPr>
        <w:spacing w:before="0" w:after="0" w:line="240" w:lineRule="auto"/>
        <w:ind w:left="400"/>
      </w:pPr>
      <w:r>
        <w:rPr>
          <w:rFonts w:ascii="Courier New" w:hAnsi="Courier New" w:cs="Courier New"/>
          <w:sz w:val="19"/>
        </w:rPr>
        <w:t xml:space="preserve">      category: 'WHEAT_MILLING',</w:t>
      </w:r>
    </w:p>
    <w:p>
      <w:pPr>
        <w:spacing w:before="0" w:after="0" w:line="240" w:lineRule="auto"/>
        <w:ind w:left="400"/>
      </w:pPr>
      <w:r>
        <w:rPr>
          <w:rFonts w:ascii="Courier New" w:hAnsi="Courier New" w:cs="Courier New"/>
          <w:sz w:val="19"/>
        </w:rPr>
        <w:t xml:space="preserve">      quality_attributes: {</w:t>
      </w:r>
    </w:p>
    <w:p>
      <w:pPr>
        <w:spacing w:before="0" w:after="0" w:line="240" w:lineRule="auto"/>
        <w:ind w:left="400"/>
      </w:pPr>
      <w:r>
        <w:rPr>
          <w:rFonts w:ascii="Courier New" w:hAnsi="Courier New" w:cs="Courier New"/>
          <w:sz w:val="19"/>
        </w:rPr>
        <w:t xml:space="preserve">        protein_pct: protein,</w:t>
      </w:r>
    </w:p>
    <w:p>
      <w:pPr>
        <w:spacing w:before="0" w:after="0" w:line="240" w:lineRule="auto"/>
        <w:ind w:left="400"/>
      </w:pPr>
      <w:r>
        <w:rPr>
          <w:rFonts w:ascii="Courier New" w:hAnsi="Courier New" w:cs="Courier New"/>
          <w:sz w:val="19"/>
        </w:rPr>
        <w:t xml:space="preserve">        moisture_pct: moisture,</w:t>
      </w:r>
    </w:p>
    <w:p>
      <w:pPr>
        <w:spacing w:before="0" w:after="0" w:line="240" w:lineRule="auto"/>
        <w:ind w:left="400"/>
      </w:pPr>
      <w:r>
        <w:rPr>
          <w:rFonts w:ascii="Courier New" w:hAnsi="Courier New" w:cs="Courier New"/>
          <w:sz w:val="19"/>
        </w:rPr>
        <w:t xml:space="preserve">        besatz_pct: besatz</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 Apel serviciu API</w:t>
      </w:r>
    </w:p>
    <w:p>
      <w:pPr>
        <w:spacing w:before="0" w:after="0" w:line="240" w:lineRule="auto"/>
        <w:ind w:left="400"/>
      </w:pPr>
      <w:r>
        <w:rPr>
          <w:rFonts w:ascii="Courier New" w:hAnsi="Courier New" w:cs="Courier New"/>
          <w:sz w:val="19"/>
        </w:rPr>
        <w:t xml:space="preserve">    await fetch('/api/v1/listings', {</w:t>
      </w:r>
    </w:p>
    <w:p>
      <w:pPr>
        <w:spacing w:before="0" w:after="0" w:line="240" w:lineRule="auto"/>
        <w:ind w:left="400"/>
      </w:pPr>
      <w:r>
        <w:rPr>
          <w:rFonts w:ascii="Courier New" w:hAnsi="Courier New" w:cs="Courier New"/>
          <w:sz w:val="19"/>
        </w:rPr>
        <w:t xml:space="preserve">      method: 'POST',</w:t>
      </w:r>
    </w:p>
    <w:p>
      <w:pPr>
        <w:spacing w:before="0" w:after="0" w:line="240" w:lineRule="auto"/>
        <w:ind w:left="400"/>
      </w:pPr>
      <w:r>
        <w:rPr>
          <w:rFonts w:ascii="Courier New" w:hAnsi="Courier New" w:cs="Courier New"/>
          <w:sz w:val="19"/>
        </w:rPr>
        <w:t xml:space="preserve">      body: JSON.stringify(payload),</w:t>
      </w:r>
    </w:p>
    <w:p>
      <w:pPr>
        <w:spacing w:before="0" w:after="0" w:line="240" w:lineRule="auto"/>
        <w:ind w:left="400"/>
      </w:pPr>
      <w:r>
        <w:rPr>
          <w:rFonts w:ascii="Courier New" w:hAnsi="Courier New" w:cs="Courier New"/>
          <w:sz w:val="19"/>
        </w:rPr>
        <w:t xml:space="preserve">      headers: { 'Content-Type': 'application/json' }</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return (</w:t>
      </w:r>
    </w:p>
    <w:p>
      <w:pPr>
        <w:spacing w:before="0" w:after="0" w:line="240" w:lineRule="auto"/>
        <w:ind w:left="400"/>
      </w:pPr>
      <w:r>
        <w:rPr>
          <w:rFonts w:ascii="Courier New" w:hAnsi="Courier New" w:cs="Courier New"/>
          <w:sz w:val="19"/>
        </w:rPr>
        <w:t xml:space="preserve">    &lt;form onSubmit={handleSubmit} className="glass-panel p-6 rounded-lg dark:bg-zinc-900/80"&gt;</w:t>
      </w:r>
    </w:p>
    <w:p>
      <w:pPr>
        <w:spacing w:before="0" w:after="0" w:line="240" w:lineRule="auto"/>
        <w:ind w:left="400"/>
      </w:pPr>
      <w:r>
        <w:rPr>
          <w:rFonts w:ascii="Courier New" w:hAnsi="Courier New" w:cs="Courier New"/>
          <w:sz w:val="19"/>
        </w:rPr>
        <w:t xml:space="preserve">      &lt;h3 className="text-xl font-bold mb-4"&gt;Parametri Calitate (EN 15587)&lt;/h3&gt;</w:t>
      </w:r>
    </w:p>
    <w:p>
      <w:pPr>
        <w:spacing w:before="0" w:after="0" w:line="240" w:lineRule="auto"/>
        <w:ind w:left="400"/>
      </w:pPr>
      <w:r>
        <w:rPr>
          <w:rFonts w:ascii="Courier New" w:hAnsi="Courier New" w:cs="Courier New"/>
          <w:sz w:val="19"/>
        </w:rPr>
        <w:t xml:space="preserve">      &lt;div className="grid grid-cols-2 gap-4"&gt;</w:t>
      </w:r>
    </w:p>
    <w:p>
      <w:pPr>
        <w:spacing w:before="0" w:after="0" w:line="240" w:lineRule="auto"/>
        <w:ind w:left="400"/>
      </w:pPr>
      <w:r>
        <w:rPr>
          <w:rFonts w:ascii="Courier New" w:hAnsi="Courier New" w:cs="Courier New"/>
          <w:sz w:val="19"/>
        </w:rPr>
        <w:t xml:space="preserve">        &lt;label&gt;Proteină (%)&lt;/label&gt;</w:t>
      </w:r>
    </w:p>
    <w:p>
      <w:pPr>
        <w:spacing w:before="0" w:after="0" w:line="240" w:lineRule="auto"/>
        <w:ind w:left="400"/>
      </w:pPr>
      <w:r>
        <w:rPr>
          <w:rFonts w:ascii="Courier New" w:hAnsi="Courier New" w:cs="Courier New"/>
          <w:sz w:val="19"/>
        </w:rPr>
        <w:t xml:space="preserve">        &lt;input type="number" step="0.1" value={protein} onChange={e =&gt; setProtein(Number(e.target.value))} /&gt;</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&lt;label&gt;Umiditate (%)&lt;/label&gt;</w:t>
      </w:r>
    </w:p>
    <w:p>
      <w:pPr>
        <w:spacing w:before="0" w:after="0" w:line="240" w:lineRule="auto"/>
        <w:ind w:left="400"/>
      </w:pPr>
      <w:r>
        <w:rPr>
          <w:rFonts w:ascii="Courier New" w:hAnsi="Courier New" w:cs="Courier New"/>
          <w:sz w:val="19"/>
        </w:rPr>
        <w:t xml:space="preserve">        &lt;input type="number" step="0.1" value={moisture} onChange={e =&gt; setMoisture(Number(e.target.value))} /&gt;</w:t>
      </w:r>
    </w:p>
    <w:p>
      <w:pPr>
        <w:spacing w:before="0" w:after="0" w:line="240" w:lineRule="auto"/>
        <w:ind w:left="400"/>
      </w:pPr>
      <w:r>
        <w:rPr>
          <w:rFonts w:ascii="Courier New" w:hAnsi="Courier New" w:cs="Courier New"/>
          <w:sz w:val="19"/>
        </w:rPr>
        <w:t xml:space="preserve">      &lt;/div&gt;</w:t>
      </w:r>
    </w:p>
    <w:p>
      <w:pPr>
        <w:spacing w:before="0" w:after="0" w:line="240" w:lineRule="auto"/>
        <w:ind w:left="400"/>
      </w:pPr>
      <w:r>
        <w:rPr>
          <w:rFonts w:ascii="Courier New" w:hAnsi="Courier New" w:cs="Courier New"/>
          <w:sz w:val="19"/>
        </w:rPr>
        <w:t xml:space="preserve">      &lt;button type="submit" className="mt-4 bg-blue-600 hover:bg-blue-700 text-white p-2 rounded"&gt;</w:t>
      </w:r>
    </w:p>
    <w:p>
      <w:pPr>
        <w:spacing w:before="0" w:after="0" w:line="240" w:lineRule="auto"/>
        <w:ind w:left="400"/>
      </w:pPr>
      <w:r>
        <w:rPr>
          <w:rFonts w:ascii="Courier New" w:hAnsi="Courier New" w:cs="Courier New"/>
          <w:sz w:val="19"/>
        </w:rPr>
        <w:t xml:space="preserve">        Salvează Listarea</w:t>
      </w:r>
    </w:p>
    <w:p>
      <w:pPr>
        <w:spacing w:before="0" w:after="0" w:line="240" w:lineRule="auto"/>
        <w:ind w:left="400"/>
      </w:pPr>
      <w:r>
        <w:rPr>
          <w:rFonts w:ascii="Courier New" w:hAnsi="Courier New" w:cs="Courier New"/>
          <w:sz w:val="19"/>
        </w:rPr>
        <w:t xml:space="preserve">      &lt;/button&gt;</w:t>
      </w:r>
    </w:p>
    <w:p>
      <w:pPr>
        <w:spacing w:before="0" w:after="0" w:line="240" w:lineRule="auto"/>
        <w:ind w:left="400"/>
      </w:pPr>
      <w:r>
        <w:rPr>
          <w:rFonts w:ascii="Courier New" w:hAnsi="Courier New" w:cs="Courier New"/>
          <w:sz w:val="19"/>
        </w:rPr>
        <w:t xml:space="preserve">    &lt;/form&gt;</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w:t>
      </w:r>
    </w:p>
    <w:p>
      <w:pPr>
        <w:spacing w:before="120"/>
      </w:pPr>
    </w:p>
    <w:tbl>
      <w:tblPr>
        <w:tblStyle w:val="TableGrid"/>
        <w:tblW w:type="auto" w:w="0"/>
        <w:tblLook w:firstColumn="1" w:firstRow="1" w:lastColumn="0" w:lastRow="0" w:noHBand="0" w:noVBand="1" w:val="04A0"/>
      </w:tblPr>
      <w:tblGrid>
        <w:gridCol w:w="2410"/>
        <w:gridCol w:w="2410"/>
        <w:gridCol w:w="2410"/>
        <w:gridCol w:w="2410"/>
      </w:tblGrid>
      <w:tr>
        <w:tc>
          <w:tcPr>
            <w:tcW w:type="dxa" w:w="2410"/>
          </w:tcPr>
          <w:p>
            <w:r>
              <w:rPr>
                <w:rFonts w:ascii="UT Sans" w:hAnsi="UT Sans" w:cs="UT Sans"/>
                <w:b/>
                <w:i w:val="0"/>
                <w:sz w:val="22"/>
              </w:rPr>
              <w:t>Pagină</w:t>
            </w:r>
          </w:p>
        </w:tc>
        <w:tc>
          <w:tcPr>
            <w:tcW w:type="dxa" w:w="2410"/>
          </w:tcPr>
          <w:p>
            <w:r>
              <w:rPr>
                <w:rFonts w:ascii="UT Sans" w:hAnsi="UT Sans" w:cs="UT Sans"/>
                <w:b/>
                <w:i w:val="0"/>
                <w:sz w:val="22"/>
              </w:rPr>
              <w:t>Rută</w:t>
            </w:r>
          </w:p>
        </w:tc>
        <w:tc>
          <w:tcPr>
            <w:tcW w:type="dxa" w:w="2410"/>
          </w:tcPr>
          <w:p>
            <w:r>
              <w:rPr>
                <w:rFonts w:ascii="UT Sans" w:hAnsi="UT Sans" w:cs="UT Sans"/>
                <w:b/>
                <w:i w:val="0"/>
                <w:sz w:val="22"/>
              </w:rPr>
              <w:t>Componente Cheie</w:t>
            </w:r>
          </w:p>
        </w:tc>
        <w:tc>
          <w:tcPr>
            <w:tcW w:type="dxa" w:w="2410"/>
          </w:tcPr>
          <w:p>
            <w:r>
              <w:rPr>
                <w:rFonts w:ascii="UT Sans" w:hAnsi="UT Sans" w:cs="UT Sans"/>
                <w:b/>
                <w:i w:val="0"/>
                <w:sz w:val="22"/>
              </w:rPr>
              <w:t>Servicii API Utilizate</w:t>
            </w:r>
          </w:p>
        </w:tc>
      </w:tr>
      <w:tr>
        <w:tc>
          <w:tcPr>
            <w:tcW w:type="dxa" w:w="2410"/>
          </w:tcPr>
          <w:p>
            <w:r>
              <w:rPr>
                <w:rFonts w:ascii="UT Sans" w:hAnsi="UT Sans" w:cs="UT Sans"/>
                <w:b w:val="0"/>
                <w:i w:val="0"/>
                <w:sz w:val="22"/>
              </w:rPr>
              <w:t>Landing</w:t>
            </w:r>
          </w:p>
        </w:tc>
        <w:tc>
          <w:tcPr>
            <w:tcW w:type="dxa" w:w="2410"/>
          </w:tcPr>
          <w:p>
            <w:r>
              <w:rPr>
                <w:rFonts w:ascii="UT Sans" w:hAnsi="UT Sans" w:cs="UT Sans"/>
                <w:b w:val="0"/>
                <w:i w:val="0"/>
                <w:sz w:val="22"/>
              </w:rPr>
              <w:t>/</w:t>
            </w:r>
          </w:p>
        </w:tc>
        <w:tc>
          <w:tcPr>
            <w:tcW w:type="dxa" w:w="2410"/>
          </w:tcPr>
          <w:p>
            <w:r>
              <w:rPr>
                <w:rFonts w:ascii="UT Sans" w:hAnsi="UT Sans" w:cs="UT Sans"/>
                <w:b w:val="0"/>
                <w:i w:val="0"/>
                <w:sz w:val="22"/>
              </w:rPr>
              <w:t>Hero, Features, Testimonials</w:t>
            </w:r>
          </w:p>
        </w:tc>
        <w:tc>
          <w:tcPr>
            <w:tcW w:type="dxa" w:w="2410"/>
          </w:tcPr>
          <w:p>
            <w:r>
              <w:rPr>
                <w:rFonts w:ascii="UT Sans" w:hAnsi="UT Sans" w:cs="UT Sans"/>
                <w:b w:val="0"/>
                <w:i w:val="0"/>
                <w:sz w:val="22"/>
              </w:rPr>
              <w:t>N/A (pagină publică)</w:t>
            </w:r>
          </w:p>
        </w:tc>
      </w:tr>
      <w:tr>
        <w:tc>
          <w:tcPr>
            <w:tcW w:type="dxa" w:w="2410"/>
          </w:tcPr>
          <w:p>
            <w:r>
              <w:rPr>
                <w:rFonts w:ascii="UT Sans" w:hAnsi="UT Sans" w:cs="UT Sans"/>
                <w:b w:val="0"/>
                <w:i w:val="0"/>
                <w:sz w:val="22"/>
              </w:rPr>
              <w:t>Login</w:t>
            </w:r>
          </w:p>
        </w:tc>
        <w:tc>
          <w:tcPr>
            <w:tcW w:type="dxa" w:w="2410"/>
          </w:tcPr>
          <w:p>
            <w:r>
              <w:rPr>
                <w:rFonts w:ascii="UT Sans" w:hAnsi="UT Sans" w:cs="UT Sans"/>
                <w:b w:val="0"/>
                <w:i w:val="0"/>
                <w:sz w:val="22"/>
              </w:rPr>
              <w:t>/login</w:t>
            </w:r>
          </w:p>
        </w:tc>
        <w:tc>
          <w:tcPr>
            <w:tcW w:type="dxa" w:w="2410"/>
          </w:tcPr>
          <w:p>
            <w:r>
              <w:rPr>
                <w:rFonts w:ascii="UT Sans" w:hAnsi="UT Sans" w:cs="UT Sans"/>
                <w:b w:val="0"/>
                <w:i w:val="0"/>
                <w:sz w:val="22"/>
              </w:rPr>
              <w:t>LoginForm, ValidationErrors</w:t>
            </w:r>
          </w:p>
        </w:tc>
        <w:tc>
          <w:tcPr>
            <w:tcW w:type="dxa" w:w="2410"/>
          </w:tcPr>
          <w:p>
            <w:r>
              <w:rPr>
                <w:rFonts w:ascii="UT Sans" w:hAnsi="UT Sans" w:cs="UT Sans"/>
                <w:b w:val="0"/>
                <w:i w:val="0"/>
                <w:sz w:val="22"/>
              </w:rPr>
              <w:t>iamService.login()</w:t>
            </w:r>
          </w:p>
        </w:tc>
      </w:tr>
      <w:tr>
        <w:tc>
          <w:tcPr>
            <w:tcW w:type="dxa" w:w="2410"/>
          </w:tcPr>
          <w:p>
            <w:r>
              <w:rPr>
                <w:rFonts w:ascii="UT Sans" w:hAnsi="UT Sans" w:cs="UT Sans"/>
                <w:b w:val="0"/>
                <w:i w:val="0"/>
                <w:sz w:val="22"/>
              </w:rPr>
              <w:t>Dashboard</w:t>
            </w:r>
          </w:p>
        </w:tc>
        <w:tc>
          <w:tcPr>
            <w:tcW w:type="dxa" w:w="2410"/>
          </w:tcPr>
          <w:p>
            <w:r>
              <w:rPr>
                <w:rFonts w:ascii="UT Sans" w:hAnsi="UT Sans" w:cs="UT Sans"/>
                <w:b w:val="0"/>
                <w:i w:val="0"/>
                <w:sz w:val="22"/>
              </w:rPr>
              <w:t>/dashboard</w:t>
            </w:r>
          </w:p>
        </w:tc>
        <w:tc>
          <w:tcPr>
            <w:tcW w:type="dxa" w:w="2410"/>
          </w:tcPr>
          <w:p>
            <w:r>
              <w:rPr>
                <w:rFonts w:ascii="UT Sans" w:hAnsi="UT Sans" w:cs="UT Sans"/>
                <w:b w:val="0"/>
                <w:i w:val="0"/>
                <w:sz w:val="22"/>
              </w:rPr>
              <w:t>StatCards, Charts, RecentActivity</w:t>
            </w:r>
          </w:p>
        </w:tc>
        <w:tc>
          <w:tcPr>
            <w:tcW w:type="dxa" w:w="2410"/>
          </w:tcPr>
          <w:p>
            <w:r>
              <w:rPr>
                <w:rFonts w:ascii="UT Sans" w:hAnsi="UT Sans" w:cs="UT Sans"/>
                <w:b w:val="0"/>
                <w:i w:val="0"/>
                <w:sz w:val="22"/>
              </w:rPr>
              <w:t>Toate serviciile (agregat)</w:t>
            </w:r>
          </w:p>
        </w:tc>
      </w:tr>
      <w:tr>
        <w:tc>
          <w:tcPr>
            <w:tcW w:type="dxa" w:w="2410"/>
          </w:tcPr>
          <w:p>
            <w:r>
              <w:rPr>
                <w:rFonts w:ascii="UT Sans" w:hAnsi="UT Sans" w:cs="UT Sans"/>
                <w:b w:val="0"/>
                <w:i w:val="0"/>
                <w:sz w:val="22"/>
              </w:rPr>
              <w:t>Market</w:t>
            </w:r>
          </w:p>
        </w:tc>
        <w:tc>
          <w:tcPr>
            <w:tcW w:type="dxa" w:w="2410"/>
          </w:tcPr>
          <w:p>
            <w:r>
              <w:rPr>
                <w:rFonts w:ascii="UT Sans" w:hAnsi="UT Sans" w:cs="UT Sans"/>
                <w:b w:val="0"/>
                <w:i w:val="0"/>
                <w:sz w:val="22"/>
              </w:rPr>
              <w:t>/market</w:t>
            </w:r>
          </w:p>
        </w:tc>
        <w:tc>
          <w:tcPr>
            <w:tcW w:type="dxa" w:w="2410"/>
          </w:tcPr>
          <w:p>
            <w:r>
              <w:rPr>
                <w:rFonts w:ascii="UT Sans" w:hAnsi="UT Sans" w:cs="UT Sans"/>
                <w:b w:val="0"/>
                <w:i w:val="0"/>
                <w:sz w:val="22"/>
              </w:rPr>
              <w:t>ListingGrid, FilterPanel, SearchBar</w:t>
            </w:r>
          </w:p>
        </w:tc>
        <w:tc>
          <w:tcPr>
            <w:tcW w:type="dxa" w:w="2410"/>
          </w:tcPr>
          <w:p>
            <w:r>
              <w:rPr>
                <w:rFonts w:ascii="UT Sans" w:hAnsi="UT Sans" w:cs="UT Sans"/>
                <w:b w:val="0"/>
                <w:i w:val="0"/>
                <w:sz w:val="22"/>
              </w:rPr>
              <w:t>tradingService.search()</w:t>
            </w:r>
          </w:p>
        </w:tc>
      </w:tr>
      <w:tr>
        <w:tc>
          <w:tcPr>
            <w:tcW w:type="dxa" w:w="2410"/>
          </w:tcPr>
          <w:p>
            <w:r>
              <w:rPr>
                <w:rFonts w:ascii="UT Sans" w:hAnsi="UT Sans" w:cs="UT Sans"/>
                <w:b w:val="0"/>
                <w:i w:val="0"/>
                <w:sz w:val="22"/>
              </w:rPr>
              <w:t>Create Listing</w:t>
            </w:r>
          </w:p>
        </w:tc>
        <w:tc>
          <w:tcPr>
            <w:tcW w:type="dxa" w:w="2410"/>
          </w:tcPr>
          <w:p>
            <w:r>
              <w:rPr>
                <w:rFonts w:ascii="UT Sans" w:hAnsi="UT Sans" w:cs="UT Sans"/>
                <w:b w:val="0"/>
                <w:i w:val="0"/>
                <w:sz w:val="22"/>
              </w:rPr>
              <w:t>/create-listing</w:t>
            </w:r>
          </w:p>
        </w:tc>
        <w:tc>
          <w:tcPr>
            <w:tcW w:type="dxa" w:w="2410"/>
          </w:tcPr>
          <w:p>
            <w:r>
              <w:rPr>
                <w:rFonts w:ascii="UT Sans" w:hAnsi="UT Sans" w:cs="UT Sans"/>
                <w:b w:val="0"/>
                <w:i w:val="0"/>
                <w:sz w:val="22"/>
              </w:rPr>
              <w:t>QualityForm, JSONB Editor</w:t>
            </w:r>
          </w:p>
        </w:tc>
        <w:tc>
          <w:tcPr>
            <w:tcW w:type="dxa" w:w="2410"/>
          </w:tcPr>
          <w:p>
            <w:r>
              <w:rPr>
                <w:rFonts w:ascii="UT Sans" w:hAnsi="UT Sans" w:cs="UT Sans"/>
                <w:b w:val="0"/>
                <w:i w:val="0"/>
                <w:sz w:val="22"/>
              </w:rPr>
              <w:t>tradingService.createListing()</w:t>
            </w:r>
          </w:p>
        </w:tc>
      </w:tr>
      <w:tr>
        <w:tc>
          <w:tcPr>
            <w:tcW w:type="dxa" w:w="2410"/>
          </w:tcPr>
          <w:p>
            <w:r>
              <w:rPr>
                <w:rFonts w:ascii="UT Sans" w:hAnsi="UT Sans" w:cs="UT Sans"/>
                <w:b w:val="0"/>
                <w:i w:val="0"/>
                <w:sz w:val="22"/>
              </w:rPr>
              <w:t>Orders</w:t>
            </w:r>
          </w:p>
        </w:tc>
        <w:tc>
          <w:tcPr>
            <w:tcW w:type="dxa" w:w="2410"/>
          </w:tcPr>
          <w:p>
            <w:r>
              <w:rPr>
                <w:rFonts w:ascii="UT Sans" w:hAnsi="UT Sans" w:cs="UT Sans"/>
                <w:b w:val="0"/>
                <w:i w:val="0"/>
                <w:sz w:val="22"/>
              </w:rPr>
              <w:t>/orders</w:t>
            </w:r>
          </w:p>
        </w:tc>
        <w:tc>
          <w:tcPr>
            <w:tcW w:type="dxa" w:w="2410"/>
          </w:tcPr>
          <w:p>
            <w:r>
              <w:rPr>
                <w:rFonts w:ascii="UT Sans" w:hAnsi="UT Sans" w:cs="UT Sans"/>
                <w:b w:val="0"/>
                <w:i w:val="0"/>
                <w:sz w:val="22"/>
              </w:rPr>
              <w:t>OrderTable, EscrowStatus, SplitView</w:t>
            </w:r>
          </w:p>
        </w:tc>
        <w:tc>
          <w:tcPr>
            <w:tcW w:type="dxa" w:w="2410"/>
          </w:tcPr>
          <w:p>
            <w:r>
              <w:rPr>
                <w:rFonts w:ascii="UT Sans" w:hAnsi="UT Sans" w:cs="UT Sans"/>
                <w:b w:val="0"/>
                <w:i w:val="0"/>
                <w:sz w:val="22"/>
              </w:rPr>
              <w:t>financialService.getOrders()</w:t>
            </w:r>
          </w:p>
        </w:tc>
      </w:tr>
      <w:tr>
        <w:tc>
          <w:tcPr>
            <w:tcW w:type="dxa" w:w="2410"/>
          </w:tcPr>
          <w:p>
            <w:r>
              <w:rPr>
                <w:rFonts w:ascii="UT Sans" w:hAnsi="UT Sans" w:cs="UT Sans"/>
                <w:b w:val="0"/>
                <w:i w:val="0"/>
                <w:sz w:val="22"/>
              </w:rPr>
              <w:t>Contracts</w:t>
            </w:r>
          </w:p>
        </w:tc>
        <w:tc>
          <w:tcPr>
            <w:tcW w:type="dxa" w:w="2410"/>
          </w:tcPr>
          <w:p>
            <w:r>
              <w:rPr>
                <w:rFonts w:ascii="UT Sans" w:hAnsi="UT Sans" w:cs="UT Sans"/>
                <w:b w:val="0"/>
                <w:i w:val="0"/>
                <w:sz w:val="22"/>
              </w:rPr>
              <w:t>/contracts</w:t>
            </w:r>
          </w:p>
        </w:tc>
        <w:tc>
          <w:tcPr>
            <w:tcW w:type="dxa" w:w="2410"/>
          </w:tcPr>
          <w:p>
            <w:r>
              <w:rPr>
                <w:rFonts w:ascii="UT Sans" w:hAnsi="UT Sans" w:cs="UT Sans"/>
                <w:b w:val="0"/>
                <w:i w:val="0"/>
                <w:sz w:val="22"/>
              </w:rPr>
              <w:t>ContractCards, InvoiceGen</w:t>
            </w:r>
          </w:p>
        </w:tc>
        <w:tc>
          <w:tcPr>
            <w:tcW w:type="dxa" w:w="2410"/>
          </w:tcPr>
          <w:p>
            <w:r>
              <w:rPr>
                <w:rFonts w:ascii="UT Sans" w:hAnsi="UT Sans" w:cs="UT Sans"/>
                <w:b w:val="0"/>
                <w:i w:val="0"/>
                <w:sz w:val="22"/>
              </w:rPr>
              <w:t>tradingService.getContracts()</w:t>
            </w:r>
          </w:p>
        </w:tc>
      </w:tr>
      <w:tr>
        <w:tc>
          <w:tcPr>
            <w:tcW w:type="dxa" w:w="2410"/>
          </w:tcPr>
          <w:p>
            <w:r>
              <w:rPr>
                <w:rFonts w:ascii="UT Sans" w:hAnsi="UT Sans" w:cs="UT Sans"/>
                <w:b w:val="0"/>
                <w:i w:val="0"/>
                <w:sz w:val="22"/>
              </w:rPr>
              <w:t>Logistics</w:t>
            </w:r>
          </w:p>
        </w:tc>
        <w:tc>
          <w:tcPr>
            <w:tcW w:type="dxa" w:w="2410"/>
          </w:tcPr>
          <w:p>
            <w:r>
              <w:rPr>
                <w:rFonts w:ascii="UT Sans" w:hAnsi="UT Sans" w:cs="UT Sans"/>
                <w:b w:val="0"/>
                <w:i w:val="0"/>
                <w:sz w:val="22"/>
              </w:rPr>
              <w:t>/logistics</w:t>
            </w:r>
          </w:p>
        </w:tc>
        <w:tc>
          <w:tcPr>
            <w:tcW w:type="dxa" w:w="2410"/>
          </w:tcPr>
          <w:p>
            <w:r>
              <w:rPr>
                <w:rFonts w:ascii="UT Sans" w:hAnsi="UT Sans" w:cs="UT Sans"/>
                <w:b w:val="0"/>
                <w:i w:val="0"/>
                <w:sz w:val="22"/>
              </w:rPr>
              <w:t>OSRMMap, ShipmentTracker, UIT</w:t>
            </w:r>
          </w:p>
        </w:tc>
        <w:tc>
          <w:tcPr>
            <w:tcW w:type="dxa" w:w="2410"/>
          </w:tcPr>
          <w:p>
            <w:r>
              <w:rPr>
                <w:rFonts w:ascii="UT Sans" w:hAnsi="UT Sans" w:cs="UT Sans"/>
                <w:b w:val="0"/>
                <w:i w:val="0"/>
                <w:sz w:val="22"/>
              </w:rPr>
              <w:t>transportService.route()</w:t>
            </w:r>
          </w:p>
        </w:tc>
      </w:tr>
      <w:tr>
        <w:tc>
          <w:tcPr>
            <w:tcW w:type="dxa" w:w="2410"/>
          </w:tcPr>
          <w:p>
            <w:r>
              <w:rPr>
                <w:rFonts w:ascii="UT Sans" w:hAnsi="UT Sans" w:cs="UT Sans"/>
                <w:b w:val="0"/>
                <w:i w:val="0"/>
                <w:sz w:val="22"/>
              </w:rPr>
              <w:t>Disputes</w:t>
            </w:r>
          </w:p>
        </w:tc>
        <w:tc>
          <w:tcPr>
            <w:tcW w:type="dxa" w:w="2410"/>
          </w:tcPr>
          <w:p>
            <w:r>
              <w:rPr>
                <w:rFonts w:ascii="UT Sans" w:hAnsi="UT Sans" w:cs="UT Sans"/>
                <w:b w:val="0"/>
                <w:i w:val="0"/>
                <w:sz w:val="22"/>
              </w:rPr>
              <w:t>/disputes</w:t>
            </w:r>
          </w:p>
        </w:tc>
        <w:tc>
          <w:tcPr>
            <w:tcW w:type="dxa" w:w="2410"/>
          </w:tcPr>
          <w:p>
            <w:r>
              <w:rPr>
                <w:rFonts w:ascii="UT Sans" w:hAnsi="UT Sans" w:cs="UT Sans"/>
                <w:b w:val="0"/>
                <w:i w:val="0"/>
                <w:sz w:val="22"/>
              </w:rPr>
              <w:t>DisputeChat, EvidenceUpload</w:t>
            </w:r>
          </w:p>
        </w:tc>
        <w:tc>
          <w:tcPr>
            <w:tcW w:type="dxa" w:w="2410"/>
          </w:tcPr>
          <w:p>
            <w:r>
              <w:rPr>
                <w:rFonts w:ascii="UT Sans" w:hAnsi="UT Sans" w:cs="UT Sans"/>
                <w:b w:val="0"/>
                <w:i w:val="0"/>
                <w:sz w:val="22"/>
              </w:rPr>
              <w:t>disputeService.getDisputes()</w:t>
            </w:r>
          </w:p>
        </w:tc>
      </w:tr>
      <w:tr>
        <w:tc>
          <w:tcPr>
            <w:tcW w:type="dxa" w:w="2410"/>
          </w:tcPr>
          <w:p>
            <w:r>
              <w:rPr>
                <w:rFonts w:ascii="UT Sans" w:hAnsi="UT Sans" w:cs="UT Sans"/>
                <w:b w:val="0"/>
                <w:i w:val="0"/>
                <w:sz w:val="22"/>
              </w:rPr>
              <w:t>Profile</w:t>
            </w:r>
          </w:p>
        </w:tc>
        <w:tc>
          <w:tcPr>
            <w:tcW w:type="dxa" w:w="2410"/>
          </w:tcPr>
          <w:p>
            <w:r>
              <w:rPr>
                <w:rFonts w:ascii="UT Sans" w:hAnsi="UT Sans" w:cs="UT Sans"/>
                <w:b w:val="0"/>
                <w:i w:val="0"/>
                <w:sz w:val="22"/>
              </w:rPr>
              <w:t>/profile</w:t>
            </w:r>
          </w:p>
        </w:tc>
        <w:tc>
          <w:tcPr>
            <w:tcW w:type="dxa" w:w="2410"/>
          </w:tcPr>
          <w:p>
            <w:r>
              <w:rPr>
                <w:rFonts w:ascii="UT Sans" w:hAnsi="UT Sans" w:cs="UT Sans"/>
                <w:b w:val="0"/>
                <w:i w:val="0"/>
                <w:sz w:val="22"/>
              </w:rPr>
              <w:t>CompanyForm, PrefsPanel</w:t>
            </w:r>
          </w:p>
        </w:tc>
        <w:tc>
          <w:tcPr>
            <w:tcW w:type="dxa" w:w="2410"/>
          </w:tcPr>
          <w:p>
            <w:r>
              <w:rPr>
                <w:rFonts w:ascii="UT Sans" w:hAnsi="UT Sans" w:cs="UT Sans"/>
                <w:b w:val="0"/>
                <w:i w:val="0"/>
                <w:sz w:val="22"/>
              </w:rPr>
              <w:t>profileService.get()</w:t>
            </w:r>
          </w:p>
        </w:tc>
      </w:tr>
      <w:tr>
        <w:tc>
          <w:tcPr>
            <w:tcW w:type="dxa" w:w="2410"/>
          </w:tcPr>
          <w:p>
            <w:r>
              <w:rPr>
                <w:rFonts w:ascii="UT Sans" w:hAnsi="UT Sans" w:cs="UT Sans"/>
                <w:b w:val="0"/>
                <w:i w:val="0"/>
                <w:sz w:val="22"/>
              </w:rPr>
              <w:t>Admin</w:t>
            </w:r>
          </w:p>
        </w:tc>
        <w:tc>
          <w:tcPr>
            <w:tcW w:type="dxa" w:w="2410"/>
          </w:tcPr>
          <w:p>
            <w:r>
              <w:rPr>
                <w:rFonts w:ascii="UT Sans" w:hAnsi="UT Sans" w:cs="UT Sans"/>
                <w:b w:val="0"/>
                <w:i w:val="0"/>
                <w:sz w:val="22"/>
              </w:rPr>
              <w:t>/admin</w:t>
            </w:r>
          </w:p>
        </w:tc>
        <w:tc>
          <w:tcPr>
            <w:tcW w:type="dxa" w:w="2410"/>
          </w:tcPr>
          <w:p>
            <w:r>
              <w:rPr>
                <w:rFonts w:ascii="UT Sans" w:hAnsi="UT Sans" w:cs="UT Sans"/>
                <w:b w:val="0"/>
                <w:i w:val="0"/>
                <w:sz w:val="22"/>
              </w:rPr>
              <w:t>UserTable, PlatformStats</w:t>
            </w:r>
          </w:p>
        </w:tc>
        <w:tc>
          <w:tcPr>
            <w:tcW w:type="dxa" w:w="2410"/>
          </w:tcPr>
          <w:p>
            <w:r>
              <w:rPr>
                <w:rFonts w:ascii="UT Sans" w:hAnsi="UT Sans" w:cs="UT Sans"/>
                <w:b w:val="0"/>
                <w:i w:val="0"/>
                <w:sz w:val="22"/>
              </w:rPr>
              <w:t>Toate (rol ADMIN)</w:t>
            </w:r>
          </w:p>
        </w:tc>
      </w:tr>
    </w:tbl>
    <w:p>
      <w:pPr>
        <w:spacing w:line="360" w:lineRule="auto" w:after="80"/>
        <w:jc w:val="both"/>
      </w:pPr>
      <w:r>
        <w:rPr>
          <w:rFonts w:ascii="UT Sans" w:hAnsi="UT Sans" w:cs="UT Sans"/>
          <w:b w:val="0"/>
          <w:i w:val="0"/>
          <w:sz w:val="24"/>
        </w:rPr>
      </w:r>
    </w:p>
    <w:p>
      <w:pPr>
        <w:pStyle w:val="Heading2"/>
        <w:keepNext/>
        <w:keepLines/>
        <w:spacing w:before="360" w:after="0" w:line="360" w:lineRule="auto"/>
        <w:jc w:val="both"/>
      </w:pPr>
      <w:r>
        <w:rPr>
          <w:rFonts w:ascii="UT Sans" w:hAnsi="UT Sans" w:cs="UT Sans"/>
          <w:b/>
          <w:i w:val="0"/>
          <w:sz w:val="28"/>
        </w:rPr>
        <w:t>4.8 Deployment: Docker și Docker Compose</w:t>
      </w:r>
    </w:p>
    <w:p>
      <w:pPr>
        <w:spacing w:line="360" w:lineRule="auto"/>
        <w:jc w:val="both"/>
      </w:pPr>
      <w:r>
        <w:rPr>
          <w:rFonts w:ascii="UT Sans" w:hAnsi="UT Sans" w:cs="UT Sans"/>
          <w:b w:val="0"/>
          <w:i w:val="0"/>
          <w:sz w:val="24"/>
        </w:rPr>
        <w:t>Platforma este containerizată complet cu Docker și orchestrată prin Docker Compose. Fișierul docker-compose.yml definește trei servicii: frontend (imagine React compilată servită prin Nginx), backend (NestJS compilat cu Node.js) și db (PostgreSQL 16 cu volum persistent). Rețeaua Docker internă izolează comunicarea între containere, expunând doar porturile necesare către exterior [18].</w:t>
      </w:r>
    </w:p>
    <w:p>
      <w:pPr>
        <w:spacing w:line="360" w:lineRule="auto"/>
        <w:jc w:val="both"/>
      </w:pPr>
      <w:r>
        <w:rPr>
          <w:rFonts w:ascii="UT Sans" w:hAnsi="UT Sans" w:cs="UT Sans"/>
          <w:b w:val="0"/>
          <w:i w:val="0"/>
          <w:sz w:val="24"/>
        </w:rPr>
        <w:t>Sistemul utilizează Docker Compose pentru a orchestra toate containerele. Configurația definește exact cum comunică frontend-ul, backend-ul NestJS, și baza de date PostgreSQL într-o rețea internă sigură:</w:t>
      </w:r>
    </w:p>
    <w:p>
      <w:pPr>
        <w:spacing w:after="40"/>
      </w:pPr>
    </w:p>
    <w:p>
      <w:pPr>
        <w:spacing w:before="0" w:after="0" w:line="240" w:lineRule="auto"/>
        <w:ind w:left="400"/>
      </w:pPr>
      <w:r>
        <w:rPr>
          <w:rFonts w:ascii="Courier New" w:hAnsi="Courier New" w:cs="Courier New"/>
          <w:sz w:val="19"/>
        </w:rPr>
        <w:t>version: '3.8'</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services:</w:t>
      </w:r>
    </w:p>
    <w:p>
      <w:pPr>
        <w:spacing w:before="0" w:after="0" w:line="240" w:lineRule="auto"/>
        <w:ind w:left="400"/>
      </w:pPr>
      <w:r>
        <w:rPr>
          <w:rFonts w:ascii="Courier New" w:hAnsi="Courier New" w:cs="Courier New"/>
          <w:sz w:val="19"/>
        </w:rPr>
        <w:t xml:space="preserve">  db:</w:t>
      </w:r>
    </w:p>
    <w:p>
      <w:pPr>
        <w:spacing w:before="0" w:after="0" w:line="240" w:lineRule="auto"/>
        <w:ind w:left="400"/>
      </w:pPr>
      <w:r>
        <w:rPr>
          <w:rFonts w:ascii="Courier New" w:hAnsi="Courier New" w:cs="Courier New"/>
          <w:sz w:val="19"/>
        </w:rPr>
        <w:t xml:space="preserve">    image: postgres:16-alpine</w:t>
      </w:r>
    </w:p>
    <w:p>
      <w:pPr>
        <w:spacing w:before="0" w:after="0" w:line="240" w:lineRule="auto"/>
        <w:ind w:left="400"/>
      </w:pPr>
      <w:r>
        <w:rPr>
          <w:rFonts w:ascii="Courier New" w:hAnsi="Courier New" w:cs="Courier New"/>
          <w:sz w:val="19"/>
        </w:rPr>
        <w:t xml:space="preserve">    environment:</w:t>
      </w:r>
    </w:p>
    <w:p>
      <w:pPr>
        <w:spacing w:before="0" w:after="0" w:line="240" w:lineRule="auto"/>
        <w:ind w:left="400"/>
      </w:pPr>
      <w:r>
        <w:rPr>
          <w:rFonts w:ascii="Courier New" w:hAnsi="Courier New" w:cs="Courier New"/>
          <w:sz w:val="19"/>
        </w:rPr>
        <w:t xml:space="preserve">      POSTGRES_USER: ${DB_USER}</w:t>
      </w:r>
    </w:p>
    <w:p>
      <w:pPr>
        <w:spacing w:before="0" w:after="0" w:line="240" w:lineRule="auto"/>
        <w:ind w:left="400"/>
      </w:pPr>
      <w:r>
        <w:rPr>
          <w:rFonts w:ascii="Courier New" w:hAnsi="Courier New" w:cs="Courier New"/>
          <w:sz w:val="19"/>
        </w:rPr>
        <w:t xml:space="preserve">      POSTGRES_PASSWORD: ${DB_PASS}</w:t>
      </w:r>
    </w:p>
    <w:p>
      <w:pPr>
        <w:spacing w:before="0" w:after="0" w:line="240" w:lineRule="auto"/>
        <w:ind w:left="400"/>
      </w:pPr>
      <w:r>
        <w:rPr>
          <w:rFonts w:ascii="Courier New" w:hAnsi="Courier New" w:cs="Courier New"/>
          <w:sz w:val="19"/>
        </w:rPr>
        <w:t xml:space="preserve">      POSTGRES_DB: agridb</w:t>
      </w:r>
    </w:p>
    <w:p>
      <w:pPr>
        <w:spacing w:before="0" w:after="0" w:line="240" w:lineRule="auto"/>
        <w:ind w:left="400"/>
      </w:pPr>
      <w:r>
        <w:rPr>
          <w:rFonts w:ascii="Courier New" w:hAnsi="Courier New" w:cs="Courier New"/>
          <w:sz w:val="19"/>
        </w:rPr>
        <w:t xml:space="preserve">    volumes:</w:t>
      </w:r>
    </w:p>
    <w:p>
      <w:pPr>
        <w:spacing w:before="0" w:after="0" w:line="240" w:lineRule="auto"/>
        <w:ind w:left="400"/>
      </w:pPr>
      <w:r>
        <w:rPr>
          <w:rFonts w:ascii="Courier New" w:hAnsi="Courier New" w:cs="Courier New"/>
          <w:sz w:val="19"/>
        </w:rPr>
        <w:t xml:space="preserve">      - pgdata:/var/lib/postgresql/data</w:t>
      </w:r>
    </w:p>
    <w:p>
      <w:pPr>
        <w:spacing w:before="0" w:after="0" w:line="240" w:lineRule="auto"/>
        <w:ind w:left="400"/>
      </w:pPr>
      <w:r>
        <w:rPr>
          <w:rFonts w:ascii="Courier New" w:hAnsi="Courier New" w:cs="Courier New"/>
          <w:sz w:val="19"/>
        </w:rPr>
        <w:t xml:space="preserve">    networks:</w:t>
      </w:r>
    </w:p>
    <w:p>
      <w:pPr>
        <w:spacing w:before="0" w:after="0" w:line="240" w:lineRule="auto"/>
        <w:ind w:left="400"/>
      </w:pPr>
      <w:r>
        <w:rPr>
          <w:rFonts w:ascii="Courier New" w:hAnsi="Courier New" w:cs="Courier New"/>
          <w:sz w:val="19"/>
        </w:rPr>
        <w:t xml:space="preserve">      - agri-network</w:t>
      </w:r>
    </w:p>
    <w:p>
      <w:pPr>
        <w:spacing w:before="0" w:after="0" w:line="240" w:lineRule="auto"/>
        <w:ind w:left="400"/>
      </w:pPr>
      <w:r>
        <w:rPr>
          <w:rFonts w:ascii="Courier New" w:hAnsi="Courier New" w:cs="Courier New"/>
          <w:sz w:val="19"/>
        </w:rPr>
        <w:t xml:space="preserve">    restart: unless-stopped</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api:</w:t>
      </w:r>
    </w:p>
    <w:p>
      <w:pPr>
        <w:spacing w:before="0" w:after="0" w:line="240" w:lineRule="auto"/>
        <w:ind w:left="400"/>
      </w:pPr>
      <w:r>
        <w:rPr>
          <w:rFonts w:ascii="Courier New" w:hAnsi="Courier New" w:cs="Courier New"/>
          <w:sz w:val="19"/>
        </w:rPr>
        <w:t xml:space="preserve">    build: </w:t>
      </w:r>
    </w:p>
    <w:p>
      <w:pPr>
        <w:spacing w:before="0" w:after="0" w:line="240" w:lineRule="auto"/>
        <w:ind w:left="400"/>
      </w:pPr>
      <w:r>
        <w:rPr>
          <w:rFonts w:ascii="Courier New" w:hAnsi="Courier New" w:cs="Courier New"/>
          <w:sz w:val="19"/>
        </w:rPr>
        <w:t xml:space="preserve">      context: ./backend</w:t>
      </w:r>
    </w:p>
    <w:p>
      <w:pPr>
        <w:spacing w:before="0" w:after="0" w:line="240" w:lineRule="auto"/>
        <w:ind w:left="400"/>
      </w:pPr>
      <w:r>
        <w:rPr>
          <w:rFonts w:ascii="Courier New" w:hAnsi="Courier New" w:cs="Courier New"/>
          <w:sz w:val="19"/>
        </w:rPr>
        <w:t xml:space="preserve">      dockerfile: Dockerfile</w:t>
      </w:r>
    </w:p>
    <w:p>
      <w:pPr>
        <w:spacing w:before="0" w:after="0" w:line="240" w:lineRule="auto"/>
        <w:ind w:left="400"/>
      </w:pPr>
      <w:r>
        <w:rPr>
          <w:rFonts w:ascii="Courier New" w:hAnsi="Courier New" w:cs="Courier New"/>
          <w:sz w:val="19"/>
        </w:rPr>
        <w:t xml:space="preserve">    environment:</w:t>
      </w:r>
    </w:p>
    <w:p>
      <w:pPr>
        <w:spacing w:before="0" w:after="0" w:line="240" w:lineRule="auto"/>
        <w:ind w:left="400"/>
      </w:pPr>
      <w:r>
        <w:rPr>
          <w:rFonts w:ascii="Courier New" w:hAnsi="Courier New" w:cs="Courier New"/>
          <w:sz w:val="19"/>
        </w:rPr>
        <w:t xml:space="preserve">      - DB_HOST=db</w:t>
      </w:r>
    </w:p>
    <w:p>
      <w:pPr>
        <w:spacing w:before="0" w:after="0" w:line="240" w:lineRule="auto"/>
        <w:ind w:left="400"/>
      </w:pPr>
      <w:r>
        <w:rPr>
          <w:rFonts w:ascii="Courier New" w:hAnsi="Courier New" w:cs="Courier New"/>
          <w:sz w:val="19"/>
        </w:rPr>
        <w:t xml:space="preserve">      - DB_PORT=5432</w:t>
      </w:r>
    </w:p>
    <w:p>
      <w:pPr>
        <w:spacing w:before="0" w:after="0" w:line="240" w:lineRule="auto"/>
        <w:ind w:left="400"/>
      </w:pPr>
      <w:r>
        <w:rPr>
          <w:rFonts w:ascii="Courier New" w:hAnsi="Courier New" w:cs="Courier New"/>
          <w:sz w:val="19"/>
        </w:rPr>
        <w:t xml:space="preserve">      - JWT_ACCESS_SECRET=${JWT_SECRET}</w:t>
      </w:r>
    </w:p>
    <w:p>
      <w:pPr>
        <w:spacing w:before="0" w:after="0" w:line="240" w:lineRule="auto"/>
        <w:ind w:left="400"/>
      </w:pPr>
      <w:r>
        <w:rPr>
          <w:rFonts w:ascii="Courier New" w:hAnsi="Courier New" w:cs="Courier New"/>
          <w:sz w:val="19"/>
        </w:rPr>
        <w:t xml:space="preserve">    depends_on:</w:t>
      </w:r>
    </w:p>
    <w:p>
      <w:pPr>
        <w:spacing w:before="0" w:after="0" w:line="240" w:lineRule="auto"/>
        <w:ind w:left="400"/>
      </w:pPr>
      <w:r>
        <w:rPr>
          <w:rFonts w:ascii="Courier New" w:hAnsi="Courier New" w:cs="Courier New"/>
          <w:sz w:val="19"/>
        </w:rPr>
        <w:t xml:space="preserve">      - db</w:t>
      </w:r>
    </w:p>
    <w:p>
      <w:pPr>
        <w:spacing w:before="0" w:after="0" w:line="240" w:lineRule="auto"/>
        <w:ind w:left="400"/>
      </w:pPr>
      <w:r>
        <w:rPr>
          <w:rFonts w:ascii="Courier New" w:hAnsi="Courier New" w:cs="Courier New"/>
          <w:sz w:val="19"/>
        </w:rPr>
        <w:t xml:space="preserve">    networks:</w:t>
      </w:r>
    </w:p>
    <w:p>
      <w:pPr>
        <w:spacing w:before="0" w:after="0" w:line="240" w:lineRule="auto"/>
        <w:ind w:left="400"/>
      </w:pPr>
      <w:r>
        <w:rPr>
          <w:rFonts w:ascii="Courier New" w:hAnsi="Courier New" w:cs="Courier New"/>
          <w:sz w:val="19"/>
        </w:rPr>
        <w:t xml:space="preserve">      - agri-network</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web:</w:t>
      </w:r>
    </w:p>
    <w:p>
      <w:pPr>
        <w:spacing w:before="0" w:after="0" w:line="240" w:lineRule="auto"/>
        <w:ind w:left="400"/>
      </w:pPr>
      <w:r>
        <w:rPr>
          <w:rFonts w:ascii="Courier New" w:hAnsi="Courier New" w:cs="Courier New"/>
          <w:sz w:val="19"/>
        </w:rPr>
        <w:t xml:space="preserve">    build:</w:t>
      </w:r>
    </w:p>
    <w:p>
      <w:pPr>
        <w:spacing w:before="0" w:after="0" w:line="240" w:lineRule="auto"/>
        <w:ind w:left="400"/>
      </w:pPr>
      <w:r>
        <w:rPr>
          <w:rFonts w:ascii="Courier New" w:hAnsi="Courier New" w:cs="Courier New"/>
          <w:sz w:val="19"/>
        </w:rPr>
        <w:t xml:space="preserve">      context: ./frontend</w:t>
      </w:r>
    </w:p>
    <w:p>
      <w:pPr>
        <w:spacing w:before="0" w:after="0" w:line="240" w:lineRule="auto"/>
        <w:ind w:left="400"/>
      </w:pPr>
      <w:r>
        <w:rPr>
          <w:rFonts w:ascii="Courier New" w:hAnsi="Courier New" w:cs="Courier New"/>
          <w:sz w:val="19"/>
        </w:rPr>
        <w:t xml:space="preserve">      dockerfile: Dockerfile</w:t>
      </w:r>
    </w:p>
    <w:p>
      <w:pPr>
        <w:spacing w:before="0" w:after="0" w:line="240" w:lineRule="auto"/>
        <w:ind w:left="400"/>
      </w:pPr>
      <w:r>
        <w:rPr>
          <w:rFonts w:ascii="Courier New" w:hAnsi="Courier New" w:cs="Courier New"/>
          <w:sz w:val="19"/>
        </w:rPr>
        <w:t xml:space="preserve">    ports:</w:t>
      </w:r>
    </w:p>
    <w:p>
      <w:pPr>
        <w:spacing w:before="0" w:after="0" w:line="240" w:lineRule="auto"/>
        <w:ind w:left="400"/>
      </w:pPr>
      <w:r>
        <w:rPr>
          <w:rFonts w:ascii="Courier New" w:hAnsi="Courier New" w:cs="Courier New"/>
          <w:sz w:val="19"/>
        </w:rPr>
        <w:t xml:space="preserve">      - "80:80"</w:t>
      </w:r>
    </w:p>
    <w:p>
      <w:pPr>
        <w:spacing w:before="0" w:after="0" w:line="240" w:lineRule="auto"/>
        <w:ind w:left="400"/>
      </w:pPr>
      <w:r>
        <w:rPr>
          <w:rFonts w:ascii="Courier New" w:hAnsi="Courier New" w:cs="Courier New"/>
          <w:sz w:val="19"/>
        </w:rPr>
        <w:t xml:space="preserve">    depends_on:</w:t>
      </w:r>
    </w:p>
    <w:p>
      <w:pPr>
        <w:spacing w:before="0" w:after="0" w:line="240" w:lineRule="auto"/>
        <w:ind w:left="400"/>
      </w:pPr>
      <w:r>
        <w:rPr>
          <w:rFonts w:ascii="Courier New" w:hAnsi="Courier New" w:cs="Courier New"/>
          <w:sz w:val="19"/>
        </w:rPr>
        <w:t xml:space="preserve">      - api</w:t>
      </w:r>
    </w:p>
    <w:p>
      <w:pPr>
        <w:spacing w:before="0" w:after="0" w:line="240" w:lineRule="auto"/>
        <w:ind w:left="400"/>
      </w:pPr>
      <w:r>
        <w:rPr>
          <w:rFonts w:ascii="Courier New" w:hAnsi="Courier New" w:cs="Courier New"/>
          <w:sz w:val="19"/>
        </w:rPr>
        <w:t xml:space="preserve">    networks:</w:t>
      </w:r>
    </w:p>
    <w:p>
      <w:pPr>
        <w:spacing w:before="0" w:after="0" w:line="240" w:lineRule="auto"/>
        <w:ind w:left="400"/>
      </w:pPr>
      <w:r>
        <w:rPr>
          <w:rFonts w:ascii="Courier New" w:hAnsi="Courier New" w:cs="Courier New"/>
          <w:sz w:val="19"/>
        </w:rPr>
        <w:t xml:space="preserve">      - agri-network</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networks:</w:t>
      </w:r>
    </w:p>
    <w:p>
      <w:pPr>
        <w:spacing w:before="0" w:after="0" w:line="240" w:lineRule="auto"/>
        <w:ind w:left="400"/>
      </w:pPr>
      <w:r>
        <w:rPr>
          <w:rFonts w:ascii="Courier New" w:hAnsi="Courier New" w:cs="Courier New"/>
          <w:sz w:val="19"/>
        </w:rPr>
        <w:t xml:space="preserve">  agri-network:</w:t>
      </w:r>
    </w:p>
    <w:p>
      <w:pPr>
        <w:spacing w:before="0" w:after="0" w:line="240" w:lineRule="auto"/>
        <w:ind w:left="400"/>
      </w:pPr>
      <w:r>
        <w:rPr>
          <w:rFonts w:ascii="Courier New" w:hAnsi="Courier New" w:cs="Courier New"/>
          <w:sz w:val="19"/>
        </w:rPr>
        <w:t xml:space="preserve">    driver: bridge</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volumes:</w:t>
      </w:r>
    </w:p>
    <w:p>
      <w:pPr>
        <w:spacing w:before="0" w:after="0" w:line="240" w:lineRule="auto"/>
        <w:ind w:left="400"/>
      </w:pPr>
      <w:r>
        <w:rPr>
          <w:rFonts w:ascii="Courier New" w:hAnsi="Courier New" w:cs="Courier New"/>
          <w:sz w:val="19"/>
        </w:rPr>
        <w:t xml:space="preserve">  pgdata:</w:t>
      </w:r>
    </w:p>
    <w:p>
      <w:pPr>
        <w:spacing w:before="120"/>
      </w:pPr>
    </w:p>
    <w:p>
      <w:pPr>
        <w:pStyle w:val="Heading3"/>
        <w:keepNext/>
        <w:keepLines/>
        <w:spacing w:before="200" w:after="0" w:line="360" w:lineRule="auto"/>
        <w:jc w:val="both"/>
      </w:pPr>
      <w:r>
        <w:rPr>
          <w:rFonts w:ascii="UT Sans" w:hAnsi="UT Sans" w:cs="UT Sans"/>
          <w:b/>
          <w:i w:val="0"/>
          <w:sz w:val="22"/>
        </w:rPr>
        <w:t>4.9.1 Implementarea Completă: IAM și RBAC Guard</w:t>
      </w:r>
    </w:p>
    <w:p>
      <w:pPr>
        <w:spacing w:line="360" w:lineRule="auto"/>
        <w:jc w:val="both"/>
      </w:pPr>
      <w:r>
        <w:rPr>
          <w:rFonts w:ascii="UT Sans" w:hAnsi="UT Sans" w:cs="UT Sans"/>
          <w:b w:val="0"/>
          <w:i w:val="0"/>
          <w:sz w:val="24"/>
        </w:rPr>
        <w:t>Pentru a asigura o securitate granulară, platforma folosește Guards personalizate în NestJS. Codul de mai jos ilustrează implementarea completă a unui RolesGuard care verifică atât validitatea JWT-ului, cât și apartenența la rolul necesar pentru a accesa un anumit endpoint:</w:t>
      </w:r>
    </w:p>
    <w:p>
      <w:pPr>
        <w:spacing w:after="40"/>
      </w:pPr>
    </w:p>
    <w:p>
      <w:pPr>
        <w:spacing w:before="0" w:after="0" w:line="240" w:lineRule="auto"/>
        <w:ind w:left="400"/>
      </w:pPr>
      <w:r>
        <w:rPr>
          <w:rFonts w:ascii="Courier New" w:hAnsi="Courier New" w:cs="Courier New"/>
          <w:sz w:val="19"/>
        </w:rPr>
        <w:t>import { Injectable, CanActivate, ExecutionContext, UnauthorizedException, ForbiddenException } from '@nestjs/common';</w:t>
      </w:r>
    </w:p>
    <w:p>
      <w:pPr>
        <w:spacing w:before="0" w:after="0" w:line="240" w:lineRule="auto"/>
        <w:ind w:left="400"/>
      </w:pPr>
      <w:r>
        <w:rPr>
          <w:rFonts w:ascii="Courier New" w:hAnsi="Courier New" w:cs="Courier New"/>
          <w:sz w:val="19"/>
        </w:rPr>
        <w:t>import { Reflector } from '@nestjs/core';</w:t>
      </w:r>
    </w:p>
    <w:p>
      <w:pPr>
        <w:spacing w:before="0" w:after="0" w:line="240" w:lineRule="auto"/>
        <w:ind w:left="400"/>
      </w:pPr>
      <w:r>
        <w:rPr>
          <w:rFonts w:ascii="Courier New" w:hAnsi="Courier New" w:cs="Courier New"/>
          <w:sz w:val="19"/>
        </w:rPr>
        <w:t>import { JwtService } from '@nestjs/jwt';</w:t>
      </w:r>
    </w:p>
    <w:p>
      <w:pPr>
        <w:spacing w:before="0" w:after="0" w:line="240" w:lineRule="auto"/>
        <w:ind w:left="400"/>
      </w:pPr>
      <w:r>
        <w:rPr>
          <w:rFonts w:ascii="Courier New" w:hAnsi="Courier New" w:cs="Courier New"/>
          <w:sz w:val="19"/>
        </w:rPr>
        <w:t>import { ROLES_KEY } from '../decorators/roles.decorator';</w:t>
      </w:r>
    </w:p>
    <w:p>
      <w:pPr>
        <w:spacing w:before="0" w:after="0" w:line="240" w:lineRule="auto"/>
        <w:ind w:left="400"/>
      </w:pPr>
      <w:r>
        <w:rPr>
          <w:rFonts w:ascii="Courier New" w:hAnsi="Courier New" w:cs="Courier New"/>
          <w:sz w:val="19"/>
        </w:rPr>
        <w:t>import { Role } from '../enums/role.enum';</w:t>
      </w:r>
    </w:p>
    <w:p>
      <w:pPr>
        <w:spacing w:before="0" w:after="0" w:line="240" w:lineRule="auto"/>
        <w:ind w:left="400"/>
      </w:pPr>
      <w:r>
        <w:rPr>
          <w:rFonts w:ascii="Courier New" w:hAnsi="Courier New" w:cs="Courier New"/>
          <w:sz w:val="19"/>
        </w:rPr>
        <w:t>import { Request } from 'express';</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@Injectable()</w:t>
      </w:r>
    </w:p>
    <w:p>
      <w:pPr>
        <w:spacing w:before="0" w:after="0" w:line="240" w:lineRule="auto"/>
        <w:ind w:left="400"/>
      </w:pPr>
      <w:r>
        <w:rPr>
          <w:rFonts w:ascii="Courier New" w:hAnsi="Courier New" w:cs="Courier New"/>
          <w:sz w:val="19"/>
        </w:rPr>
        <w:t>export class RolesGuard implements CanActivate {</w:t>
      </w:r>
    </w:p>
    <w:p>
      <w:pPr>
        <w:spacing w:before="0" w:after="0" w:line="240" w:lineRule="auto"/>
        <w:ind w:left="400"/>
      </w:pPr>
      <w:r>
        <w:rPr>
          <w:rFonts w:ascii="Courier New" w:hAnsi="Courier New" w:cs="Courier New"/>
          <w:sz w:val="19"/>
        </w:rPr>
        <w:t xml:space="preserve">  constructor(private reflector: Reflector, private jwtService: JwtService) {}</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async canActivate(context: ExecutionContext): Promise&lt;boolean&gt; {</w:t>
      </w:r>
    </w:p>
    <w:p>
      <w:pPr>
        <w:spacing w:before="0" w:after="0" w:line="240" w:lineRule="auto"/>
        <w:ind w:left="400"/>
      </w:pPr>
      <w:r>
        <w:rPr>
          <w:rFonts w:ascii="Courier New" w:hAnsi="Courier New" w:cs="Courier New"/>
          <w:sz w:val="19"/>
        </w:rPr>
        <w:t xml:space="preserve">    const requiredRoles = this.reflector.getAllAndOverride&lt;Role[]&gt;(ROLES_KEY, [</w:t>
      </w:r>
    </w:p>
    <w:p>
      <w:pPr>
        <w:spacing w:before="0" w:after="0" w:line="240" w:lineRule="auto"/>
        <w:ind w:left="400"/>
      </w:pPr>
      <w:r>
        <w:rPr>
          <w:rFonts w:ascii="Courier New" w:hAnsi="Courier New" w:cs="Courier New"/>
          <w:sz w:val="19"/>
        </w:rPr>
        <w:t xml:space="preserve">      context.getHandler(),</w:t>
      </w:r>
    </w:p>
    <w:p>
      <w:pPr>
        <w:spacing w:before="0" w:after="0" w:line="240" w:lineRule="auto"/>
        <w:ind w:left="400"/>
      </w:pPr>
      <w:r>
        <w:rPr>
          <w:rFonts w:ascii="Courier New" w:hAnsi="Courier New" w:cs="Courier New"/>
          <w:sz w:val="19"/>
        </w:rPr>
        <w:t xml:space="preserve">      context.getClass(),</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if (!requiredRoles) {</w:t>
      </w:r>
    </w:p>
    <w:p>
      <w:pPr>
        <w:spacing w:before="0" w:after="0" w:line="240" w:lineRule="auto"/>
        <w:ind w:left="400"/>
      </w:pPr>
      <w:r>
        <w:rPr>
          <w:rFonts w:ascii="Courier New" w:hAnsi="Courier New" w:cs="Courier New"/>
          <w:sz w:val="19"/>
        </w:rPr>
        <w:t xml:space="preserve">      return true; // Endpoint public</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const request = context.switchToHttp().getRequest&lt;Request&gt;();</w:t>
      </w:r>
    </w:p>
    <w:p>
      <w:pPr>
        <w:spacing w:before="0" w:after="0" w:line="240" w:lineRule="auto"/>
        <w:ind w:left="400"/>
      </w:pPr>
      <w:r>
        <w:rPr>
          <w:rFonts w:ascii="Courier New" w:hAnsi="Courier New" w:cs="Courier New"/>
          <w:sz w:val="19"/>
        </w:rPr>
        <w:t xml:space="preserve">    const token = this.extractTokenFromHeader(request);</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if (!token) {</w:t>
      </w:r>
    </w:p>
    <w:p>
      <w:pPr>
        <w:spacing w:before="0" w:after="0" w:line="240" w:lineRule="auto"/>
        <w:ind w:left="400"/>
      </w:pPr>
      <w:r>
        <w:rPr>
          <w:rFonts w:ascii="Courier New" w:hAnsi="Courier New" w:cs="Courier New"/>
          <w:sz w:val="19"/>
        </w:rPr>
        <w:t xml:space="preserve">      throw new UnauthorizedException('Token de acces lipsă');</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try {</w:t>
      </w:r>
    </w:p>
    <w:p>
      <w:pPr>
        <w:spacing w:before="0" w:after="0" w:line="240" w:lineRule="auto"/>
        <w:ind w:left="400"/>
      </w:pPr>
      <w:r>
        <w:rPr>
          <w:rFonts w:ascii="Courier New" w:hAnsi="Courier New" w:cs="Courier New"/>
          <w:sz w:val="19"/>
        </w:rPr>
        <w:t xml:space="preserve">      const payload = await this.jwtService.verifyAsync(token, {</w:t>
      </w:r>
    </w:p>
    <w:p>
      <w:pPr>
        <w:spacing w:before="0" w:after="0" w:line="240" w:lineRule="auto"/>
        <w:ind w:left="400"/>
      </w:pPr>
      <w:r>
        <w:rPr>
          <w:rFonts w:ascii="Courier New" w:hAnsi="Courier New" w:cs="Courier New"/>
          <w:sz w:val="19"/>
        </w:rPr>
        <w:t xml:space="preserve">        secret: process.env.JWT_ACCESS_SECRET,</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 Atașăm payload-ul decodat la request pentru a fi folosit în controllere</w:t>
      </w:r>
    </w:p>
    <w:p>
      <w:pPr>
        <w:spacing w:before="0" w:after="0" w:line="240" w:lineRule="auto"/>
        <w:ind w:left="400"/>
      </w:pPr>
      <w:r>
        <w:rPr>
          <w:rFonts w:ascii="Courier New" w:hAnsi="Courier New" w:cs="Courier New"/>
          <w:sz w:val="19"/>
        </w:rPr>
        <w:t xml:space="preserve">      request['user'] = payload;</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 Verificăm dacă rolul utilizatorului este permis</w:t>
      </w:r>
    </w:p>
    <w:p>
      <w:pPr>
        <w:spacing w:before="0" w:after="0" w:line="240" w:lineRule="auto"/>
        <w:ind w:left="400"/>
      </w:pPr>
      <w:r>
        <w:rPr>
          <w:rFonts w:ascii="Courier New" w:hAnsi="Courier New" w:cs="Courier New"/>
          <w:sz w:val="19"/>
        </w:rPr>
        <w:t xml:space="preserve">      const hasRole = requiredRoles.some((role) =&gt; payload.role?.includes(role));</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if (!hasRole) {</w:t>
      </w:r>
    </w:p>
    <w:p>
      <w:pPr>
        <w:spacing w:before="0" w:after="0" w:line="240" w:lineRule="auto"/>
        <w:ind w:left="400"/>
      </w:pPr>
      <w:r>
        <w:rPr>
          <w:rFonts w:ascii="Courier New" w:hAnsi="Courier New" w:cs="Courier New"/>
          <w:sz w:val="19"/>
        </w:rPr>
        <w:t xml:space="preserve">        throw new ForbiddenException('Acces respins: Rol insuficient');</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return true;</w:t>
      </w:r>
    </w:p>
    <w:p>
      <w:pPr>
        <w:spacing w:before="0" w:after="0" w:line="240" w:lineRule="auto"/>
        <w:ind w:left="400"/>
      </w:pPr>
      <w:r>
        <w:rPr>
          <w:rFonts w:ascii="Courier New" w:hAnsi="Courier New" w:cs="Courier New"/>
          <w:sz w:val="19"/>
        </w:rPr>
        <w:t xml:space="preserve">    } catch (error) {</w:t>
      </w:r>
    </w:p>
    <w:p>
      <w:pPr>
        <w:spacing w:before="0" w:after="0" w:line="240" w:lineRule="auto"/>
        <w:ind w:left="400"/>
      </w:pPr>
      <w:r>
        <w:rPr>
          <w:rFonts w:ascii="Courier New" w:hAnsi="Courier New" w:cs="Courier New"/>
          <w:sz w:val="19"/>
        </w:rPr>
        <w:t xml:space="preserve">      if (error instanceof ForbiddenException) throw error;</w:t>
      </w:r>
    </w:p>
    <w:p>
      <w:pPr>
        <w:spacing w:before="0" w:after="0" w:line="240" w:lineRule="auto"/>
        <w:ind w:left="400"/>
      </w:pPr>
      <w:r>
        <w:rPr>
          <w:rFonts w:ascii="Courier New" w:hAnsi="Courier New" w:cs="Courier New"/>
          <w:sz w:val="19"/>
        </w:rPr>
        <w:t xml:space="preserve">      throw new UnauthorizedException('Token invalid sau expirat');</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private extractTokenFromHeader(request: Request): string | undefined {</w:t>
      </w:r>
    </w:p>
    <w:p>
      <w:pPr>
        <w:spacing w:before="0" w:after="0" w:line="240" w:lineRule="auto"/>
        <w:ind w:left="400"/>
      </w:pPr>
      <w:r>
        <w:rPr>
          <w:rFonts w:ascii="Courier New" w:hAnsi="Courier New" w:cs="Courier New"/>
          <w:sz w:val="19"/>
        </w:rPr>
        <w:t xml:space="preserve">    const [type, token] = request.headers.authorization?.split(' ') ?? [];</w:t>
      </w:r>
    </w:p>
    <w:p>
      <w:pPr>
        <w:spacing w:before="0" w:after="0" w:line="240" w:lineRule="auto"/>
        <w:ind w:left="400"/>
      </w:pPr>
      <w:r>
        <w:rPr>
          <w:rFonts w:ascii="Courier New" w:hAnsi="Courier New" w:cs="Courier New"/>
          <w:sz w:val="19"/>
        </w:rPr>
        <w:t xml:space="preserve">    return type === 'Bearer' ? token : undefined;</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w:t>
      </w:r>
    </w:p>
    <w:p>
      <w:pPr>
        <w:spacing w:before="120"/>
      </w:pPr>
    </w:p>
    <w:p>
      <w:pPr>
        <w:pStyle w:val="Heading3"/>
        <w:keepNext/>
        <w:keepLines/>
        <w:spacing w:before="200" w:after="0" w:line="360" w:lineRule="auto"/>
        <w:jc w:val="both"/>
      </w:pPr>
      <w:r>
        <w:rPr>
          <w:rFonts w:ascii="UT Sans" w:hAnsi="UT Sans" w:cs="UT Sans"/>
          <w:b/>
          <w:i w:val="0"/>
          <w:sz w:val="22"/>
        </w:rPr>
        <w:t>4.9.2 Optimizarea Rutei OSRM: TSP Solver</w:t>
      </w:r>
    </w:p>
    <w:p>
      <w:pPr>
        <w:spacing w:line="360" w:lineRule="auto"/>
        <w:jc w:val="both"/>
      </w:pPr>
      <w:r>
        <w:rPr>
          <w:rFonts w:ascii="UT Sans" w:hAnsi="UT Sans" w:cs="UT Sans"/>
          <w:b w:val="0"/>
          <w:i w:val="0"/>
          <w:sz w:val="24"/>
        </w:rPr>
        <w:t>Pentru logistica multi-fermă, solverul TSP implementează euristica nearest-neighbor urmată de o optimizare 2-opt. Acest algoritm reduce exponențial complexitatea computațională:</w:t>
      </w:r>
    </w:p>
    <w:p>
      <w:pPr>
        <w:spacing w:after="40"/>
      </w:pPr>
    </w:p>
    <w:p>
      <w:pPr>
        <w:spacing w:before="0" w:after="0" w:line="240" w:lineRule="auto"/>
        <w:ind w:left="400"/>
      </w:pPr>
      <w:r>
        <w:rPr>
          <w:rFonts w:ascii="Courier New" w:hAnsi="Courier New" w:cs="Courier New"/>
          <w:sz w:val="19"/>
        </w:rPr>
        <w:t>import { Injectable } from '@nestjs/common';</w:t>
      </w:r>
    </w:p>
    <w:p>
      <w:pPr>
        <w:spacing w:before="0" w:after="0" w:line="240" w:lineRule="auto"/>
        <w:ind w:left="400"/>
      </w:pPr>
      <w:r>
        <w:rPr>
          <w:rFonts w:ascii="Courier New" w:hAnsi="Courier New" w:cs="Courier New"/>
          <w:sz w:val="19"/>
        </w:rPr>
        <w:t>import { RoutingService } from './routing.service';</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interface Point {</w:t>
      </w:r>
    </w:p>
    <w:p>
      <w:pPr>
        <w:spacing w:before="0" w:after="0" w:line="240" w:lineRule="auto"/>
        <w:ind w:left="400"/>
      </w:pPr>
      <w:r>
        <w:rPr>
          <w:rFonts w:ascii="Courier New" w:hAnsi="Courier New" w:cs="Courier New"/>
          <w:sz w:val="19"/>
        </w:rPr>
        <w:t xml:space="preserve">  lat: number;</w:t>
      </w:r>
    </w:p>
    <w:p>
      <w:pPr>
        <w:spacing w:before="0" w:after="0" w:line="240" w:lineRule="auto"/>
        <w:ind w:left="400"/>
      </w:pPr>
      <w:r>
        <w:rPr>
          <w:rFonts w:ascii="Courier New" w:hAnsi="Courier New" w:cs="Courier New"/>
          <w:sz w:val="19"/>
        </w:rPr>
        <w:t xml:space="preserve">  lng: number;</w:t>
      </w:r>
    </w:p>
    <w:p>
      <w:pPr>
        <w:spacing w:before="0" w:after="0" w:line="240" w:lineRule="auto"/>
        <w:ind w:left="400"/>
      </w:pPr>
      <w:r>
        <w:rPr>
          <w:rFonts w:ascii="Courier New" w:hAnsi="Courier New" w:cs="Courier New"/>
          <w:sz w:val="19"/>
        </w:rPr>
        <w:t xml:space="preserve">  id: string;</w:t>
      </w:r>
    </w:p>
    <w:p>
      <w:pPr>
        <w:spacing w:before="0" w:after="0" w:line="240" w:lineRule="auto"/>
        <w:ind w:left="400"/>
      </w:pPr>
      <w:r>
        <w:rPr>
          <w:rFonts w:ascii="Courier New" w:hAnsi="Courier New" w:cs="Courier New"/>
          <w:sz w:val="19"/>
        </w:rPr>
        <w:t>}</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@Injectable()</w:t>
      </w:r>
    </w:p>
    <w:p>
      <w:pPr>
        <w:spacing w:before="0" w:after="0" w:line="240" w:lineRule="auto"/>
        <w:ind w:left="400"/>
      </w:pPr>
      <w:r>
        <w:rPr>
          <w:rFonts w:ascii="Courier New" w:hAnsi="Courier New" w:cs="Courier New"/>
          <w:sz w:val="19"/>
        </w:rPr>
        <w:t>export class TSPOptimizerService {</w:t>
      </w:r>
    </w:p>
    <w:p>
      <w:pPr>
        <w:spacing w:before="0" w:after="0" w:line="240" w:lineRule="auto"/>
        <w:ind w:left="400"/>
      </w:pPr>
      <w:r>
        <w:rPr>
          <w:rFonts w:ascii="Courier New" w:hAnsi="Courier New" w:cs="Courier New"/>
          <w:sz w:val="19"/>
        </w:rPr>
        <w:t xml:space="preserve">  constructor(private routingService: RoutingService) {}</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public async optimizeRoute(depot: Point, pickups: Point[]): Promise&lt;Point[]&gt; {</w:t>
      </w:r>
    </w:p>
    <w:p>
      <w:pPr>
        <w:spacing w:before="0" w:after="0" w:line="240" w:lineRule="auto"/>
        <w:ind w:left="400"/>
      </w:pPr>
      <w:r>
        <w:rPr>
          <w:rFonts w:ascii="Courier New" w:hAnsi="Courier New" w:cs="Courier New"/>
          <w:sz w:val="19"/>
        </w:rPr>
        <w:t xml:space="preserve">    if (pickups.length &lt;= 1) return pickups;</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 1. Obținem matricea de distanțe via OSRM Table API</w:t>
      </w:r>
    </w:p>
    <w:p>
      <w:pPr>
        <w:spacing w:before="0" w:after="0" w:line="240" w:lineRule="auto"/>
        <w:ind w:left="400"/>
      </w:pPr>
      <w:r>
        <w:rPr>
          <w:rFonts w:ascii="Courier New" w:hAnsi="Courier New" w:cs="Courier New"/>
          <w:sz w:val="19"/>
        </w:rPr>
        <w:t xml:space="preserve">    const allPoints = [depot, ...pickups];</w:t>
      </w:r>
    </w:p>
    <w:p>
      <w:pPr>
        <w:spacing w:before="0" w:after="0" w:line="240" w:lineRule="auto"/>
        <w:ind w:left="400"/>
      </w:pPr>
      <w:r>
        <w:rPr>
          <w:rFonts w:ascii="Courier New" w:hAnsi="Courier New" w:cs="Courier New"/>
          <w:sz w:val="19"/>
        </w:rPr>
        <w:t xml:space="preserve">    const distanceMatrix = await this.routingService.getDistanceMatrix(allPoints);</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 2. Nearest Neighbor Initialization</w:t>
      </w:r>
    </w:p>
    <w:p>
      <w:pPr>
        <w:spacing w:before="0" w:after="0" w:line="240" w:lineRule="auto"/>
        <w:ind w:left="400"/>
      </w:pPr>
      <w:r>
        <w:rPr>
          <w:rFonts w:ascii="Courier New" w:hAnsi="Courier New" w:cs="Courier New"/>
          <w:sz w:val="19"/>
        </w:rPr>
        <w:t xml:space="preserve">    let unvisited = [...pickups];</w:t>
      </w:r>
    </w:p>
    <w:p>
      <w:pPr>
        <w:spacing w:before="0" w:after="0" w:line="240" w:lineRule="auto"/>
        <w:ind w:left="400"/>
      </w:pPr>
      <w:r>
        <w:rPr>
          <w:rFonts w:ascii="Courier New" w:hAnsi="Courier New" w:cs="Courier New"/>
          <w:sz w:val="19"/>
        </w:rPr>
        <w:t xml:space="preserve">    let current = depot;</w:t>
      </w:r>
    </w:p>
    <w:p>
      <w:pPr>
        <w:spacing w:before="0" w:after="0" w:line="240" w:lineRule="auto"/>
        <w:ind w:left="400"/>
      </w:pPr>
      <w:r>
        <w:rPr>
          <w:rFonts w:ascii="Courier New" w:hAnsi="Courier New" w:cs="Courier New"/>
          <w:sz w:val="19"/>
        </w:rPr>
        <w:t xml:space="preserve">    const route: Point[] = [];</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while (unvisited.length &gt; 0) {</w:t>
      </w:r>
    </w:p>
    <w:p>
      <w:pPr>
        <w:spacing w:before="0" w:after="0" w:line="240" w:lineRule="auto"/>
        <w:ind w:left="400"/>
      </w:pPr>
      <w:r>
        <w:rPr>
          <w:rFonts w:ascii="Courier New" w:hAnsi="Courier New" w:cs="Courier New"/>
          <w:sz w:val="19"/>
        </w:rPr>
        <w:t xml:space="preserve">      let nearest = unvisited[1];</w:t>
      </w:r>
    </w:p>
    <w:p>
      <w:pPr>
        <w:spacing w:before="0" w:after="0" w:line="240" w:lineRule="auto"/>
        <w:ind w:left="400"/>
      </w:pPr>
      <w:r>
        <w:rPr>
          <w:rFonts w:ascii="Courier New" w:hAnsi="Courier New" w:cs="Courier New"/>
          <w:sz w:val="19"/>
        </w:rPr>
        <w:t xml:space="preserve">      let minDistance = Infinity;</w:t>
      </w:r>
    </w:p>
    <w:p>
      <w:pPr>
        <w:spacing w:before="0" w:after="0" w:line="240" w:lineRule="auto"/>
        <w:ind w:left="400"/>
      </w:pPr>
      <w:r>
        <w:rPr>
          <w:rFonts w:ascii="Courier New" w:hAnsi="Courier New" w:cs="Courier New"/>
          <w:sz w:val="19"/>
        </w:rPr>
        <w:t xml:space="preserve">      let nearestIndex = 0;</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for (let i = 0; i &lt; unvisited.length; i++) {</w:t>
      </w:r>
    </w:p>
    <w:p>
      <w:pPr>
        <w:spacing w:before="0" w:after="0" w:line="240" w:lineRule="auto"/>
        <w:ind w:left="400"/>
      </w:pPr>
      <w:r>
        <w:rPr>
          <w:rFonts w:ascii="Courier New" w:hAnsi="Courier New" w:cs="Courier New"/>
          <w:sz w:val="19"/>
        </w:rPr>
        <w:t xml:space="preserve">        const candidate = unvisited[i];</w:t>
      </w:r>
    </w:p>
    <w:p>
      <w:pPr>
        <w:spacing w:before="0" w:after="0" w:line="240" w:lineRule="auto"/>
        <w:ind w:left="400"/>
      </w:pPr>
      <w:r>
        <w:rPr>
          <w:rFonts w:ascii="Courier New" w:hAnsi="Courier New" w:cs="Courier New"/>
          <w:sz w:val="19"/>
        </w:rPr>
        <w:t xml:space="preserve">        const dist = this.getDistance(current, candidate, allPoints, distanceMatrix);</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if (dist &lt; minDistance) {</w:t>
      </w:r>
    </w:p>
    <w:p>
      <w:pPr>
        <w:spacing w:before="0" w:after="0" w:line="240" w:lineRule="auto"/>
        <w:ind w:left="400"/>
      </w:pPr>
      <w:r>
        <w:rPr>
          <w:rFonts w:ascii="Courier New" w:hAnsi="Courier New" w:cs="Courier New"/>
          <w:sz w:val="19"/>
        </w:rPr>
        <w:t xml:space="preserve">          minDistance = dist;</w:t>
      </w:r>
    </w:p>
    <w:p>
      <w:pPr>
        <w:spacing w:before="0" w:after="0" w:line="240" w:lineRule="auto"/>
        <w:ind w:left="400"/>
      </w:pPr>
      <w:r>
        <w:rPr>
          <w:rFonts w:ascii="Courier New" w:hAnsi="Courier New" w:cs="Courier New"/>
          <w:sz w:val="19"/>
        </w:rPr>
        <w:t xml:space="preserve">          nearest = candidate;</w:t>
      </w:r>
    </w:p>
    <w:p>
      <w:pPr>
        <w:spacing w:before="0" w:after="0" w:line="240" w:lineRule="auto"/>
        <w:ind w:left="400"/>
      </w:pPr>
      <w:r>
        <w:rPr>
          <w:rFonts w:ascii="Courier New" w:hAnsi="Courier New" w:cs="Courier New"/>
          <w:sz w:val="19"/>
        </w:rPr>
        <w:t xml:space="preserve">          nearestIndex = i;</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route.push(nearest);</w:t>
      </w:r>
    </w:p>
    <w:p>
      <w:pPr>
        <w:spacing w:before="0" w:after="0" w:line="240" w:lineRule="auto"/>
        <w:ind w:left="400"/>
      </w:pPr>
      <w:r>
        <w:rPr>
          <w:rFonts w:ascii="Courier New" w:hAnsi="Courier New" w:cs="Courier New"/>
          <w:sz w:val="19"/>
        </w:rPr>
        <w:t xml:space="preserve">      current = nearest;</w:t>
      </w:r>
    </w:p>
    <w:p>
      <w:pPr>
        <w:spacing w:before="0" w:after="0" w:line="240" w:lineRule="auto"/>
        <w:ind w:left="400"/>
      </w:pPr>
      <w:r>
        <w:rPr>
          <w:rFonts w:ascii="Courier New" w:hAnsi="Courier New" w:cs="Courier New"/>
          <w:sz w:val="19"/>
        </w:rPr>
        <w:t xml:space="preserve">      unvisited.splice(nearestIndex, 1);</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 3. 2-Opt Optimization</w:t>
      </w:r>
    </w:p>
    <w:p>
      <w:pPr>
        <w:spacing w:before="0" w:after="0" w:line="240" w:lineRule="auto"/>
        <w:ind w:left="400"/>
      </w:pPr>
      <w:r>
        <w:rPr>
          <w:rFonts w:ascii="Courier New" w:hAnsi="Courier New" w:cs="Courier New"/>
          <w:sz w:val="19"/>
        </w:rPr>
        <w:t xml:space="preserve">    let improved = true;</w:t>
      </w:r>
    </w:p>
    <w:p>
      <w:pPr>
        <w:spacing w:before="0" w:after="0" w:line="240" w:lineRule="auto"/>
        <w:ind w:left="400"/>
      </w:pPr>
      <w:r>
        <w:rPr>
          <w:rFonts w:ascii="Courier New" w:hAnsi="Courier New" w:cs="Courier New"/>
          <w:sz w:val="19"/>
        </w:rPr>
        <w:t xml:space="preserve">    while (improved) {</w:t>
      </w:r>
    </w:p>
    <w:p>
      <w:pPr>
        <w:spacing w:before="0" w:after="0" w:line="240" w:lineRule="auto"/>
        <w:ind w:left="400"/>
      </w:pPr>
      <w:r>
        <w:rPr>
          <w:rFonts w:ascii="Courier New" w:hAnsi="Courier New" w:cs="Courier New"/>
          <w:sz w:val="19"/>
        </w:rPr>
        <w:t xml:space="preserve">      improved = false;</w:t>
      </w:r>
    </w:p>
    <w:p>
      <w:pPr>
        <w:spacing w:before="0" w:after="0" w:line="240" w:lineRule="auto"/>
        <w:ind w:left="400"/>
      </w:pPr>
      <w:r>
        <w:rPr>
          <w:rFonts w:ascii="Courier New" w:hAnsi="Courier New" w:cs="Courier New"/>
          <w:sz w:val="19"/>
        </w:rPr>
        <w:t xml:space="preserve">      for (let i = 1; i &lt; route.length - 2; i++) {</w:t>
      </w:r>
    </w:p>
    <w:p>
      <w:pPr>
        <w:spacing w:before="0" w:after="0" w:line="240" w:lineRule="auto"/>
        <w:ind w:left="400"/>
      </w:pPr>
      <w:r>
        <w:rPr>
          <w:rFonts w:ascii="Courier New" w:hAnsi="Courier New" w:cs="Courier New"/>
          <w:sz w:val="19"/>
        </w:rPr>
        <w:t xml:space="preserve">        for (let j = i + 1; j &lt; route.length - 1; j++) {</w:t>
      </w:r>
    </w:p>
    <w:p>
      <w:pPr>
        <w:spacing w:before="0" w:after="0" w:line="240" w:lineRule="auto"/>
        <w:ind w:left="400"/>
      </w:pPr>
      <w:r>
        <w:rPr>
          <w:rFonts w:ascii="Courier New" w:hAnsi="Courier New" w:cs="Courier New"/>
          <w:sz w:val="19"/>
        </w:rPr>
        <w:t xml:space="preserve">          const d1 = this.getDistance(route[i - 1], route[i], allPoints, distanceMatrix);</w:t>
      </w:r>
    </w:p>
    <w:p>
      <w:pPr>
        <w:spacing w:before="0" w:after="0" w:line="240" w:lineRule="auto"/>
        <w:ind w:left="400"/>
      </w:pPr>
      <w:r>
        <w:rPr>
          <w:rFonts w:ascii="Courier New" w:hAnsi="Courier New" w:cs="Courier New"/>
          <w:sz w:val="19"/>
        </w:rPr>
        <w:t xml:space="preserve">          const d2 = this.getDistance(route[j], route[j + 1], allPoints, distanceMatrix);</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const d3 = this.getDistance(route[i - 1], route[j], allPoints, distanceMatrix);</w:t>
      </w:r>
    </w:p>
    <w:p>
      <w:pPr>
        <w:spacing w:before="0" w:after="0" w:line="240" w:lineRule="auto"/>
        <w:ind w:left="400"/>
      </w:pPr>
      <w:r>
        <w:rPr>
          <w:rFonts w:ascii="Courier New" w:hAnsi="Courier New" w:cs="Courier New"/>
          <w:sz w:val="19"/>
        </w:rPr>
        <w:t xml:space="preserve">          const d4 = this.getDistance(route[i], route[j + 1], allPoints, distanceMatrix);</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if (d3 + d4 &lt; d1 + d2) {</w:t>
      </w:r>
    </w:p>
    <w:p>
      <w:pPr>
        <w:spacing w:before="0" w:after="0" w:line="240" w:lineRule="auto"/>
        <w:ind w:left="400"/>
      </w:pPr>
      <w:r>
        <w:rPr>
          <w:rFonts w:ascii="Courier New" w:hAnsi="Courier New" w:cs="Courier New"/>
          <w:sz w:val="19"/>
        </w:rPr>
        <w:t xml:space="preserve">            // Swap edges</w:t>
      </w:r>
    </w:p>
    <w:p>
      <w:pPr>
        <w:spacing w:before="0" w:after="0" w:line="240" w:lineRule="auto"/>
        <w:ind w:left="400"/>
      </w:pPr>
      <w:r>
        <w:rPr>
          <w:rFonts w:ascii="Courier New" w:hAnsi="Courier New" w:cs="Courier New"/>
          <w:sz w:val="19"/>
        </w:rPr>
        <w:t xml:space="preserve">            const newRoute = [</w:t>
      </w:r>
    </w:p>
    <w:p>
      <w:pPr>
        <w:spacing w:before="0" w:after="0" w:line="240" w:lineRule="auto"/>
        <w:ind w:left="400"/>
      </w:pPr>
      <w:r>
        <w:rPr>
          <w:rFonts w:ascii="Courier New" w:hAnsi="Courier New" w:cs="Courier New"/>
          <w:sz w:val="19"/>
        </w:rPr>
        <w:t xml:space="preserve">              ...route.slice(0, i),</w:t>
      </w:r>
    </w:p>
    <w:p>
      <w:pPr>
        <w:spacing w:before="0" w:after="0" w:line="240" w:lineRule="auto"/>
        <w:ind w:left="400"/>
      </w:pPr>
      <w:r>
        <w:rPr>
          <w:rFonts w:ascii="Courier New" w:hAnsi="Courier New" w:cs="Courier New"/>
          <w:sz w:val="19"/>
        </w:rPr>
        <w:t xml:space="preserve">              ...route.slice(i, j + 1).reverse(),</w:t>
      </w:r>
    </w:p>
    <w:p>
      <w:pPr>
        <w:spacing w:before="0" w:after="0" w:line="240" w:lineRule="auto"/>
        <w:ind w:left="400"/>
      </w:pPr>
      <w:r>
        <w:rPr>
          <w:rFonts w:ascii="Courier New" w:hAnsi="Courier New" w:cs="Courier New"/>
          <w:sz w:val="19"/>
        </w:rPr>
        <w:t xml:space="preserve">              ...route.slice(j + 1)</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route.splice(0, route.length, ...newRoute);</w:t>
      </w:r>
    </w:p>
    <w:p>
      <w:pPr>
        <w:spacing w:before="0" w:after="0" w:line="240" w:lineRule="auto"/>
        <w:ind w:left="400"/>
      </w:pPr>
      <w:r>
        <w:rPr>
          <w:rFonts w:ascii="Courier New" w:hAnsi="Courier New" w:cs="Courier New"/>
          <w:sz w:val="19"/>
        </w:rPr>
        <w:t xml:space="preserve">            improved = true;</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return route;</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private getDistance(p1: Point, p2: Point, allPoints: Point[], matrix: number[][]): number {</w:t>
      </w:r>
    </w:p>
    <w:p>
      <w:pPr>
        <w:spacing w:before="0" w:after="0" w:line="240" w:lineRule="auto"/>
        <w:ind w:left="400"/>
      </w:pPr>
      <w:r>
        <w:rPr>
          <w:rFonts w:ascii="Courier New" w:hAnsi="Courier New" w:cs="Courier New"/>
          <w:sz w:val="19"/>
        </w:rPr>
        <w:t xml:space="preserve">    const idx1 = allPoints.findIndex(p =&gt; p.id === p1.id);</w:t>
      </w:r>
    </w:p>
    <w:p>
      <w:pPr>
        <w:spacing w:before="0" w:after="0" w:line="240" w:lineRule="auto"/>
        <w:ind w:left="400"/>
      </w:pPr>
      <w:r>
        <w:rPr>
          <w:rFonts w:ascii="Courier New" w:hAnsi="Courier New" w:cs="Courier New"/>
          <w:sz w:val="19"/>
        </w:rPr>
        <w:t xml:space="preserve">    const idx2 = allPoints.findIndex(p =&gt; p.id === p2.id);</w:t>
      </w:r>
    </w:p>
    <w:p>
      <w:pPr>
        <w:spacing w:before="0" w:after="0" w:line="240" w:lineRule="auto"/>
        <w:ind w:left="400"/>
      </w:pPr>
      <w:r>
        <w:rPr>
          <w:rFonts w:ascii="Courier New" w:hAnsi="Courier New" w:cs="Courier New"/>
          <w:sz w:val="19"/>
        </w:rPr>
        <w:t xml:space="preserve">    return matrix[idx1][idx2];</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w:t>
      </w:r>
    </w:p>
    <w:p>
      <w:pPr>
        <w:spacing w:before="120"/>
      </w:pPr>
    </w:p>
    <w:p>
      <w:pPr>
        <w:pStyle w:val="Heading3"/>
        <w:keepNext/>
        <w:keepLines/>
        <w:spacing w:before="200" w:after="0" w:line="360" w:lineRule="auto"/>
        <w:jc w:val="both"/>
      </w:pPr>
      <w:r>
        <w:rPr>
          <w:rFonts w:ascii="UT Sans" w:hAnsi="UT Sans" w:cs="UT Sans"/>
          <w:b/>
          <w:i w:val="0"/>
          <w:sz w:val="22"/>
        </w:rPr>
        <w:t>4.9.3 Interfața React pentru Trading</w:t>
      </w:r>
    </w:p>
    <w:p>
      <w:pPr>
        <w:spacing w:line="360" w:lineRule="auto"/>
        <w:jc w:val="both"/>
      </w:pPr>
      <w:r>
        <w:rPr>
          <w:rFonts w:ascii="UT Sans" w:hAnsi="UT Sans" w:cs="UT Sans"/>
          <w:b w:val="0"/>
          <w:i w:val="0"/>
          <w:sz w:val="24"/>
        </w:rPr>
        <w:t>Pe partea de frontend, afișarea grid-ului de produse folosește `React.Suspense` și hook-urile TanStack Query pentru a oferi o tranziție fluidă:</w:t>
      </w:r>
    </w:p>
    <w:p>
      <w:pPr>
        <w:spacing w:after="40"/>
      </w:pPr>
    </w:p>
    <w:p>
      <w:pPr>
        <w:spacing w:before="0" w:after="0" w:line="240" w:lineRule="auto"/>
        <w:ind w:left="400"/>
      </w:pPr>
      <w:r>
        <w:rPr>
          <w:rFonts w:ascii="Courier New" w:hAnsi="Courier New" w:cs="Courier New"/>
          <w:sz w:val="19"/>
        </w:rPr>
        <w:t>import React, { Suspense } from 'react';</w:t>
      </w:r>
    </w:p>
    <w:p>
      <w:pPr>
        <w:spacing w:before="0" w:after="0" w:line="240" w:lineRule="auto"/>
        <w:ind w:left="400"/>
      </w:pPr>
      <w:r>
        <w:rPr>
          <w:rFonts w:ascii="Courier New" w:hAnsi="Courier New" w:cs="Courier New"/>
          <w:sz w:val="19"/>
        </w:rPr>
        <w:t>import { useQuery } from '@tanstack/react-query';</w:t>
      </w:r>
    </w:p>
    <w:p>
      <w:pPr>
        <w:spacing w:before="0" w:after="0" w:line="240" w:lineRule="auto"/>
        <w:ind w:left="400"/>
      </w:pPr>
      <w:r>
        <w:rPr>
          <w:rFonts w:ascii="Courier New" w:hAnsi="Courier New" w:cs="Courier New"/>
          <w:sz w:val="19"/>
        </w:rPr>
        <w:t>import { fetchListings } from '../api/trading';</w:t>
      </w:r>
    </w:p>
    <w:p>
      <w:pPr>
        <w:spacing w:before="0" w:after="0" w:line="240" w:lineRule="auto"/>
        <w:ind w:left="400"/>
      </w:pPr>
      <w:r>
        <w:rPr>
          <w:rFonts w:ascii="Courier New" w:hAnsi="Courier New" w:cs="Courier New"/>
          <w:sz w:val="19"/>
        </w:rPr>
        <w:t>import { useMarketStore } from '../store/marketStore';</w:t>
      </w:r>
    </w:p>
    <w:p>
      <w:pPr>
        <w:spacing w:before="0" w:after="0" w:line="240" w:lineRule="auto"/>
        <w:ind w:left="400"/>
      </w:pPr>
      <w:r>
        <w:rPr>
          <w:rFonts w:ascii="Courier New" w:hAnsi="Courier New" w:cs="Courier New"/>
          <w:sz w:val="19"/>
        </w:rPr>
        <w:t>import { ListingCard } from './ListingCard';</w:t>
      </w:r>
    </w:p>
    <w:p>
      <w:pPr>
        <w:spacing w:before="0" w:after="0" w:line="240" w:lineRule="auto"/>
        <w:ind w:left="400"/>
      </w:pPr>
      <w:r>
        <w:rPr>
          <w:rFonts w:ascii="Courier New" w:hAnsi="Courier New" w:cs="Courier New"/>
          <w:sz w:val="19"/>
        </w:rPr>
        <w:t>import { FilterSidebar } from './FilterSidebar';</w:t>
      </w:r>
    </w:p>
    <w:p>
      <w:pPr>
        <w:spacing w:before="0" w:after="0" w:line="240" w:lineRule="auto"/>
        <w:ind w:left="400"/>
      </w:pPr>
      <w:r>
        <w:rPr>
          <w:rFonts w:ascii="Courier New" w:hAnsi="Courier New" w:cs="Courier New"/>
          <w:sz w:val="19"/>
        </w:rPr>
        <w:t>import { SkeletonLoader } from './SkeletonLoader';</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const MarketGrid: React.FC = () =&gt; {</w:t>
      </w:r>
    </w:p>
    <w:p>
      <w:pPr>
        <w:spacing w:before="0" w:after="0" w:line="240" w:lineRule="auto"/>
        <w:ind w:left="400"/>
      </w:pPr>
      <w:r>
        <w:rPr>
          <w:rFonts w:ascii="Courier New" w:hAnsi="Courier New" w:cs="Courier New"/>
          <w:sz w:val="19"/>
        </w:rPr>
        <w:t xml:space="preserve">  const { searchQuery, activeFilters } = useMarketStore();</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const { data, isLoading, error } = useQuery({</w:t>
      </w:r>
    </w:p>
    <w:p>
      <w:pPr>
        <w:spacing w:before="0" w:after="0" w:line="240" w:lineRule="auto"/>
        <w:ind w:left="400"/>
      </w:pPr>
      <w:r>
        <w:rPr>
          <w:rFonts w:ascii="Courier New" w:hAnsi="Courier New" w:cs="Courier New"/>
          <w:sz w:val="19"/>
        </w:rPr>
        <w:t xml:space="preserve">    queryKey: ['listings', searchQuery, activeFilters],</w:t>
      </w:r>
    </w:p>
    <w:p>
      <w:pPr>
        <w:spacing w:before="0" w:after="0" w:line="240" w:lineRule="auto"/>
        <w:ind w:left="400"/>
      </w:pPr>
      <w:r>
        <w:rPr>
          <w:rFonts w:ascii="Courier New" w:hAnsi="Courier New" w:cs="Courier New"/>
          <w:sz w:val="19"/>
        </w:rPr>
        <w:t xml:space="preserve">    queryFn: () =&gt; fetchListings({ search: searchQuery, ...activeFilters }),</w:t>
      </w:r>
    </w:p>
    <w:p>
      <w:pPr>
        <w:spacing w:before="0" w:after="0" w:line="240" w:lineRule="auto"/>
        <w:ind w:left="400"/>
      </w:pPr>
      <w:r>
        <w:rPr>
          <w:rFonts w:ascii="Courier New" w:hAnsi="Courier New" w:cs="Courier New"/>
          <w:sz w:val="19"/>
        </w:rPr>
        <w:t xml:space="preserve">    staleTime: 60000, // 1 minut stale-while-revalidate</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if (error) {</w:t>
      </w:r>
    </w:p>
    <w:p>
      <w:pPr>
        <w:spacing w:before="0" w:after="0" w:line="240" w:lineRule="auto"/>
        <w:ind w:left="400"/>
      </w:pPr>
      <w:r>
        <w:rPr>
          <w:rFonts w:ascii="Courier New" w:hAnsi="Courier New" w:cs="Courier New"/>
          <w:sz w:val="19"/>
        </w:rPr>
        <w:t xml:space="preserve">    return &lt;div className="text-red-500"&gt;Eroare la încărcarea catalogului.&lt;/div&gt;;</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return (</w:t>
      </w:r>
    </w:p>
    <w:p>
      <w:pPr>
        <w:spacing w:before="0" w:after="0" w:line="240" w:lineRule="auto"/>
        <w:ind w:left="400"/>
      </w:pPr>
      <w:r>
        <w:rPr>
          <w:rFonts w:ascii="Courier New" w:hAnsi="Courier New" w:cs="Courier New"/>
          <w:sz w:val="19"/>
        </w:rPr>
        <w:t xml:space="preserve">    &lt;div className="flex flex-col md:flex-row gap-6 p-4"&gt;</w:t>
      </w:r>
    </w:p>
    <w:p>
      <w:pPr>
        <w:spacing w:before="0" w:after="0" w:line="240" w:lineRule="auto"/>
        <w:ind w:left="400"/>
      </w:pPr>
      <w:r>
        <w:rPr>
          <w:rFonts w:ascii="Courier New" w:hAnsi="Courier New" w:cs="Courier New"/>
          <w:sz w:val="19"/>
        </w:rPr>
        <w:t xml:space="preserve">      &lt;aside className="w-full md:w-1/4"&gt;</w:t>
      </w:r>
    </w:p>
    <w:p>
      <w:pPr>
        <w:spacing w:before="0" w:after="0" w:line="240" w:lineRule="auto"/>
        <w:ind w:left="400"/>
      </w:pPr>
      <w:r>
        <w:rPr>
          <w:rFonts w:ascii="Courier New" w:hAnsi="Courier New" w:cs="Courier New"/>
          <w:sz w:val="19"/>
        </w:rPr>
        <w:t xml:space="preserve">        &lt;FilterSidebar /&gt;</w:t>
      </w:r>
    </w:p>
    <w:p>
      <w:pPr>
        <w:spacing w:before="0" w:after="0" w:line="240" w:lineRule="auto"/>
        <w:ind w:left="400"/>
      </w:pPr>
      <w:r>
        <w:rPr>
          <w:rFonts w:ascii="Courier New" w:hAnsi="Courier New" w:cs="Courier New"/>
          <w:sz w:val="19"/>
        </w:rPr>
        <w:t xml:space="preserve">      &lt;/aside&gt;</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&lt;main className="w-full md:w-3/4"&gt;</w:t>
      </w:r>
    </w:p>
    <w:p>
      <w:pPr>
        <w:spacing w:before="0" w:after="0" w:line="240" w:lineRule="auto"/>
        <w:ind w:left="400"/>
      </w:pPr>
      <w:r>
        <w:rPr>
          <w:rFonts w:ascii="Courier New" w:hAnsi="Courier New" w:cs="Courier New"/>
          <w:sz w:val="19"/>
        </w:rPr>
        <w:t xml:space="preserve">        &lt;div className="mb-4 flex justify-between items-center"&gt;</w:t>
      </w:r>
    </w:p>
    <w:p>
      <w:pPr>
        <w:spacing w:before="0" w:after="0" w:line="240" w:lineRule="auto"/>
        <w:ind w:left="400"/>
      </w:pPr>
      <w:r>
        <w:rPr>
          <w:rFonts w:ascii="Courier New" w:hAnsi="Courier New" w:cs="Courier New"/>
          <w:sz w:val="19"/>
        </w:rPr>
        <w:t xml:space="preserve">          &lt;h2 className="text-2xl font-bold dark:text-white"&gt;Piața Spot Cereale&lt;/h2&gt;</w:t>
      </w:r>
    </w:p>
    <w:p>
      <w:pPr>
        <w:spacing w:before="0" w:after="0" w:line="240" w:lineRule="auto"/>
        <w:ind w:left="400"/>
      </w:pPr>
      <w:r>
        <w:rPr>
          <w:rFonts w:ascii="Courier New" w:hAnsi="Courier New" w:cs="Courier New"/>
          <w:sz w:val="19"/>
        </w:rPr>
        <w:t xml:space="preserve">          &lt;span className="text-sm text-gray-500"&gt;{data?.length || 0} listări active&lt;/span&gt;</w:t>
      </w:r>
    </w:p>
    <w:p>
      <w:pPr>
        <w:spacing w:before="0" w:after="0" w:line="240" w:lineRule="auto"/>
        <w:ind w:left="400"/>
      </w:pPr>
      <w:r>
        <w:rPr>
          <w:rFonts w:ascii="Courier New" w:hAnsi="Courier New" w:cs="Courier New"/>
          <w:sz w:val="19"/>
        </w:rPr>
        <w:t xml:space="preserve">        &lt;/div&gt;</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{isLoading ? (</w:t>
      </w:r>
    </w:p>
    <w:p>
      <w:pPr>
        <w:spacing w:before="0" w:after="0" w:line="240" w:lineRule="auto"/>
        <w:ind w:left="400"/>
      </w:pPr>
      <w:r>
        <w:rPr>
          <w:rFonts w:ascii="Courier New" w:hAnsi="Courier New" w:cs="Courier New"/>
          <w:sz w:val="19"/>
        </w:rPr>
        <w:t xml:space="preserve">          &lt;div className="grid grid-cols-1 lg:grid-cols-2 xl:grid-cols-3 gap-4"&gt;</w:t>
      </w:r>
    </w:p>
    <w:p>
      <w:pPr>
        <w:spacing w:before="0" w:after="0" w:line="240" w:lineRule="auto"/>
        <w:ind w:left="400"/>
      </w:pPr>
      <w:r>
        <w:rPr>
          <w:rFonts w:ascii="Courier New" w:hAnsi="Courier New" w:cs="Courier New"/>
          <w:sz w:val="19"/>
        </w:rPr>
        <w:t xml:space="preserve">            {[1, 2, 3, 4, 5, 6].map(i =&gt; &lt;SkeletonLoader key={i} /&gt;)}</w:t>
      </w:r>
    </w:p>
    <w:p>
      <w:pPr>
        <w:spacing w:before="0" w:after="0" w:line="240" w:lineRule="auto"/>
        <w:ind w:left="400"/>
      </w:pPr>
      <w:r>
        <w:rPr>
          <w:rFonts w:ascii="Courier New" w:hAnsi="Courier New" w:cs="Courier New"/>
          <w:sz w:val="19"/>
        </w:rPr>
        <w:t xml:space="preserve">          &lt;/div&gt;</w:t>
      </w:r>
    </w:p>
    <w:p>
      <w:pPr>
        <w:spacing w:before="0" w:after="0" w:line="240" w:lineRule="auto"/>
        <w:ind w:left="400"/>
      </w:pPr>
      <w:r>
        <w:rPr>
          <w:rFonts w:ascii="Courier New" w:hAnsi="Courier New" w:cs="Courier New"/>
          <w:sz w:val="19"/>
        </w:rPr>
        <w:t xml:space="preserve">        ) : (</w:t>
      </w:r>
    </w:p>
    <w:p>
      <w:pPr>
        <w:spacing w:before="0" w:after="0" w:line="240" w:lineRule="auto"/>
        <w:ind w:left="400"/>
      </w:pPr>
      <w:r>
        <w:rPr>
          <w:rFonts w:ascii="Courier New" w:hAnsi="Courier New" w:cs="Courier New"/>
          <w:sz w:val="19"/>
        </w:rPr>
        <w:t xml:space="preserve">          &lt;div className="grid grid-cols-1 lg:grid-cols-2 xl:grid-cols-3 gap-4"&gt;</w:t>
      </w:r>
    </w:p>
    <w:p>
      <w:pPr>
        <w:spacing w:before="0" w:after="0" w:line="240" w:lineRule="auto"/>
        <w:ind w:left="400"/>
      </w:pPr>
      <w:r>
        <w:rPr>
          <w:rFonts w:ascii="Courier New" w:hAnsi="Courier New" w:cs="Courier New"/>
          <w:sz w:val="19"/>
        </w:rPr>
        <w:t xml:space="preserve">            {data?.map(listing =&gt; (</w:t>
      </w:r>
    </w:p>
    <w:p>
      <w:pPr>
        <w:spacing w:before="0" w:after="0" w:line="240" w:lineRule="auto"/>
        <w:ind w:left="400"/>
      </w:pPr>
      <w:r>
        <w:rPr>
          <w:rFonts w:ascii="Courier New" w:hAnsi="Courier New" w:cs="Courier New"/>
          <w:sz w:val="19"/>
        </w:rPr>
        <w:t xml:space="preserve">              &lt;ListingCard key={listing.id} data={listing} /&gt;</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&lt;/div&gt;</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&lt;/main&gt;</w:t>
      </w:r>
    </w:p>
    <w:p>
      <w:pPr>
        <w:spacing w:before="0" w:after="0" w:line="240" w:lineRule="auto"/>
        <w:ind w:left="400"/>
      </w:pPr>
      <w:r>
        <w:rPr>
          <w:rFonts w:ascii="Courier New" w:hAnsi="Courier New" w:cs="Courier New"/>
          <w:sz w:val="19"/>
        </w:rPr>
        <w:t xml:space="preserve">    &lt;/div&gt;</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export default MarketGrid;</w:t>
      </w:r>
    </w:p>
    <w:p>
      <w:pPr>
        <w:spacing w:before="120"/>
      </w:pPr>
    </w:p>
    <w:p>
      <w:pPr>
        <w:pStyle w:val="Heading3"/>
        <w:keepNext/>
        <w:keepLines/>
        <w:spacing w:before="200" w:after="0" w:line="360" w:lineRule="auto"/>
        <w:jc w:val="both"/>
      </w:pPr>
      <w:r>
        <w:rPr>
          <w:rFonts w:ascii="UT Sans" w:hAnsi="UT Sans" w:cs="UT Sans"/>
          <w:b/>
          <w:i w:val="0"/>
          <w:sz w:val="22"/>
        </w:rPr>
        <w:t>4.9.4 Serviciul de Căutare Avansată (ListingService)</w:t>
      </w:r>
    </w:p>
    <w:p>
      <w:pPr>
        <w:spacing w:line="360" w:lineRule="auto"/>
        <w:jc w:val="both"/>
      </w:pPr>
      <w:r>
        <w:rPr>
          <w:rFonts w:ascii="UT Sans" w:hAnsi="UT Sans" w:cs="UT Sans"/>
          <w:b w:val="0"/>
          <w:i w:val="0"/>
          <w:sz w:val="24"/>
        </w:rPr>
        <w:t>Implementarea backend a serviciului de tranzacționare gestionează interogările complexe JSONB cu indecși GIN. Mai jos este prezentată implementarea completă a metodei de căutare care suportă filtrare multi-criteriu și sortare dinamică:</w:t>
      </w:r>
    </w:p>
    <w:p>
      <w:pPr>
        <w:spacing w:after="40"/>
      </w:pPr>
    </w:p>
    <w:p>
      <w:pPr>
        <w:spacing w:before="0" w:after="0" w:line="240" w:lineRule="auto"/>
        <w:ind w:left="400"/>
      </w:pPr>
      <w:r>
        <w:rPr>
          <w:rFonts w:ascii="Courier New" w:hAnsi="Courier New" w:cs="Courier New"/>
          <w:sz w:val="19"/>
        </w:rPr>
        <w:t>import { Injectable } from '@nestjs/common';</w:t>
      </w:r>
    </w:p>
    <w:p>
      <w:pPr>
        <w:spacing w:before="0" w:after="0" w:line="240" w:lineRule="auto"/>
        <w:ind w:left="400"/>
      </w:pPr>
      <w:r>
        <w:rPr>
          <w:rFonts w:ascii="Courier New" w:hAnsi="Courier New" w:cs="Courier New"/>
          <w:sz w:val="19"/>
        </w:rPr>
        <w:t>import { InjectRepository } from '@nestjs/typeorm';</w:t>
      </w:r>
    </w:p>
    <w:p>
      <w:pPr>
        <w:spacing w:before="0" w:after="0" w:line="240" w:lineRule="auto"/>
        <w:ind w:left="400"/>
      </w:pPr>
      <w:r>
        <w:rPr>
          <w:rFonts w:ascii="Courier New" w:hAnsi="Courier New" w:cs="Courier New"/>
          <w:sz w:val="19"/>
        </w:rPr>
        <w:t>import { Repository, SelectQueryBuilder } from 'typeorm';</w:t>
      </w:r>
    </w:p>
    <w:p>
      <w:pPr>
        <w:spacing w:before="0" w:after="0" w:line="240" w:lineRule="auto"/>
        <w:ind w:left="400"/>
      </w:pPr>
      <w:r>
        <w:rPr>
          <w:rFonts w:ascii="Courier New" w:hAnsi="Courier New" w:cs="Courier New"/>
          <w:sz w:val="19"/>
        </w:rPr>
        <w:t>import { ListingEntity } from '../entities/listing.entity';</w:t>
      </w:r>
    </w:p>
    <w:p>
      <w:pPr>
        <w:spacing w:before="0" w:after="0" w:line="240" w:lineRule="auto"/>
        <w:ind w:left="400"/>
      </w:pPr>
      <w:r>
        <w:rPr>
          <w:rFonts w:ascii="Courier New" w:hAnsi="Courier New" w:cs="Courier New"/>
          <w:sz w:val="19"/>
        </w:rPr>
        <w:t>import { SearchListingsDto } from '../dto/search-listings.dto';</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@Injectable()</w:t>
      </w:r>
    </w:p>
    <w:p>
      <w:pPr>
        <w:spacing w:before="0" w:after="0" w:line="240" w:lineRule="auto"/>
        <w:ind w:left="400"/>
      </w:pPr>
      <w:r>
        <w:rPr>
          <w:rFonts w:ascii="Courier New" w:hAnsi="Courier New" w:cs="Courier New"/>
          <w:sz w:val="19"/>
        </w:rPr>
        <w:t>export class ListingService {</w:t>
      </w:r>
    </w:p>
    <w:p>
      <w:pPr>
        <w:spacing w:before="0" w:after="0" w:line="240" w:lineRule="auto"/>
        <w:ind w:left="400"/>
      </w:pPr>
      <w:r>
        <w:rPr>
          <w:rFonts w:ascii="Courier New" w:hAnsi="Courier New" w:cs="Courier New"/>
          <w:sz w:val="19"/>
        </w:rPr>
        <w:t xml:space="preserve">  constructor(</w:t>
      </w:r>
    </w:p>
    <w:p>
      <w:pPr>
        <w:spacing w:before="0" w:after="0" w:line="240" w:lineRule="auto"/>
        <w:ind w:left="400"/>
      </w:pPr>
      <w:r>
        <w:rPr>
          <w:rFonts w:ascii="Courier New" w:hAnsi="Courier New" w:cs="Courier New"/>
          <w:sz w:val="19"/>
        </w:rPr>
        <w:t xml:space="preserve">    @InjectRepository(ListingEntity)</w:t>
      </w:r>
    </w:p>
    <w:p>
      <w:pPr>
        <w:spacing w:before="0" w:after="0" w:line="240" w:lineRule="auto"/>
        <w:ind w:left="400"/>
      </w:pPr>
      <w:r>
        <w:rPr>
          <w:rFonts w:ascii="Courier New" w:hAnsi="Courier New" w:cs="Courier New"/>
          <w:sz w:val="19"/>
        </w:rPr>
        <w:t xml:space="preserve">    private listingRepo: Repository&lt;ListingEntity&gt;</w:t>
      </w:r>
    </w:p>
    <w:p>
      <w:pPr>
        <w:spacing w:before="0" w:after="0" w:line="240" w:lineRule="auto"/>
        <w:ind w:left="400"/>
      </w:pPr>
      <w:r>
        <w:rPr>
          <w:rFonts w:ascii="Courier New" w:hAnsi="Courier New" w:cs="Courier New"/>
          <w:sz w:val="19"/>
        </w:rPr>
        <w:t xml:space="preserve">  ) {}</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async searchMarket(query: SearchListingsDto): Promise&lt;ListingEntity[]&gt; {</w:t>
      </w:r>
    </w:p>
    <w:p>
      <w:pPr>
        <w:spacing w:before="0" w:after="0" w:line="240" w:lineRule="auto"/>
        <w:ind w:left="400"/>
      </w:pPr>
      <w:r>
        <w:rPr>
          <w:rFonts w:ascii="Courier New" w:hAnsi="Courier New" w:cs="Courier New"/>
          <w:sz w:val="19"/>
        </w:rPr>
        <w:t xml:space="preserve">    const qb = this.listingRepo.createQueryBuilder('listing')</w:t>
      </w:r>
    </w:p>
    <w:p>
      <w:pPr>
        <w:spacing w:before="0" w:after="0" w:line="240" w:lineRule="auto"/>
        <w:ind w:left="400"/>
      </w:pPr>
      <w:r>
        <w:rPr>
          <w:rFonts w:ascii="Courier New" w:hAnsi="Courier New" w:cs="Courier New"/>
          <w:sz w:val="19"/>
        </w:rPr>
        <w:t xml:space="preserve">      .leftJoinAndSelect('listing.seller', 'seller')</w:t>
      </w:r>
    </w:p>
    <w:p>
      <w:pPr>
        <w:spacing w:before="0" w:after="0" w:line="240" w:lineRule="auto"/>
        <w:ind w:left="400"/>
      </w:pPr>
      <w:r>
        <w:rPr>
          <w:rFonts w:ascii="Courier New" w:hAnsi="Courier New" w:cs="Courier New"/>
          <w:sz w:val="19"/>
        </w:rPr>
        <w:t xml:space="preserve">      .where('listing.status = :status', { status: 'ACTIVE' });</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if (query.category) {</w:t>
      </w:r>
    </w:p>
    <w:p>
      <w:pPr>
        <w:spacing w:before="0" w:after="0" w:line="240" w:lineRule="auto"/>
        <w:ind w:left="400"/>
      </w:pPr>
      <w:r>
        <w:rPr>
          <w:rFonts w:ascii="Courier New" w:hAnsi="Courier New" w:cs="Courier New"/>
          <w:sz w:val="19"/>
        </w:rPr>
        <w:t xml:space="preserve">      qb.andWhere('listing.category = :cat', { cat: query.category });</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if (query.minQuantity) {</w:t>
      </w:r>
    </w:p>
    <w:p>
      <w:pPr>
        <w:spacing w:before="0" w:after="0" w:line="240" w:lineRule="auto"/>
        <w:ind w:left="400"/>
      </w:pPr>
      <w:r>
        <w:rPr>
          <w:rFonts w:ascii="Courier New" w:hAnsi="Courier New" w:cs="Courier New"/>
          <w:sz w:val="19"/>
        </w:rPr>
        <w:t xml:space="preserve">      qb.andWhere('listing.quantity_mt &gt;= :minQty', { minQty: query.minQuantity });</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 Filtrare dinamică pe JSONB pentru parametri de calitate</w:t>
      </w:r>
    </w:p>
    <w:p>
      <w:pPr>
        <w:spacing w:before="0" w:after="0" w:line="240" w:lineRule="auto"/>
        <w:ind w:left="400"/>
      </w:pPr>
      <w:r>
        <w:rPr>
          <w:rFonts w:ascii="Courier New" w:hAnsi="Courier New" w:cs="Courier New"/>
          <w:sz w:val="19"/>
        </w:rPr>
        <w:t xml:space="preserve">    if (query.qualityFilters) {</w:t>
      </w:r>
    </w:p>
    <w:p>
      <w:pPr>
        <w:spacing w:before="0" w:after="0" w:line="240" w:lineRule="auto"/>
        <w:ind w:left="400"/>
      </w:pPr>
      <w:r>
        <w:rPr>
          <w:rFonts w:ascii="Courier New" w:hAnsi="Courier New" w:cs="Courier New"/>
          <w:sz w:val="19"/>
        </w:rPr>
        <w:t xml:space="preserve">      for (const [key, value] of Object.entries(query.qualityFilters)) {</w:t>
      </w:r>
    </w:p>
    <w:p>
      <w:pPr>
        <w:spacing w:before="0" w:after="0" w:line="240" w:lineRule="auto"/>
        <w:ind w:left="400"/>
      </w:pPr>
      <w:r>
        <w:rPr>
          <w:rFonts w:ascii="Courier New" w:hAnsi="Courier New" w:cs="Courier New"/>
          <w:sz w:val="19"/>
        </w:rPr>
        <w:t xml:space="preserve">        if (value.min !== undefined) {</w:t>
      </w:r>
    </w:p>
    <w:p>
      <w:pPr>
        <w:spacing w:before="0" w:after="0" w:line="240" w:lineRule="auto"/>
        <w:ind w:left="400"/>
      </w:pPr>
      <w:r>
        <w:rPr>
          <w:rFonts w:ascii="Courier New" w:hAnsi="Courier New" w:cs="Courier New"/>
          <w:sz w:val="19"/>
        </w:rPr>
        <w:t xml:space="preserve">          qb.andWhere(`CAST(listing.quality_attributes-&gt;&gt;:key AS FLOAT) &gt;= :minVal`, {</w:t>
      </w:r>
    </w:p>
    <w:p>
      <w:pPr>
        <w:spacing w:before="0" w:after="0" w:line="240" w:lineRule="auto"/>
        <w:ind w:left="400"/>
      </w:pPr>
      <w:r>
        <w:rPr>
          <w:rFonts w:ascii="Courier New" w:hAnsi="Courier New" w:cs="Courier New"/>
          <w:sz w:val="19"/>
        </w:rPr>
        <w:t xml:space="preserve">            key, minVal: value.min</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if (value.max !== undefined) {</w:t>
      </w:r>
    </w:p>
    <w:p>
      <w:pPr>
        <w:spacing w:before="0" w:after="0" w:line="240" w:lineRule="auto"/>
        <w:ind w:left="400"/>
      </w:pPr>
      <w:r>
        <w:rPr>
          <w:rFonts w:ascii="Courier New" w:hAnsi="Courier New" w:cs="Courier New"/>
          <w:sz w:val="19"/>
        </w:rPr>
        <w:t xml:space="preserve">          qb.andWhere(`CAST(listing.quality_attributes-&gt;&gt;:key AS FLOAT) &lt;= :maxVal`, {</w:t>
      </w:r>
    </w:p>
    <w:p>
      <w:pPr>
        <w:spacing w:before="0" w:after="0" w:line="240" w:lineRule="auto"/>
        <w:ind w:left="400"/>
      </w:pPr>
      <w:r>
        <w:rPr>
          <w:rFonts w:ascii="Courier New" w:hAnsi="Courier New" w:cs="Courier New"/>
          <w:sz w:val="19"/>
        </w:rPr>
        <w:t xml:space="preserve">            key, maxVal: value.max</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if (value.exact !== undefined) {</w:t>
      </w:r>
    </w:p>
    <w:p>
      <w:pPr>
        <w:spacing w:before="0" w:after="0" w:line="240" w:lineRule="auto"/>
        <w:ind w:left="400"/>
      </w:pPr>
      <w:r>
        <w:rPr>
          <w:rFonts w:ascii="Courier New" w:hAnsi="Courier New" w:cs="Courier New"/>
          <w:sz w:val="19"/>
        </w:rPr>
        <w:t xml:space="preserve">          // Utilizăm operatorul de containment @&gt; pentru performanță cu GIN jsonb_path_ops</w:t>
      </w:r>
    </w:p>
    <w:p>
      <w:pPr>
        <w:spacing w:before="0" w:after="0" w:line="240" w:lineRule="auto"/>
        <w:ind w:left="400"/>
      </w:pPr>
      <w:r>
        <w:rPr>
          <w:rFonts w:ascii="Courier New" w:hAnsi="Courier New" w:cs="Courier New"/>
          <w:sz w:val="19"/>
        </w:rPr>
        <w:t xml:space="preserve">          qb.andWhere(`listing.quality_attributes @&gt; :jsonFilter`, {</w:t>
      </w:r>
    </w:p>
    <w:p>
      <w:pPr>
        <w:spacing w:before="0" w:after="0" w:line="240" w:lineRule="auto"/>
        <w:ind w:left="400"/>
      </w:pPr>
      <w:r>
        <w:rPr>
          <w:rFonts w:ascii="Courier New" w:hAnsi="Courier New" w:cs="Courier New"/>
          <w:sz w:val="19"/>
        </w:rPr>
        <w:t xml:space="preserve">            jsonFilter: { [key]: value.exact }</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 Paginare</w:t>
      </w:r>
    </w:p>
    <w:p>
      <w:pPr>
        <w:spacing w:before="0" w:after="0" w:line="240" w:lineRule="auto"/>
        <w:ind w:left="400"/>
      </w:pPr>
      <w:r>
        <w:rPr>
          <w:rFonts w:ascii="Courier New" w:hAnsi="Courier New" w:cs="Courier New"/>
          <w:sz w:val="19"/>
        </w:rPr>
        <w:t xml:space="preserve">    const page = query.page || 1;</w:t>
      </w:r>
    </w:p>
    <w:p>
      <w:pPr>
        <w:spacing w:before="0" w:after="0" w:line="240" w:lineRule="auto"/>
        <w:ind w:left="400"/>
      </w:pPr>
      <w:r>
        <w:rPr>
          <w:rFonts w:ascii="Courier New" w:hAnsi="Courier New" w:cs="Courier New"/>
          <w:sz w:val="19"/>
        </w:rPr>
        <w:t xml:space="preserve">    const limit = query.limit || 20;</w:t>
      </w:r>
    </w:p>
    <w:p>
      <w:pPr>
        <w:spacing w:before="0" w:after="0" w:line="240" w:lineRule="auto"/>
        <w:ind w:left="400"/>
      </w:pPr>
      <w:r>
        <w:rPr>
          <w:rFonts w:ascii="Courier New" w:hAnsi="Courier New" w:cs="Courier New"/>
          <w:sz w:val="19"/>
        </w:rPr>
        <w:t xml:space="preserve">    qb.skip((page - 1) * limit).take(limit);</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 Sortare dinamică</w:t>
      </w:r>
    </w:p>
    <w:p>
      <w:pPr>
        <w:spacing w:before="0" w:after="0" w:line="240" w:lineRule="auto"/>
        <w:ind w:left="400"/>
      </w:pPr>
      <w:r>
        <w:rPr>
          <w:rFonts w:ascii="Courier New" w:hAnsi="Courier New" w:cs="Courier New"/>
          <w:sz w:val="19"/>
        </w:rPr>
        <w:t xml:space="preserve">    if (query.sortBy) {</w:t>
      </w:r>
    </w:p>
    <w:p>
      <w:pPr>
        <w:spacing w:before="0" w:after="0" w:line="240" w:lineRule="auto"/>
        <w:ind w:left="400"/>
      </w:pPr>
      <w:r>
        <w:rPr>
          <w:rFonts w:ascii="Courier New" w:hAnsi="Courier New" w:cs="Courier New"/>
          <w:sz w:val="19"/>
        </w:rPr>
        <w:t xml:space="preserve">      const order = query.sortOrder || 'DESC';</w:t>
      </w:r>
    </w:p>
    <w:p>
      <w:pPr>
        <w:spacing w:before="0" w:after="0" w:line="240" w:lineRule="auto"/>
        <w:ind w:left="400"/>
      </w:pPr>
      <w:r>
        <w:rPr>
          <w:rFonts w:ascii="Courier New" w:hAnsi="Courier New" w:cs="Courier New"/>
          <w:sz w:val="19"/>
        </w:rPr>
        <w:t xml:space="preserve">      qb.orderBy(`listing.${query.sortBy}`, order);</w:t>
      </w:r>
    </w:p>
    <w:p>
      <w:pPr>
        <w:spacing w:before="0" w:after="0" w:line="240" w:lineRule="auto"/>
        <w:ind w:left="400"/>
      </w:pPr>
      <w:r>
        <w:rPr>
          <w:rFonts w:ascii="Courier New" w:hAnsi="Courier New" w:cs="Courier New"/>
          <w:sz w:val="19"/>
        </w:rPr>
        <w:t xml:space="preserve">    } else {</w:t>
      </w:r>
    </w:p>
    <w:p>
      <w:pPr>
        <w:spacing w:before="0" w:after="0" w:line="240" w:lineRule="auto"/>
        <w:ind w:left="400"/>
      </w:pPr>
      <w:r>
        <w:rPr>
          <w:rFonts w:ascii="Courier New" w:hAnsi="Courier New" w:cs="Courier New"/>
          <w:sz w:val="19"/>
        </w:rPr>
        <w:t xml:space="preserve">      qb.orderBy('listing.created_at', 'DESC');</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return await qb.getMany();</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w:t>
      </w:r>
    </w:p>
    <w:p>
      <w:pPr>
        <w:spacing w:before="120"/>
      </w:pPr>
    </w:p>
    <w:p>
      <w:pPr>
        <w:pStyle w:val="Heading3"/>
        <w:keepNext/>
        <w:keepLines/>
        <w:spacing w:before="200" w:after="0" w:line="360" w:lineRule="auto"/>
        <w:jc w:val="both"/>
      </w:pPr>
      <w:r>
        <w:rPr>
          <w:rFonts w:ascii="UT Sans" w:hAnsi="UT Sans" w:cs="UT Sans"/>
          <w:b/>
          <w:i w:val="0"/>
          <w:sz w:val="22"/>
        </w:rPr>
        <w:t>4.9.5 Testare E2E pentru Modulele Fiscale</w:t>
      </w:r>
    </w:p>
    <w:p>
      <w:pPr>
        <w:spacing w:line="360" w:lineRule="auto"/>
        <w:jc w:val="both"/>
      </w:pPr>
      <w:r>
        <w:rPr>
          <w:rFonts w:ascii="UT Sans" w:hAnsi="UT Sans" w:cs="UT Sans"/>
          <w:b w:val="0"/>
          <w:i w:val="0"/>
          <w:sz w:val="24"/>
        </w:rPr>
        <w:t>Validarea corectitudinii sistemului fiscal (Art. 331 taxare inversă) se face prin teste End-to-End extinse folosind framework-ul Jest încorporat în NestJS:</w:t>
      </w:r>
    </w:p>
    <w:p>
      <w:pPr>
        <w:spacing w:after="40"/>
      </w:pPr>
    </w:p>
    <w:p>
      <w:pPr>
        <w:spacing w:before="0" w:after="0" w:line="240" w:lineRule="auto"/>
        <w:ind w:left="400"/>
      </w:pPr>
      <w:r>
        <w:rPr>
          <w:rFonts w:ascii="Courier New" w:hAnsi="Courier New" w:cs="Courier New"/>
          <w:sz w:val="19"/>
        </w:rPr>
        <w:t>import { Test, TestingModule } from '@nestjs/testing';</w:t>
      </w:r>
    </w:p>
    <w:p>
      <w:pPr>
        <w:spacing w:before="0" w:after="0" w:line="240" w:lineRule="auto"/>
        <w:ind w:left="400"/>
      </w:pPr>
      <w:r>
        <w:rPr>
          <w:rFonts w:ascii="Courier New" w:hAnsi="Courier New" w:cs="Courier New"/>
          <w:sz w:val="19"/>
        </w:rPr>
        <w:t>import { INestApplication } from '@nestjs/common';</w:t>
      </w:r>
    </w:p>
    <w:p>
      <w:pPr>
        <w:spacing w:before="0" w:after="0" w:line="240" w:lineRule="auto"/>
        <w:ind w:left="400"/>
      </w:pPr>
      <w:r>
        <w:rPr>
          <w:rFonts w:ascii="Courier New" w:hAnsi="Courier New" w:cs="Courier New"/>
          <w:sz w:val="19"/>
        </w:rPr>
        <w:t>import * as request from 'supertest';</w:t>
      </w:r>
    </w:p>
    <w:p>
      <w:pPr>
        <w:spacing w:before="0" w:after="0" w:line="240" w:lineRule="auto"/>
        <w:ind w:left="400"/>
      </w:pPr>
      <w:r>
        <w:rPr>
          <w:rFonts w:ascii="Courier New" w:hAnsi="Courier New" w:cs="Courier New"/>
          <w:sz w:val="19"/>
        </w:rPr>
        <w:t>import { AppModule } from '../src/app.module';</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describe('Financial Module (e2e)', () =&gt; {</w:t>
      </w:r>
    </w:p>
    <w:p>
      <w:pPr>
        <w:spacing w:before="0" w:after="0" w:line="240" w:lineRule="auto"/>
        <w:ind w:left="400"/>
      </w:pPr>
      <w:r>
        <w:rPr>
          <w:rFonts w:ascii="Courier New" w:hAnsi="Courier New" w:cs="Courier New"/>
          <w:sz w:val="19"/>
        </w:rPr>
        <w:t xml:space="preserve">  let app: INestApplication;</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beforeAll(async () =&gt; {</w:t>
      </w:r>
    </w:p>
    <w:p>
      <w:pPr>
        <w:spacing w:before="0" w:after="0" w:line="240" w:lineRule="auto"/>
        <w:ind w:left="400"/>
      </w:pPr>
      <w:r>
        <w:rPr>
          <w:rFonts w:ascii="Courier New" w:hAnsi="Courier New" w:cs="Courier New"/>
          <w:sz w:val="19"/>
        </w:rPr>
        <w:t xml:space="preserve">    const moduleFixture: TestingModule = await Test.createTestingModule({</w:t>
      </w:r>
    </w:p>
    <w:p>
      <w:pPr>
        <w:spacing w:before="0" w:after="0" w:line="240" w:lineRule="auto"/>
        <w:ind w:left="400"/>
      </w:pPr>
      <w:r>
        <w:rPr>
          <w:rFonts w:ascii="Courier New" w:hAnsi="Courier New" w:cs="Courier New"/>
          <w:sz w:val="19"/>
        </w:rPr>
        <w:t xml:space="preserve">      imports: [AppModule],</w:t>
      </w:r>
    </w:p>
    <w:p>
      <w:pPr>
        <w:spacing w:before="0" w:after="0" w:line="240" w:lineRule="auto"/>
        <w:ind w:left="400"/>
      </w:pPr>
      <w:r>
        <w:rPr>
          <w:rFonts w:ascii="Courier New" w:hAnsi="Courier New" w:cs="Courier New"/>
          <w:sz w:val="19"/>
        </w:rPr>
        <w:t xml:space="preserve">    }).compile();</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app = moduleFixture.createNestApplication();</w:t>
      </w:r>
    </w:p>
    <w:p>
      <w:pPr>
        <w:spacing w:before="0" w:after="0" w:line="240" w:lineRule="auto"/>
        <w:ind w:left="400"/>
      </w:pPr>
      <w:r>
        <w:rPr>
          <w:rFonts w:ascii="Courier New" w:hAnsi="Courier New" w:cs="Courier New"/>
          <w:sz w:val="19"/>
        </w:rPr>
        <w:t xml:space="preserve">    await app.init();</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afterAll(async () =&gt; {</w:t>
      </w:r>
    </w:p>
    <w:p>
      <w:pPr>
        <w:spacing w:before="0" w:after="0" w:line="240" w:lineRule="auto"/>
        <w:ind w:left="400"/>
      </w:pPr>
      <w:r>
        <w:rPr>
          <w:rFonts w:ascii="Courier New" w:hAnsi="Courier New" w:cs="Courier New"/>
          <w:sz w:val="19"/>
        </w:rPr>
        <w:t xml:space="preserve">    await app.close();</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it('/forward-contracts/:id/invoice (GET) - Taxare Inversă', async () =&gt; {</w:t>
      </w:r>
    </w:p>
    <w:p>
      <w:pPr>
        <w:spacing w:before="0" w:after="0" w:line="240" w:lineRule="auto"/>
        <w:ind w:left="400"/>
      </w:pPr>
      <w:r>
        <w:rPr>
          <w:rFonts w:ascii="Courier New" w:hAnsi="Courier New" w:cs="Courier New"/>
          <w:sz w:val="19"/>
        </w:rPr>
        <w:t xml:space="preserve">    const contractId = 'c1a2-3f4b-5c6d';</w:t>
      </w:r>
    </w:p>
    <w:p>
      <w:pPr>
        <w:spacing w:before="0" w:after="0" w:line="240" w:lineRule="auto"/>
        <w:ind w:left="400"/>
      </w:pPr>
      <w:r>
        <w:rPr>
          <w:rFonts w:ascii="Courier New" w:hAnsi="Courier New" w:cs="Courier New"/>
          <w:sz w:val="19"/>
        </w:rPr>
        <w:t xml:space="preserve">    const response = await request(app.getHttpServer())</w:t>
      </w:r>
    </w:p>
    <w:p>
      <w:pPr>
        <w:spacing w:before="0" w:after="0" w:line="240" w:lineRule="auto"/>
        <w:ind w:left="400"/>
      </w:pPr>
      <w:r>
        <w:rPr>
          <w:rFonts w:ascii="Courier New" w:hAnsi="Courier New" w:cs="Courier New"/>
          <w:sz w:val="19"/>
        </w:rPr>
        <w:t xml:space="preserve">      .get(`/forward-contracts/${contractId}/invoice`)</w:t>
      </w:r>
    </w:p>
    <w:p>
      <w:pPr>
        <w:spacing w:before="0" w:after="0" w:line="240" w:lineRule="auto"/>
        <w:ind w:left="400"/>
      </w:pPr>
      <w:r>
        <w:rPr>
          <w:rFonts w:ascii="Courier New" w:hAnsi="Courier New" w:cs="Courier New"/>
          <w:sz w:val="19"/>
        </w:rPr>
        <w:t xml:space="preserve">      .set('Authorization', `Bearer ${global.mockAdminToken}`);</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expect(response.status).toBe(200);</w:t>
      </w:r>
    </w:p>
    <w:p>
      <w:pPr>
        <w:spacing w:before="0" w:after="0" w:line="240" w:lineRule="auto"/>
        <w:ind w:left="400"/>
      </w:pPr>
      <w:r>
        <w:rPr>
          <w:rFonts w:ascii="Courier New" w:hAnsi="Courier New" w:cs="Courier New"/>
          <w:sz w:val="19"/>
        </w:rPr>
        <w:t xml:space="preserve">    expect(response.body).toHaveProperty('invoiceNumber');</w:t>
      </w:r>
    </w:p>
    <w:p>
      <w:pPr>
        <w:spacing w:before="0" w:after="0" w:line="240" w:lineRule="auto"/>
        <w:ind w:left="400"/>
      </w:pPr>
      <w:r>
        <w:rPr>
          <w:rFonts w:ascii="Courier New" w:hAnsi="Courier New" w:cs="Courier New"/>
          <w:sz w:val="19"/>
        </w:rPr>
        <w:t xml:space="preserve">    expect(response.body.taxRate).toBe(0);</w:t>
      </w:r>
    </w:p>
    <w:p>
      <w:pPr>
        <w:spacing w:before="0" w:after="0" w:line="240" w:lineRule="auto"/>
        <w:ind w:left="400"/>
      </w:pPr>
      <w:r>
        <w:rPr>
          <w:rFonts w:ascii="Courier New" w:hAnsi="Courier New" w:cs="Courier New"/>
          <w:sz w:val="19"/>
        </w:rPr>
        <w:t xml:space="preserve">    expect(response.body.notes).toContain('Taxare inversă conform Art. 331 Cod Fiscal');</w:t>
      </w:r>
    </w:p>
    <w:p>
      <w:pPr>
        <w:spacing w:before="0" w:after="0" w:line="240" w:lineRule="auto"/>
        <w:ind w:left="400"/>
      </w:pPr>
      <w:r>
        <w:rPr>
          <w:rFonts w:ascii="Courier New" w:hAnsi="Courier New" w:cs="Courier New"/>
          <w:sz w:val="19"/>
        </w:rPr>
        <w:t xml:space="preserve">    expect(response.body.totalAmount).toBe(response.body.subtotal); // TVA 0</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it('/dac7/generate (POST) - Raport Trimestrial F7000', async () =&gt; {</w:t>
      </w:r>
    </w:p>
    <w:p>
      <w:pPr>
        <w:spacing w:before="0" w:after="0" w:line="240" w:lineRule="auto"/>
        <w:ind w:left="400"/>
      </w:pPr>
      <w:r>
        <w:rPr>
          <w:rFonts w:ascii="Courier New" w:hAnsi="Courier New" w:cs="Courier New"/>
          <w:sz w:val="19"/>
        </w:rPr>
        <w:t xml:space="preserve">    const payload = { year: 2026, quarter: 1 };</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 xml:space="preserve">    const response = await request(app.getHttpServer())</w:t>
      </w:r>
    </w:p>
    <w:p>
      <w:pPr>
        <w:spacing w:before="0" w:after="0" w:line="240" w:lineRule="auto"/>
        <w:ind w:left="400"/>
      </w:pPr>
      <w:r>
        <w:rPr>
          <w:rFonts w:ascii="Courier New" w:hAnsi="Courier New" w:cs="Courier New"/>
          <w:sz w:val="19"/>
        </w:rPr>
        <w:t xml:space="preserve">      .post('/dac7/generate')</w:t>
      </w:r>
    </w:p>
    <w:p>
      <w:pPr>
        <w:spacing w:before="0" w:after="0" w:line="240" w:lineRule="auto"/>
        <w:ind w:left="400"/>
      </w:pPr>
      <w:r>
        <w:rPr>
          <w:rFonts w:ascii="Courier New" w:hAnsi="Courier New" w:cs="Courier New"/>
          <w:sz w:val="19"/>
        </w:rPr>
        <w:t xml:space="preserve">      .set('Authorization', `Bearer ${global.mockAdminToken}`)</w:t>
      </w:r>
    </w:p>
    <w:p>
      <w:pPr>
        <w:spacing w:before="0" w:after="0" w:line="240" w:lineRule="auto"/>
        <w:ind w:left="400"/>
      </w:pPr>
      <w:r>
        <w:rPr>
          <w:rFonts w:ascii="Courier New" w:hAnsi="Courier New" w:cs="Courier New"/>
          <w:sz w:val="19"/>
        </w:rPr>
        <w:t xml:space="preserve">      .send(payload);</w:t>
      </w:r>
    </w:p>
    <w:p>
      <w:pPr>
        <w:spacing w:before="0" w:after="0" w:line="240" w:lineRule="auto"/>
        <w:ind w:left="400"/>
      </w:pPr>
      <w:r>
        <w:rPr>
          <w:rFonts w:ascii="Courier New" w:hAnsi="Courier New" w:cs="Courier New"/>
          <w:sz w:val="19"/>
        </w:rPr>
      </w:r>
    </w:p>
    <w:p>
      <w:pPr>
        <w:spacing w:before="0" w:after="0" w:line="240" w:lineRule="auto"/>
        <w:ind w:left="400"/>
      </w:pPr>
      <w:r>
        <w:rPr>
          <w:rFonts w:ascii="Courier New" w:hAnsi="Courier New" w:cs="Courier New"/>
          <w:sz w:val="19"/>
        </w:rPr>
        <w:t xml:space="preserve">    expect(response.status).toBe(201);</w:t>
      </w:r>
    </w:p>
    <w:p>
      <w:pPr>
        <w:spacing w:before="0" w:after="0" w:line="240" w:lineRule="auto"/>
        <w:ind w:left="400"/>
      </w:pPr>
      <w:r>
        <w:rPr>
          <w:rFonts w:ascii="Courier New" w:hAnsi="Courier New" w:cs="Courier New"/>
          <w:sz w:val="19"/>
        </w:rPr>
        <w:t xml:space="preserve">    expect(response.body.reportUrl).toContain('f7000');</w:t>
      </w:r>
    </w:p>
    <w:p>
      <w:pPr>
        <w:spacing w:before="0" w:after="0" w:line="240" w:lineRule="auto"/>
        <w:ind w:left="400"/>
      </w:pPr>
      <w:r>
        <w:rPr>
          <w:rFonts w:ascii="Courier New" w:hAnsi="Courier New" w:cs="Courier New"/>
          <w:sz w:val="19"/>
        </w:rPr>
        <w:t xml:space="preserve">    expect(response.body.metadata.totalSellersReported).toBeGreaterThan(0);</w:t>
      </w:r>
    </w:p>
    <w:p>
      <w:pPr>
        <w:spacing w:before="0" w:after="0" w:line="240" w:lineRule="auto"/>
        <w:ind w:left="400"/>
      </w:pPr>
      <w:r>
        <w:rPr>
          <w:rFonts w:ascii="Courier New" w:hAnsi="Courier New" w:cs="Courier New"/>
          <w:sz w:val="19"/>
        </w:rPr>
        <w:t xml:space="preserve">  });</w:t>
      </w:r>
    </w:p>
    <w:p>
      <w:pPr>
        <w:spacing w:before="0" w:after="0" w:line="240" w:lineRule="auto"/>
        <w:ind w:left="400"/>
      </w:pPr>
      <w:r>
        <w:rPr>
          <w:rFonts w:ascii="Courier New" w:hAnsi="Courier New" w:cs="Courier New"/>
          <w:sz w:val="19"/>
        </w:rPr>
        <w:t>});</w:t>
      </w:r>
    </w:p>
    <w:p>
      <w:pPr>
        <w:spacing w:before="120"/>
      </w:pPr>
    </w:p>
    <w:p>
      <w:r>
        <w:br w:type="page"/>
      </w:r>
    </w:p>
    <w:p>
      <w:pPr>
        <w:pStyle w:val="Heading1"/>
        <w:keepNext/>
        <w:keepLines/>
        <w:spacing w:before="360" w:after="160" w:line="360" w:lineRule="auto"/>
        <w:jc w:val="both"/>
      </w:pPr>
      <w:r>
        <w:rPr>
          <w:rFonts w:ascii="UT Sans" w:hAnsi="UT Sans" w:cs="UT Sans"/>
          <w:b/>
          <w:i w:val="0"/>
          <w:sz w:val="36"/>
        </w:rPr>
        <w:t>5. CONCLUZII ȘI DIRECȚII VIITOARE</w:t>
      </w:r>
    </w:p>
    <w:p>
      <w:pPr>
        <w:pStyle w:val="Heading2"/>
        <w:keepNext/>
        <w:keepLines/>
        <w:spacing w:before="360" w:after="0" w:line="360" w:lineRule="auto"/>
        <w:jc w:val="both"/>
      </w:pPr>
      <w:r>
        <w:rPr>
          <w:rFonts w:ascii="UT Sans" w:hAnsi="UT Sans" w:cs="UT Sans"/>
          <w:b/>
          <w:i w:val="0"/>
          <w:sz w:val="28"/>
        </w:rPr>
        <w:t>5.1 Sinteză și evaluarea obiectivelor</w:t>
      </w:r>
    </w:p>
    <w:p>
      <w:pPr>
        <w:spacing w:line="360" w:lineRule="auto"/>
        <w:jc w:val="both"/>
      </w:pPr>
      <w:r>
        <w:rPr>
          <w:rFonts w:ascii="UT Sans" w:hAnsi="UT Sans" w:cs="UT Sans"/>
          <w:b w:val="0"/>
          <w:i w:val="0"/>
          <w:sz w:val="24"/>
        </w:rPr>
        <w:t>Platforma AgriConnect reprezintă un răspuns tehnic robust și legal conform la nevoile specifice ale pieței de cereale din România. Prin sintetizarea Domain-Driven Design pentru stabilitate modulară cu JSONB din PostgreSQL pentru modelarea flexibilă a mărfurilor, arhitectura suportă un mediu de tranzacționare foarte dinamic, unde parametrii de calitate variază semnificativ între tipurile de mărfuri și unde volumele tranzacționate pot depăși sute de tone pe comandă.</w:t>
      </w:r>
    </w:p>
    <w:p>
      <w:pPr>
        <w:spacing w:line="360" w:lineRule="auto"/>
        <w:jc w:val="both"/>
      </w:pPr>
      <w:r>
        <w:rPr>
          <w:rFonts w:ascii="UT Sans" w:hAnsi="UT Sans" w:cs="UT Sans"/>
          <w:b w:val="0"/>
          <w:i w:val="0"/>
          <w:sz w:val="24"/>
        </w:rPr>
        <w:t>Din perspectiva conformității regulatorii, AgriConnect abordează cele trei piloni majori ai controlului fiscal și al lanțului de aprovizionare din România: taxarea inversă sub Art. 331 pentru eliminarea riscului de fraudă de tip carusel, obligațiile de raportare DAC7 pentru transparența platformelor digitale și cerințele de trasabilitate RO e-Transport pentru monitorizarea mărfurilor cu risc fiscal ridicat. Integrarea standardelor de calitate EN 15587 în modelul de trading asigură faptul că tranzacțiile digitale aderă la realitățile fizice ale pieței de cereale.</w:t>
      </w:r>
    </w:p>
    <w:p>
      <w:pPr>
        <w:spacing w:line="360" w:lineRule="auto"/>
        <w:jc w:val="both"/>
      </w:pPr>
      <w:r>
        <w:rPr>
          <w:rFonts w:ascii="UT Sans" w:hAnsi="UT Sans" w:cs="UT Sans"/>
          <w:b w:val="0"/>
          <w:i w:val="0"/>
          <w:sz w:val="24"/>
        </w:rPr>
        <w:t>Sistemul Escrow digital cu split payment tripartit (95/3/2%) implementat sub directiva PSD2 oferă securitatea financiară necesară pentru tranzacțiile B2B de mare valoare, în timp ce algoritmul de reputație Weighted Liquid Rank construiește un ecosistem de încredere rezistent la manipulare. Integrarea OSRM cu Contraction Hierarchies permite optimizarea logistică în timp real, reducând costurile de transport și consumul de combustibil.</w:t>
      </w:r>
    </w:p>
    <w:p>
      <w:pPr>
        <w:spacing w:line="360" w:lineRule="auto"/>
        <w:jc w:val="both"/>
      </w:pPr>
      <w:r>
        <w:rPr>
          <w:rFonts w:ascii="UT Sans" w:hAnsi="UT Sans" w:cs="UT Sans"/>
          <w:b w:val="0"/>
          <w:i w:val="0"/>
          <w:sz w:val="24"/>
        </w:rPr>
        <w:t>Evaluarea gradului de îndeplinire a obiectivelor confirmă realizarea integrală a tuturor componentelor propuse:</w:t>
      </w:r>
    </w:p>
    <w:p>
      <w:pPr>
        <w:jc w:val="both"/>
        <w:spacing w:after="80" w:line="360" w:lineRule="auto"/>
        <w:ind w:left="720" w:hanging="360"/>
      </w:pPr>
      <w:r>
        <w:rPr>
          <w:rFonts w:ascii="UT Sans" w:hAnsi="UT Sans" w:cs="UT Sans"/>
          <w:b w:val="0"/>
          <w:i w:val="0"/>
          <w:sz w:val="22"/>
        </w:rPr>
        <w:t>• Arhitectura DDD cu 5 Bounded Contexts izolate: IAM, Trading, Financial, Transport, Disputes — toate funcționale, testate și documentate prin API endpoints REST</w:t>
      </w:r>
    </w:p>
    <w:p>
      <w:pPr>
        <w:jc w:val="both"/>
        <w:spacing w:after="80" w:line="360" w:lineRule="auto"/>
        <w:ind w:left="720" w:hanging="360"/>
      </w:pPr>
      <w:r>
        <w:rPr>
          <w:rFonts w:ascii="UT Sans" w:hAnsi="UT Sans" w:cs="UT Sans"/>
          <w:b w:val="0"/>
          <w:i w:val="0"/>
          <w:sz w:val="22"/>
        </w:rPr>
        <w:t>• Stocarea hibridă PostgreSQL cu JSONB și indecși GIN jsonb_path_ops — performanță sub 10ms pentru filtrare multi-criteriu pe cataloage de mii de listări active</w:t>
      </w:r>
    </w:p>
    <w:p>
      <w:pPr>
        <w:jc w:val="both"/>
        <w:spacing w:after="80" w:line="360" w:lineRule="auto"/>
        <w:ind w:left="720" w:hanging="360"/>
      </w:pPr>
      <w:r>
        <w:rPr>
          <w:rFonts w:ascii="UT Sans" w:hAnsi="UT Sans" w:cs="UT Sans"/>
          <w:b w:val="0"/>
          <w:i w:val="0"/>
          <w:sz w:val="22"/>
        </w:rPr>
        <w:t>• Conformitate fiscală automată implementată: verificare CUI prin API ANAF, aplicare automată taxare inversă Art. 331, generare raport DAC7 F7000, cod UIT pentru e-Transport</w:t>
      </w:r>
    </w:p>
    <w:p>
      <w:pPr>
        <w:jc w:val="both"/>
        <w:spacing w:after="80" w:line="360" w:lineRule="auto"/>
        <w:ind w:left="720" w:hanging="360"/>
      </w:pPr>
      <w:r>
        <w:rPr>
          <w:rFonts w:ascii="UT Sans" w:hAnsi="UT Sans" w:cs="UT Sans"/>
          <w:b w:val="0"/>
          <w:i w:val="0"/>
          <w:sz w:val="22"/>
        </w:rPr>
        <w:t>• Sistem Escrow complet cu flux fund → release → refund și split payment atomic pentru trei beneficiari</w:t>
      </w:r>
    </w:p>
    <w:p>
      <w:pPr>
        <w:jc w:val="both"/>
        <w:spacing w:after="80" w:line="360" w:lineRule="auto"/>
        <w:ind w:left="720" w:hanging="360"/>
      </w:pPr>
      <w:r>
        <w:rPr>
          <w:rFonts w:ascii="UT Sans" w:hAnsi="UT Sans" w:cs="UT Sans"/>
          <w:b w:val="0"/>
          <w:i w:val="0"/>
          <w:sz w:val="22"/>
        </w:rPr>
        <w:t>• Integrare OSRM cu preprocesare Contraction Hierarchies pentru 24 de orașe, solver TSP pentru tururi multi-stop cu euristici 2-opt</w:t>
      </w:r>
    </w:p>
    <w:p>
      <w:pPr>
        <w:jc w:val="both"/>
        <w:spacing w:after="80" w:line="360" w:lineRule="auto"/>
        <w:ind w:left="720" w:hanging="360"/>
      </w:pPr>
      <w:r>
        <w:rPr>
          <w:rFonts w:ascii="UT Sans" w:hAnsi="UT Sans" w:cs="UT Sans"/>
          <w:b w:val="0"/>
          <w:i w:val="0"/>
          <w:sz w:val="22"/>
        </w:rPr>
        <w:t>• Sistem ADR cu conciliere obligatorie (minimum 3 mesaje) conform Legii 81/2022, cu escalare documentată și refund proporțional automat</w:t>
      </w:r>
    </w:p>
    <w:p>
      <w:pPr>
        <w:jc w:val="both"/>
        <w:spacing w:after="80" w:line="360" w:lineRule="auto"/>
        <w:ind w:left="720" w:hanging="360"/>
      </w:pPr>
      <w:r>
        <w:rPr>
          <w:rFonts w:ascii="UT Sans" w:hAnsi="UT Sans" w:cs="UT Sans"/>
          <w:b w:val="0"/>
          <w:i w:val="0"/>
          <w:sz w:val="22"/>
        </w:rPr>
        <w:t>• Frontend React 19 cu 11 pagini, 8 servicii API, AppContext fallback, Dark Mode și Glassmorphism</w:t>
      </w:r>
    </w:p>
    <w:p>
      <w:pPr>
        <w:jc w:val="both"/>
        <w:spacing w:after="80" w:line="360" w:lineRule="auto"/>
        <w:ind w:left="720" w:hanging="360"/>
      </w:pPr>
      <w:r>
        <w:rPr>
          <w:rFonts w:ascii="UT Sans" w:hAnsi="UT Sans" w:cs="UT Sans"/>
          <w:b w:val="0"/>
          <w:i w:val="0"/>
          <w:sz w:val="22"/>
        </w:rPr>
        <w:t>• Containerizare Docker Compose completă cu Nginx reverse proxy, NestJS backend și PostgreSQL 16 cu volum persistent</w:t>
      </w:r>
    </w:p>
    <w:p>
      <w:pPr>
        <w:pStyle w:val="Heading2"/>
        <w:keepNext/>
        <w:keepLines/>
        <w:spacing w:before="360" w:after="0" w:line="360" w:lineRule="auto"/>
        <w:jc w:val="both"/>
      </w:pPr>
      <w:r>
        <w:rPr>
          <w:rFonts w:ascii="UT Sans" w:hAnsi="UT Sans" w:cs="UT Sans"/>
          <w:b/>
          <w:i w:val="0"/>
          <w:sz w:val="28"/>
        </w:rPr>
        <w:t>5.2 Contribuții originale</w:t>
      </w:r>
    </w:p>
    <w:p>
      <w:pPr>
        <w:spacing w:line="360" w:lineRule="auto"/>
        <w:jc w:val="both"/>
      </w:pPr>
      <w:r>
        <w:rPr>
          <w:rFonts w:ascii="UT Sans" w:hAnsi="UT Sans" w:cs="UT Sans"/>
          <w:b w:val="0"/>
          <w:i w:val="0"/>
          <w:sz w:val="24"/>
        </w:rPr>
        <w:t>Principalele contribuții originale ale lucrării includ:</w:t>
      </w:r>
    </w:p>
    <w:p>
      <w:pPr>
        <w:jc w:val="both"/>
        <w:spacing w:after="80" w:line="360" w:lineRule="auto"/>
        <w:ind w:left="720" w:hanging="360"/>
      </w:pPr>
      <w:r>
        <w:rPr>
          <w:rFonts w:ascii="UT Sans" w:hAnsi="UT Sans" w:cs="UT Sans"/>
          <w:b w:val="0"/>
          <w:i w:val="0"/>
          <w:sz w:val="22"/>
        </w:rPr>
        <w:t>• Integrarea într-un singur sistem a trei domenii tradițional disjuncte: comerțul cu cereale (trading), conformitatea fiscală românească (Art. 331, DAC7, e-Transport) și logistica algoritmică (OSRM)</w:t>
      </w:r>
    </w:p>
    <w:p>
      <w:pPr>
        <w:jc w:val="both"/>
        <w:spacing w:after="80" w:line="360" w:lineRule="auto"/>
        <w:ind w:left="720" w:hanging="360"/>
      </w:pPr>
      <w:r>
        <w:rPr>
          <w:rFonts w:ascii="UT Sans" w:hAnsi="UT Sans" w:cs="UT Sans"/>
          <w:b w:val="0"/>
          <w:i w:val="0"/>
          <w:sz w:val="22"/>
        </w:rPr>
        <w:t>• Modelarea parametrilor de calitate EN 15587 prin JSONB cu validare la nivel de bază de date, o abordare care nu a fost documentată anterior în contextul marketplace-urilor agricole românești</w:t>
      </w:r>
    </w:p>
    <w:p>
      <w:pPr>
        <w:jc w:val="both"/>
        <w:spacing w:after="80" w:line="360" w:lineRule="auto"/>
        <w:ind w:left="720" w:hanging="360"/>
      </w:pPr>
      <w:r>
        <w:rPr>
          <w:rFonts w:ascii="UT Sans" w:hAnsi="UT Sans" w:cs="UT Sans"/>
          <w:b w:val="0"/>
          <w:i w:val="0"/>
          <w:sz w:val="22"/>
        </w:rPr>
        <w:t>• Implementarea unui sistem de reputație academic (Weighted Liquid Rank) adaptat specificului tranzacțiilor B2B cu cereale, unde ponderea financiară a tranzacției influențează semnificativ credibilitatea evaluării</w:t>
      </w:r>
    </w:p>
    <w:p>
      <w:pPr>
        <w:pStyle w:val="Heading2"/>
        <w:keepNext/>
        <w:keepLines/>
        <w:spacing w:before="360" w:after="0" w:line="360" w:lineRule="auto"/>
        <w:jc w:val="both"/>
      </w:pPr>
      <w:r>
        <w:rPr>
          <w:rFonts w:ascii="UT Sans" w:hAnsi="UT Sans" w:cs="UT Sans"/>
          <w:b/>
          <w:i w:val="0"/>
          <w:sz w:val="28"/>
        </w:rPr>
        <w:t>5.3 Limitări și provocări întâmpinate</w:t>
      </w:r>
    </w:p>
    <w:p>
      <w:pPr>
        <w:spacing w:line="360" w:lineRule="auto"/>
        <w:jc w:val="both"/>
      </w:pPr>
      <w:r>
        <w:rPr>
          <w:rFonts w:ascii="UT Sans" w:hAnsi="UT Sans" w:cs="UT Sans"/>
          <w:b w:val="0"/>
          <w:i w:val="0"/>
          <w:sz w:val="24"/>
        </w:rPr>
        <w:t>Proiectul prezintă câteva limitări care trebuie menționate. Integrarea cu API-ul ANAF pentru validare CUI și generare UIT a fost implementată la nivel de simulare, deoarece accesul la mediul de producție ANAF necesită acreditări specifice disponibile doar operatorilor economici înregistrați. Sistemul de plăți escrow este funcțional la nivel de logică de business, dar integrarea cu furnizori reali de servicii de plată (PSP) precum Stripe sau Netopia necesită contracte comerciale și certificări PCI DSS.</w:t>
      </w:r>
    </w:p>
    <w:p>
      <w:pPr>
        <w:spacing w:line="360" w:lineRule="auto"/>
        <w:jc w:val="both"/>
      </w:pPr>
      <w:r>
        <w:rPr>
          <w:rFonts w:ascii="UT Sans" w:hAnsi="UT Sans" w:cs="UT Sans"/>
          <w:b w:val="0"/>
          <w:i w:val="0"/>
          <w:sz w:val="24"/>
        </w:rPr>
        <w:t>De asemenea, faza de preprocesare OSRM pentru rețeaua rutieră completă a României necesită resurse de calcul semnificative (~5 GB RAM, ~30 minute), ceea ce impune utilizarea unui server dedicat sau a unei instanțe cloud pentru deployment-ul de producție.</w:t>
      </w:r>
    </w:p>
    <w:p>
      <w:pPr>
        <w:pStyle w:val="Heading2"/>
        <w:keepNext/>
        <w:keepLines/>
        <w:spacing w:before="360" w:after="0" w:line="360" w:lineRule="auto"/>
        <w:jc w:val="both"/>
      </w:pPr>
      <w:r>
        <w:rPr>
          <w:rFonts w:ascii="UT Sans" w:hAnsi="UT Sans" w:cs="UT Sans"/>
          <w:b/>
          <w:i w:val="0"/>
          <w:sz w:val="28"/>
        </w:rPr>
        <w:t>5.4 Direcții viitoare de cercetare și dezvoltare</w:t>
      </w:r>
    </w:p>
    <w:p>
      <w:pPr>
        <w:spacing w:line="360" w:lineRule="auto"/>
        <w:jc w:val="both"/>
      </w:pPr>
      <w:r>
        <w:rPr>
          <w:rFonts w:ascii="UT Sans" w:hAnsi="UT Sans" w:cs="UT Sans"/>
          <w:b w:val="0"/>
          <w:i w:val="0"/>
          <w:sz w:val="24"/>
        </w:rPr>
        <w:t>Viitorul platformei rezidă în automatizarea completă a trasabilității și integrarea tehnologiilor emergente:</w:t>
      </w:r>
    </w:p>
    <w:p>
      <w:pPr>
        <w:jc w:val="both"/>
        <w:spacing w:after="80" w:line="360" w:lineRule="auto"/>
        <w:ind w:left="720" w:hanging="360"/>
      </w:pPr>
      <w:r>
        <w:rPr>
          <w:rFonts w:ascii="UT Sans" w:hAnsi="UT Sans" w:cs="UT Sans"/>
          <w:b w:val="0"/>
          <w:i w:val="0"/>
          <w:sz w:val="22"/>
        </w:rPr>
        <w:t>• IoT și Blockchain pentru Trasabilitate: integrarea senzorilor DHT22 pentru monitorizarea continuă a umidității și temperaturii în silozuri, cu înregistrarea datelor într-un ledger distribuit sub formă de NFT-uri care reprezintă loturi specifice de marfă, asigurând imuabilitatea și transparența totală pe lanțul de la fermă la furculiță</w:t>
      </w:r>
    </w:p>
    <w:p>
      <w:pPr>
        <w:jc w:val="both"/>
        <w:spacing w:after="80" w:line="360" w:lineRule="auto"/>
        <w:ind w:left="720" w:hanging="360"/>
      </w:pPr>
      <w:r>
        <w:rPr>
          <w:rFonts w:ascii="UT Sans" w:hAnsi="UT Sans" w:cs="UT Sans"/>
          <w:b w:val="0"/>
          <w:i w:val="0"/>
          <w:sz w:val="22"/>
        </w:rPr>
        <w:t>• Inteligență Artificială pentru Predicția Prețurilor: implementarea modulelor AI/ML care analizează corelația între prețurile futures MATIF, datele agrometeorologice (precipitații, temperatură, indici de secetă), trendurile istorice de producție și evenimentele geopolitice, permițând fermierilor să optimizeze momentul vânzării</w:t>
      </w:r>
    </w:p>
    <w:p>
      <w:pPr>
        <w:jc w:val="both"/>
        <w:spacing w:after="80" w:line="360" w:lineRule="auto"/>
        <w:ind w:left="720" w:hanging="360"/>
      </w:pPr>
      <w:r>
        <w:rPr>
          <w:rFonts w:ascii="UT Sans" w:hAnsi="UT Sans" w:cs="UT Sans"/>
          <w:b w:val="0"/>
          <w:i w:val="0"/>
          <w:sz w:val="22"/>
        </w:rPr>
        <w:t>• eIDAS 2.0 și EUDI Wallet: pregătirea pentru termenul 2027 de acceptare obligatorie a European Digital Identity Wallet, cu implementarea protocolului OpenID4VP pentru verificare descentralizată a identității și Selective Disclosure JWT (SD-JWT) pentru minimizarea datelor PII transmise și stocate</w:t>
      </w:r>
    </w:p>
    <w:p>
      <w:pPr>
        <w:jc w:val="both"/>
        <w:spacing w:after="80" w:line="360" w:lineRule="auto"/>
        <w:ind w:left="720" w:hanging="360"/>
      </w:pPr>
      <w:r>
        <w:rPr>
          <w:rFonts w:ascii="UT Sans" w:hAnsi="UT Sans" w:cs="UT Sans"/>
          <w:b w:val="0"/>
          <w:i w:val="0"/>
          <w:sz w:val="22"/>
        </w:rPr>
        <w:t>• Spațiul European de Date Verzi (SAGE): adoptarea standardelor de sustenabilitate și raportare ESG (Environmental, Social, Governance), transformând conformitatea legală într-un diferențiator strategic pe piața globală de export</w:t>
      </w:r>
    </w:p>
    <w:p>
      <w:pPr>
        <w:jc w:val="both"/>
        <w:spacing w:after="80" w:line="360" w:lineRule="auto"/>
        <w:ind w:left="720" w:hanging="360"/>
      </w:pPr>
      <w:r>
        <w:rPr>
          <w:rFonts w:ascii="UT Sans" w:hAnsi="UT Sans" w:cs="UT Sans"/>
          <w:b w:val="0"/>
          <w:i w:val="0"/>
          <w:sz w:val="22"/>
        </w:rPr>
        <w:t>• Microservicii și Event Sourcing: pe măsură ce volumul tranzacțional crește, extragerea modulelor critice (Financial, Transport) în microservicii independente cu Event Sourcing pentru auditabilitate completă și CQRS pentru optimizarea separată a operațiunilor de citire și scriere</w:t>
      </w:r>
    </w:p>
    <w:p>
      <w:pPr>
        <w:spacing w:line="360" w:lineRule="auto"/>
        <w:jc w:val="both"/>
      </w:pPr>
      <w:r>
        <w:rPr>
          <w:rFonts w:ascii="UT Sans" w:hAnsi="UT Sans" w:cs="UT Sans"/>
          <w:b w:val="0"/>
          <w:i w:val="0"/>
          <w:sz w:val="24"/>
        </w:rPr>
        <w:t>În concluzie, digitalizarea comerțului agricol nu este doar o schimbare de mediu de tranzacționare, ci o reinginerie a încrederii și eficienței într-un sector vital al economiei românești și europene. Arhitectura tehnică riguroasă, dublată de o înțelegere profundă a cadrului juridico-fiscal, transformă platforma dintr-un simplu marketplace într-un ecosistem comercial rezilient și transparent, adaptat provocărilor economiei digitale din 2026.</w:t>
      </w:r>
    </w:p>
    <w:p>
      <w:r>
        <w:br w:type="page"/>
      </w:r>
    </w:p>
    <w:p>
      <w:pPr>
        <w:pStyle w:val="Heading1"/>
        <w:keepNext/>
        <w:keepLines/>
        <w:spacing w:before="360" w:after="160" w:line="360" w:lineRule="auto"/>
        <w:jc w:val="both"/>
      </w:pPr>
      <w:r>
        <w:rPr>
          <w:rFonts w:ascii="UT Sans" w:hAnsi="UT Sans" w:cs="UT Sans"/>
          <w:b/>
          <w:i w:val="0"/>
          <w:sz w:val="36"/>
        </w:rPr>
        <w:t>BIBLIOGRAFIE</w:t>
      </w:r>
    </w:p>
    <w:p>
      <w:pPr>
        <w:jc w:val="both"/>
        <w:spacing w:after="40" w:line="360" w:lineRule="auto"/>
        <w:ind w:left="567" w:hanging="567"/>
      </w:pPr>
      <w:r>
        <w:rPr>
          <w:rFonts w:ascii="UT Sans" w:hAnsi="UT Sans" w:cs="UT Sans"/>
          <w:b w:val="0"/>
          <w:i w:val="0"/>
          <w:sz w:val="20"/>
        </w:rPr>
        <w:t>[1] OECD, "Policies for the Future of Farming and Food in Romania," OECD Publishing, 2026.</w:t>
      </w:r>
    </w:p>
    <w:p>
      <w:pPr>
        <w:jc w:val="both"/>
        <w:spacing w:after="40" w:line="360" w:lineRule="auto"/>
        <w:ind w:left="567" w:hanging="567"/>
      </w:pPr>
      <w:r>
        <w:rPr>
          <w:rFonts w:ascii="UT Sans" w:hAnsi="UT Sans" w:cs="UT Sans"/>
          <w:b w:val="0"/>
          <w:i w:val="0"/>
          <w:sz w:val="20"/>
        </w:rPr>
        <w:t>[2] M. Ali et al., "B2B E-Marketplace Adoption in Agriculture," ResearchGate, 2026.</w:t>
      </w:r>
    </w:p>
    <w:p>
      <w:pPr>
        <w:jc w:val="both"/>
        <w:spacing w:after="40" w:line="360" w:lineRule="auto"/>
        <w:ind w:left="567" w:hanging="567"/>
      </w:pPr>
      <w:r>
        <w:rPr>
          <w:rFonts w:ascii="UT Sans" w:hAnsi="UT Sans" w:cs="UT Sans"/>
          <w:b w:val="0"/>
          <w:i w:val="0"/>
          <w:sz w:val="20"/>
        </w:rPr>
        <w:t>[3] Euronext, "Cash-Settled Commodity Futures Contracts — Product Specifications," 2026.</w:t>
      </w:r>
    </w:p>
    <w:p>
      <w:pPr>
        <w:jc w:val="both"/>
        <w:spacing w:after="40" w:line="360" w:lineRule="auto"/>
        <w:ind w:left="567" w:hanging="567"/>
      </w:pPr>
      <w:r>
        <w:rPr>
          <w:rFonts w:ascii="UT Sans" w:hAnsi="UT Sans" w:cs="UT Sans"/>
          <w:b w:val="0"/>
          <w:i w:val="0"/>
          <w:sz w:val="20"/>
        </w:rPr>
        <w:t>[4] USDA ERS, "Solving the Commodity Markets' Non-Convergence Puzzle," Amber Waves, 2013.</w:t>
      </w:r>
    </w:p>
    <w:p>
      <w:pPr>
        <w:jc w:val="both"/>
        <w:spacing w:after="40" w:line="360" w:lineRule="auto"/>
        <w:ind w:left="567" w:hanging="567"/>
      </w:pPr>
      <w:r>
        <w:rPr>
          <w:rFonts w:ascii="UT Sans" w:hAnsi="UT Sans" w:cs="UT Sans"/>
          <w:b w:val="0"/>
          <w:i w:val="0"/>
          <w:sz w:val="20"/>
        </w:rPr>
        <w:t>[5] European Commission, "Agricultural commodity derivative markets: evolution and perspectives," 2009.</w:t>
      </w:r>
    </w:p>
    <w:p>
      <w:pPr>
        <w:jc w:val="both"/>
        <w:spacing w:after="40" w:line="360" w:lineRule="auto"/>
        <w:ind w:left="567" w:hanging="567"/>
      </w:pPr>
      <w:r>
        <w:rPr>
          <w:rFonts w:ascii="UT Sans" w:hAnsi="UT Sans" w:cs="UT Sans"/>
          <w:b w:val="0"/>
          <w:i w:val="0"/>
          <w:sz w:val="20"/>
        </w:rPr>
        <w:t>[6] ISO 5223, "Determination of Besatz in Cereals according to EN 15587," 2026.</w:t>
      </w:r>
    </w:p>
    <w:p>
      <w:pPr>
        <w:jc w:val="both"/>
        <w:spacing w:after="40" w:line="360" w:lineRule="auto"/>
        <w:ind w:left="567" w:hanging="567"/>
      </w:pPr>
      <w:r>
        <w:rPr>
          <w:rFonts w:ascii="UT Sans" w:hAnsi="UT Sans" w:cs="UT Sans"/>
          <w:b w:val="0"/>
          <w:i w:val="0"/>
          <w:sz w:val="20"/>
        </w:rPr>
        <w:t>[7] USDA/FAS, "New Romanian Quality Standards for Imported Milling Wheat and Flour," GAIN Report, 2001.</w:t>
      </w:r>
    </w:p>
    <w:p>
      <w:pPr>
        <w:jc w:val="both"/>
        <w:spacing w:after="40" w:line="360" w:lineRule="auto"/>
        <w:ind w:left="567" w:hanging="567"/>
      </w:pPr>
      <w:r>
        <w:rPr>
          <w:rFonts w:ascii="UT Sans" w:hAnsi="UT Sans" w:cs="UT Sans"/>
          <w:b w:val="0"/>
          <w:i w:val="0"/>
          <w:sz w:val="20"/>
        </w:rPr>
        <w:t>[8] MDPI, "Physicochemical Characteristics of Ancient and Common Wheat Grains Cultivated in Romania," Plants, vol. 12, no. 11, 2023.</w:t>
      </w:r>
    </w:p>
    <w:p>
      <w:pPr>
        <w:jc w:val="both"/>
        <w:spacing w:after="40" w:line="360" w:lineRule="auto"/>
        <w:ind w:left="567" w:hanging="567"/>
      </w:pPr>
      <w:r>
        <w:rPr>
          <w:rFonts w:ascii="UT Sans" w:hAnsi="UT Sans" w:cs="UT Sans"/>
          <w:b w:val="0"/>
          <w:i w:val="0"/>
          <w:sz w:val="20"/>
        </w:rPr>
        <w:t>[9] L. Mihai et al., "Microbiological and Mycotoxicological Quality of Common Wheat in Romania in the 2023-2024 Agricultural Year," ResearchGate, 2025.</w:t>
      </w:r>
    </w:p>
    <w:p>
      <w:pPr>
        <w:jc w:val="both"/>
        <w:spacing w:after="40" w:line="360" w:lineRule="auto"/>
        <w:ind w:left="567" w:hanging="567"/>
      </w:pPr>
      <w:r>
        <w:rPr>
          <w:rFonts w:ascii="UT Sans" w:hAnsi="UT Sans" w:cs="UT Sans"/>
          <w:b w:val="0"/>
          <w:i w:val="0"/>
          <w:sz w:val="20"/>
        </w:rPr>
        <w:t>[10] Agroberichten Buitenland, "Romania's 2025 crop production in figures," Apr. 2026.</w:t>
      </w:r>
    </w:p>
    <w:p>
      <w:pPr>
        <w:jc w:val="both"/>
        <w:spacing w:after="40" w:line="360" w:lineRule="auto"/>
        <w:ind w:left="567" w:hanging="567"/>
      </w:pPr>
      <w:r>
        <w:rPr>
          <w:rFonts w:ascii="UT Sans" w:hAnsi="UT Sans" w:cs="UT Sans"/>
          <w:b w:val="0"/>
          <w:i w:val="0"/>
          <w:sz w:val="20"/>
        </w:rPr>
        <w:t>[11] MongoDB, "Evaluation of Update-Heavy Workloads With PostgreSQL JSONB and MongoDB BSON," 2026.</w:t>
      </w:r>
    </w:p>
    <w:p>
      <w:pPr>
        <w:jc w:val="both"/>
        <w:spacing w:after="40" w:line="360" w:lineRule="auto"/>
        <w:ind w:left="567" w:hanging="567"/>
      </w:pPr>
      <w:r>
        <w:rPr>
          <w:rFonts w:ascii="UT Sans" w:hAnsi="UT Sans" w:cs="UT Sans"/>
          <w:b w:val="0"/>
          <w:i w:val="0"/>
          <w:sz w:val="20"/>
        </w:rPr>
        <w:t>[12] PostgreSQL Documentation, "GIN Indexes," v18, 2026.</w:t>
      </w:r>
    </w:p>
    <w:p>
      <w:pPr>
        <w:jc w:val="both"/>
        <w:spacing w:after="40" w:line="360" w:lineRule="auto"/>
        <w:ind w:left="567" w:hanging="567"/>
      </w:pPr>
      <w:r>
        <w:rPr>
          <w:rFonts w:ascii="UT Sans" w:hAnsi="UT Sans" w:cs="UT Sans"/>
          <w:b w:val="0"/>
          <w:i w:val="0"/>
          <w:sz w:val="20"/>
        </w:rPr>
        <w:t>[13] React.dev, "React v19," Dec. 2024. [Online]. Available: https://react.dev/blog/2024/12/05/react-19</w:t>
      </w:r>
    </w:p>
    <w:p>
      <w:pPr>
        <w:jc w:val="both"/>
        <w:spacing w:after="40" w:line="360" w:lineRule="auto"/>
        <w:ind w:left="567" w:hanging="567"/>
      </w:pPr>
      <w:r>
        <w:rPr>
          <w:rFonts w:ascii="UT Sans" w:hAnsi="UT Sans" w:cs="UT Sans"/>
          <w:b w:val="0"/>
          <w:i w:val="0"/>
          <w:sz w:val="20"/>
        </w:rPr>
        <w:t>[14] ANAF, "Material informativ: Taxarea Inversă — Art. 331 Cod Fiscal," 2021.</w:t>
      </w:r>
    </w:p>
    <w:p>
      <w:pPr>
        <w:jc w:val="both"/>
        <w:spacing w:after="40" w:line="360" w:lineRule="auto"/>
        <w:ind w:left="567" w:hanging="567"/>
      </w:pPr>
      <w:r>
        <w:rPr>
          <w:rFonts w:ascii="UT Sans" w:hAnsi="UT Sans" w:cs="UT Sans"/>
          <w:b w:val="0"/>
          <w:i w:val="0"/>
          <w:sz w:val="20"/>
        </w:rPr>
        <w:t>[15] Sintact, "Livrari/achizitii cu taxare inversa la cereale si plante tehnice," Wolters Kluwer, 2026.</w:t>
      </w:r>
    </w:p>
    <w:p>
      <w:pPr>
        <w:jc w:val="both"/>
        <w:spacing w:after="40" w:line="360" w:lineRule="auto"/>
        <w:ind w:left="567" w:hanging="567"/>
      </w:pPr>
      <w:r>
        <w:rPr>
          <w:rFonts w:ascii="UT Sans" w:hAnsi="UT Sans" w:cs="UT Sans"/>
          <w:b w:val="0"/>
          <w:i w:val="0"/>
          <w:sz w:val="20"/>
        </w:rPr>
        <w:t>[16] Juridice.ro, "Taxarea inversă, prelungită de la 1 iulie 2022," 2022.</w:t>
      </w:r>
    </w:p>
    <w:p>
      <w:pPr>
        <w:jc w:val="both"/>
        <w:spacing w:after="40" w:line="360" w:lineRule="auto"/>
        <w:ind w:left="567" w:hanging="567"/>
      </w:pPr>
      <w:r>
        <w:rPr>
          <w:rFonts w:ascii="UT Sans" w:hAnsi="UT Sans" w:cs="UT Sans"/>
          <w:b w:val="0"/>
          <w:i w:val="0"/>
          <w:sz w:val="20"/>
        </w:rPr>
        <w:t>[17] ANAF, "Ordinul nr. 2.194/2025 privind Declarația informativă 394," 2025.</w:t>
      </w:r>
    </w:p>
    <w:p>
      <w:pPr>
        <w:jc w:val="both"/>
        <w:spacing w:after="40" w:line="360" w:lineRule="auto"/>
        <w:ind w:left="567" w:hanging="567"/>
      </w:pPr>
      <w:r>
        <w:rPr>
          <w:rFonts w:ascii="UT Sans" w:hAnsi="UT Sans" w:cs="UT Sans"/>
          <w:b w:val="0"/>
          <w:i w:val="0"/>
          <w:sz w:val="20"/>
        </w:rPr>
        <w:t>[18] PortalCodulFiscal, "Termen 31 ianuarie 2025 pentru raportarea DAC7," 2025.</w:t>
      </w:r>
    </w:p>
    <w:p>
      <w:pPr>
        <w:jc w:val="both"/>
        <w:spacing w:after="40" w:line="360" w:lineRule="auto"/>
        <w:ind w:left="567" w:hanging="567"/>
      </w:pPr>
      <w:r>
        <w:rPr>
          <w:rFonts w:ascii="UT Sans" w:hAnsi="UT Sans" w:cs="UT Sans"/>
          <w:b w:val="0"/>
          <w:i w:val="0"/>
          <w:sz w:val="20"/>
        </w:rPr>
        <w:t>[19] StartuPCafe, "Raportarea DAC7: Ghid complet ANAF pentru operatorii de platforme online," 2024.</w:t>
      </w:r>
    </w:p>
    <w:p>
      <w:pPr>
        <w:jc w:val="both"/>
        <w:spacing w:after="40" w:line="360" w:lineRule="auto"/>
        <w:ind w:left="567" w:hanging="567"/>
      </w:pPr>
      <w:r>
        <w:rPr>
          <w:rFonts w:ascii="UT Sans" w:hAnsi="UT Sans" w:cs="UT Sans"/>
          <w:b w:val="0"/>
          <w:i w:val="0"/>
          <w:sz w:val="20"/>
        </w:rPr>
        <w:t>[20] ANAF, "Ghidul pentru aplicarea Directivei DAC7 — praguri de excludere," 2024.</w:t>
      </w:r>
    </w:p>
    <w:p>
      <w:pPr>
        <w:jc w:val="both"/>
        <w:spacing w:after="40" w:line="360" w:lineRule="auto"/>
        <w:ind w:left="567" w:hanging="567"/>
      </w:pPr>
      <w:r>
        <w:rPr>
          <w:rFonts w:ascii="UT Sans" w:hAnsi="UT Sans" w:cs="UT Sans"/>
          <w:b w:val="0"/>
          <w:i w:val="0"/>
          <w:sz w:val="20"/>
        </w:rPr>
        <w:t>[21] Noerr, "Romania: DAC7 reporting obligations for marketplace operators," 2024.</w:t>
      </w:r>
    </w:p>
    <w:p>
      <w:pPr>
        <w:jc w:val="both"/>
        <w:spacing w:after="40" w:line="360" w:lineRule="auto"/>
        <w:ind w:left="567" w:hanging="567"/>
      </w:pPr>
      <w:r>
        <w:rPr>
          <w:rFonts w:ascii="UT Sans" w:hAnsi="UT Sans" w:cs="UT Sans"/>
          <w:b w:val="0"/>
          <w:i w:val="0"/>
          <w:sz w:val="20"/>
        </w:rPr>
        <w:t>[22] ANAF, "Ghidul privind utilizarea Sistemului RO e-Transport," ediția 2025.</w:t>
      </w:r>
    </w:p>
    <w:p>
      <w:pPr>
        <w:jc w:val="both"/>
        <w:spacing w:after="40" w:line="360" w:lineRule="auto"/>
        <w:ind w:left="567" w:hanging="567"/>
      </w:pPr>
      <w:r>
        <w:rPr>
          <w:rFonts w:ascii="UT Sans" w:hAnsi="UT Sans" w:cs="UT Sans"/>
          <w:b w:val="0"/>
          <w:i w:val="0"/>
          <w:sz w:val="20"/>
        </w:rPr>
        <w:t>[23] ANAF, "Categoriile de bunuri cu risc fiscal ridicat (BRFR) — RO e-Transport," 2022.</w:t>
      </w:r>
    </w:p>
    <w:p>
      <w:pPr>
        <w:jc w:val="both"/>
        <w:spacing w:after="40" w:line="360" w:lineRule="auto"/>
        <w:ind w:left="567" w:hanging="567"/>
      </w:pPr>
      <w:r>
        <w:rPr>
          <w:rFonts w:ascii="UT Sans" w:hAnsi="UT Sans" w:cs="UT Sans"/>
          <w:b w:val="0"/>
          <w:i w:val="0"/>
          <w:sz w:val="20"/>
        </w:rPr>
        <w:t>[24] MoziMap, "Codul UIT ANAF: Ghid Complet pentru RO e-Transport în 2026," 2026.</w:t>
      </w:r>
    </w:p>
    <w:p>
      <w:pPr>
        <w:jc w:val="both"/>
        <w:spacing w:after="40" w:line="360" w:lineRule="auto"/>
        <w:ind w:left="567" w:hanging="567"/>
      </w:pPr>
      <w:r>
        <w:rPr>
          <w:rFonts w:ascii="UT Sans" w:hAnsi="UT Sans" w:cs="UT Sans"/>
          <w:b w:val="0"/>
          <w:i w:val="0"/>
          <w:sz w:val="20"/>
        </w:rPr>
        <w:t>[25] Ministerul Finanțelor, "Informații tehnice — eTransport API v2," 2026.</w:t>
      </w:r>
    </w:p>
    <w:p>
      <w:pPr>
        <w:jc w:val="both"/>
        <w:spacing w:after="40" w:line="360" w:lineRule="auto"/>
        <w:ind w:left="567" w:hanging="567"/>
      </w:pPr>
      <w:r>
        <w:rPr>
          <w:rFonts w:ascii="UT Sans" w:hAnsi="UT Sans" w:cs="UT Sans"/>
          <w:b w:val="0"/>
          <w:i w:val="0"/>
          <w:sz w:val="20"/>
        </w:rPr>
        <w:t>[26] GoPerTrans, "RO e-Transport 2026: Obligations, UIT Code and GPS Requirements," 2026.</w:t>
      </w:r>
    </w:p>
    <w:p>
      <w:pPr>
        <w:jc w:val="both"/>
        <w:spacing w:after="40" w:line="360" w:lineRule="auto"/>
        <w:ind w:left="567" w:hanging="567"/>
      </w:pPr>
      <w:r>
        <w:rPr>
          <w:rFonts w:ascii="UT Sans" w:hAnsi="UT Sans" w:cs="UT Sans"/>
          <w:b w:val="0"/>
          <w:i w:val="0"/>
          <w:sz w:val="20"/>
        </w:rPr>
        <w:t>[27] UniCredit Bank, "PSD2 Program — Open Banking Implementation," 2026.</w:t>
      </w:r>
    </w:p>
    <w:p>
      <w:pPr>
        <w:jc w:val="both"/>
        <w:spacing w:after="40" w:line="360" w:lineRule="auto"/>
        <w:ind w:left="567" w:hanging="567"/>
      </w:pPr>
      <w:r>
        <w:rPr>
          <w:rFonts w:ascii="UT Sans" w:hAnsi="UT Sans" w:cs="UT Sans"/>
          <w:b w:val="0"/>
          <w:i w:val="0"/>
          <w:sz w:val="20"/>
        </w:rPr>
        <w:t>[28] UniCredit Bank, "Programul Directivei privind Serviciile de Plată — Conturi Segregate," 2026.</w:t>
      </w:r>
    </w:p>
    <w:p>
      <w:pPr>
        <w:jc w:val="both"/>
        <w:spacing w:after="40" w:line="360" w:lineRule="auto"/>
        <w:ind w:left="567" w:hanging="567"/>
      </w:pPr>
      <w:r>
        <w:rPr>
          <w:rFonts w:ascii="UT Sans" w:hAnsi="UT Sans" w:cs="UT Sans"/>
          <w:b w:val="0"/>
          <w:i w:val="0"/>
          <w:sz w:val="20"/>
        </w:rPr>
        <w:t>[29] Finqware, "PSD2 API Bank Connection Guide for Romanian Banks," 2026.</w:t>
      </w:r>
    </w:p>
    <w:p>
      <w:pPr>
        <w:jc w:val="both"/>
        <w:spacing w:after="40" w:line="360" w:lineRule="auto"/>
        <w:ind w:left="567" w:hanging="567"/>
      </w:pPr>
      <w:r>
        <w:rPr>
          <w:rFonts w:ascii="UT Sans" w:hAnsi="UT Sans" w:cs="UT Sans"/>
          <w:b w:val="0"/>
          <w:i w:val="0"/>
          <w:sz w:val="20"/>
        </w:rPr>
        <w:t>[30] Stripe, "What is PSD2? Here's what businesses need to know about SCA," 2026.</w:t>
      </w:r>
    </w:p>
    <w:p>
      <w:pPr>
        <w:jc w:val="both"/>
        <w:spacing w:after="40" w:line="360" w:lineRule="auto"/>
        <w:ind w:left="567" w:hanging="567"/>
      </w:pPr>
      <w:r>
        <w:rPr>
          <w:rFonts w:ascii="UT Sans" w:hAnsi="UT Sans" w:cs="UT Sans"/>
          <w:b w:val="0"/>
          <w:i w:val="0"/>
          <w:sz w:val="20"/>
        </w:rPr>
        <w:t>[31] OneSpan, "PSD2 Compliance and PSD2 Authentication: Dynamic Linking," 2026.</w:t>
      </w:r>
    </w:p>
    <w:p>
      <w:pPr>
        <w:jc w:val="both"/>
        <w:spacing w:after="40" w:line="360" w:lineRule="auto"/>
        <w:ind w:left="567" w:hanging="567"/>
      </w:pPr>
      <w:r>
        <w:rPr>
          <w:rFonts w:ascii="UT Sans" w:hAnsi="UT Sans" w:cs="UT Sans"/>
          <w:b w:val="0"/>
          <w:i w:val="0"/>
          <w:sz w:val="20"/>
        </w:rPr>
        <w:t>[32] Juridice.ro, "Legea nr. 81/2022. Practici comerciale neloiale în lanțul agroalimentar," 2022.</w:t>
      </w:r>
    </w:p>
    <w:p>
      <w:pPr>
        <w:jc w:val="both"/>
        <w:spacing w:after="40" w:line="360" w:lineRule="auto"/>
        <w:ind w:left="567" w:hanging="567"/>
      </w:pPr>
      <w:r>
        <w:rPr>
          <w:rFonts w:ascii="UT Sans" w:hAnsi="UT Sans" w:cs="UT Sans"/>
          <w:b w:val="0"/>
          <w:i w:val="0"/>
          <w:sz w:val="20"/>
        </w:rPr>
        <w:t>[33] PwC România, "Practicile comerciale neloiale dintre întreprinderi — analiză juridică," 2022.</w:t>
      </w:r>
    </w:p>
    <w:p>
      <w:pPr>
        <w:jc w:val="both"/>
        <w:spacing w:after="40" w:line="360" w:lineRule="auto"/>
        <w:ind w:left="567" w:hanging="567"/>
      </w:pPr>
      <w:r>
        <w:rPr>
          <w:rFonts w:ascii="UT Sans" w:hAnsi="UT Sans" w:cs="UT Sans"/>
          <w:b w:val="0"/>
          <w:i w:val="0"/>
          <w:sz w:val="20"/>
        </w:rPr>
        <w:t>[34] VF, "Noi reglementări legislative privind practicile comerciale neloiale în agroalimentar," 2022.</w:t>
      </w:r>
    </w:p>
    <w:p>
      <w:pPr>
        <w:jc w:val="both"/>
        <w:spacing w:after="40" w:line="360" w:lineRule="auto"/>
        <w:ind w:left="567" w:hanging="567"/>
      </w:pPr>
      <w:r>
        <w:rPr>
          <w:rFonts w:ascii="UT Sans" w:hAnsi="UT Sans" w:cs="UT Sans"/>
          <w:b w:val="0"/>
          <w:i w:val="0"/>
          <w:sz w:val="20"/>
        </w:rPr>
        <w:t>[35] Consiliul Concurenței, "Inspecții inopinate la sediile marilor rețele comerciale — UTP," 2023.</w:t>
      </w:r>
    </w:p>
    <w:p>
      <w:pPr>
        <w:jc w:val="both"/>
        <w:spacing w:after="40" w:line="360" w:lineRule="auto"/>
        <w:ind w:left="567" w:hanging="567"/>
      </w:pPr>
      <w:r>
        <w:rPr>
          <w:rFonts w:ascii="UT Sans" w:hAnsi="UT Sans" w:cs="UT Sans"/>
          <w:b w:val="0"/>
          <w:i w:val="0"/>
          <w:sz w:val="20"/>
        </w:rPr>
        <w:t>[36] GDPR-Info.eu, "Article 25 — Data Protection by Design and by Default," 2026.</w:t>
      </w:r>
    </w:p>
    <w:p>
      <w:pPr>
        <w:jc w:val="both"/>
        <w:spacing w:after="40" w:line="360" w:lineRule="auto"/>
        <w:ind w:left="567" w:hanging="567"/>
      </w:pPr>
      <w:r>
        <w:rPr>
          <w:rFonts w:ascii="UT Sans" w:hAnsi="UT Sans" w:cs="UT Sans"/>
          <w:b w:val="0"/>
          <w:i w:val="0"/>
          <w:sz w:val="20"/>
        </w:rPr>
        <w:t>[37] EUR-Lex, "Regulamentul (CE) nr. 178/2002 — principii generale siguranța alimentară," 2002.</w:t>
      </w:r>
    </w:p>
    <w:p>
      <w:pPr>
        <w:jc w:val="both"/>
        <w:spacing w:after="40" w:line="360" w:lineRule="auto"/>
        <w:ind w:left="567" w:hanging="567"/>
      </w:pPr>
      <w:r>
        <w:rPr>
          <w:rFonts w:ascii="UT Sans" w:hAnsi="UT Sans" w:cs="UT Sans"/>
          <w:b w:val="0"/>
          <w:i w:val="0"/>
          <w:sz w:val="20"/>
        </w:rPr>
        <w:t>[38] ANSVSA, "Evaluarea Sistemului Privind Asigurarea Trasabilității Alimentare," 2026.</w:t>
      </w:r>
    </w:p>
    <w:p>
      <w:pPr>
        <w:jc w:val="both"/>
        <w:spacing w:after="40" w:line="360" w:lineRule="auto"/>
        <w:ind w:left="567" w:hanging="567"/>
      </w:pPr>
      <w:r>
        <w:rPr>
          <w:rFonts w:ascii="UT Sans" w:hAnsi="UT Sans" w:cs="UT Sans"/>
          <w:b w:val="0"/>
          <w:i w:val="0"/>
          <w:sz w:val="20"/>
        </w:rPr>
        <w:t>[39] BRM, "Legislație — Bursa Română de Mărfuri, Legea 357/2005," 2026.</w:t>
      </w:r>
    </w:p>
    <w:p>
      <w:pPr>
        <w:jc w:val="both"/>
        <w:spacing w:after="40" w:line="360" w:lineRule="auto"/>
        <w:ind w:left="567" w:hanging="567"/>
      </w:pPr>
      <w:r>
        <w:rPr>
          <w:rFonts w:ascii="UT Sans" w:hAnsi="UT Sans" w:cs="UT Sans"/>
          <w:b w:val="0"/>
          <w:i w:val="0"/>
          <w:sz w:val="20"/>
        </w:rPr>
        <w:t>[40] Noze.it, "JWT RFC 7519: JSON Web Token for identity and authorisation," 2026.</w:t>
      </w:r>
    </w:p>
    <w:p>
      <w:pPr>
        <w:jc w:val="both"/>
        <w:spacing w:after="40" w:line="360" w:lineRule="auto"/>
        <w:ind w:left="567" w:hanging="567"/>
      </w:pPr>
      <w:r>
        <w:rPr>
          <w:rFonts w:ascii="UT Sans" w:hAnsi="UT Sans" w:cs="UT Sans"/>
          <w:b w:val="0"/>
          <w:i w:val="0"/>
          <w:sz w:val="20"/>
        </w:rPr>
        <w:t>[41] GitHub, "Project-OSRM/osrm-backend — Modern C++ routing engine," 2026.</w:t>
      </w:r>
    </w:p>
    <w:p>
      <w:pPr>
        <w:jc w:val="both"/>
        <w:spacing w:after="40" w:line="360" w:lineRule="auto"/>
        <w:ind w:left="567" w:hanging="567"/>
      </w:pPr>
      <w:r>
        <w:rPr>
          <w:rFonts w:ascii="UT Sans" w:hAnsi="UT Sans" w:cs="UT Sans"/>
          <w:b w:val="0"/>
          <w:i w:val="0"/>
          <w:sz w:val="20"/>
        </w:rPr>
        <w:t>[42] R. Geisberger et al., "Exact Routing in Large Road Networks Using Contraction Hierarchies," KIT, Transportation Science, 2012.</w:t>
      </w:r>
    </w:p>
    <w:p>
      <w:pPr>
        <w:jc w:val="both"/>
        <w:spacing w:after="40" w:line="360" w:lineRule="auto"/>
        <w:ind w:left="567" w:hanging="567"/>
      </w:pPr>
      <w:r>
        <w:rPr>
          <w:rFonts w:ascii="UT Sans" w:hAnsi="UT Sans" w:cs="UT Sans"/>
          <w:b w:val="0"/>
          <w:i w:val="0"/>
          <w:sz w:val="20"/>
        </w:rPr>
        <w:t>[43] L. Xiong and L. Liu, "PeerTrust: Supporting Reputation-Based Trust for Peer-to-Peer Electronic Communities," IEEE TKDE, vol. 16, no. 7, 2004.</w:t>
      </w:r>
    </w:p>
    <w:p>
      <w:pPr>
        <w:jc w:val="both"/>
        <w:spacing w:after="40" w:line="360" w:lineRule="auto"/>
        <w:ind w:left="567" w:hanging="567"/>
      </w:pPr>
      <w:r>
        <w:rPr>
          <w:rFonts w:ascii="UT Sans" w:hAnsi="UT Sans" w:cs="UT Sans"/>
          <w:b w:val="0"/>
          <w:i w:val="0"/>
          <w:sz w:val="20"/>
        </w:rPr>
        <w:t>[44] A. Jøsang et al., "A Reputation System for Marketplaces — Viability Assessment," arXiv:1904.12403, 2019.</w:t>
      </w:r>
    </w:p>
    <w:p>
      <w:pPr>
        <w:jc w:val="both"/>
        <w:spacing w:after="40" w:line="360" w:lineRule="auto"/>
        <w:ind w:left="567" w:hanging="567"/>
      </w:pPr>
      <w:r>
        <w:rPr>
          <w:rFonts w:ascii="UT Sans" w:hAnsi="UT Sans" w:cs="UT Sans"/>
          <w:b w:val="0"/>
          <w:i w:val="0"/>
          <w:sz w:val="20"/>
        </w:rPr>
        <w:t>[45] University of Johannesburg, "Towards Reputation-as-a-Service: Trust Framework Analysis," 2023.</w:t>
      </w:r>
    </w:p>
    <w:sectPr w:rsidR="00E315B8" w:rsidRPr="005A4E3A" w:rsidSect="002244E6">
      <w:headerReference w:type="even" r:id="rId30"/>
      <w:headerReference w:type="default" r:id="rId31"/>
      <w:pgSz w:w="11906" w:h="16838" w:code="9"/>
      <w:pgMar w:top="1134" w:right="849" w:bottom="1135"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77CCA" w14:textId="77777777" w:rsidR="00584E9D" w:rsidRDefault="00584E9D" w:rsidP="0034201E">
      <w:r>
        <w:separator/>
      </w:r>
    </w:p>
  </w:endnote>
  <w:endnote w:type="continuationSeparator" w:id="0">
    <w:p w14:paraId="11370AD8" w14:textId="77777777" w:rsidR="00584E9D" w:rsidRDefault="00584E9D" w:rsidP="003420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 Sans">
    <w:altName w:val="Calibri"/>
    <w:panose1 w:val="00000000000000000000"/>
    <w:charset w:val="00"/>
    <w:family w:val="modern"/>
    <w:notTrueType/>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UT Sans Medium">
    <w:altName w:val="Calibri"/>
    <w:panose1 w:val="00000000000000000000"/>
    <w:charset w:val="00"/>
    <w:family w:val="modern"/>
    <w:notTrueType/>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9262118"/>
      <w:docPartObj>
        <w:docPartGallery w:val="Page Numbers (Bottom of Page)"/>
        <w:docPartUnique/>
      </w:docPartObj>
    </w:sdtPr>
    <w:sdtEndPr>
      <w:rPr>
        <w:noProof/>
      </w:rPr>
    </w:sdtEndPr>
    <w:sdtContent>
      <w:p w14:paraId="4EE4F365" w14:textId="77777777" w:rsidR="00486651" w:rsidRDefault="005977AE" w:rsidP="00CC7671">
        <w:pPr>
          <w:pStyle w:val="Footer"/>
          <w:jc w:val="center"/>
        </w:pPr>
        <w:r>
          <w:fldChar w:fldCharType="begin"/>
        </w:r>
        <w:r w:rsidR="00497039">
          <w:instrText xml:space="preserve"> PAGE   \* MERGEFORMAT </w:instrText>
        </w:r>
        <w:r>
          <w:fldChar w:fldCharType="separate"/>
        </w:r>
        <w:r w:rsidR="00060A38">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446180"/>
      <w:docPartObj>
        <w:docPartGallery w:val="Page Numbers (Bottom of Page)"/>
        <w:docPartUnique/>
      </w:docPartObj>
    </w:sdtPr>
    <w:sdtEndPr>
      <w:rPr>
        <w:rFonts w:ascii="UT Sans" w:hAnsi="UT Sans"/>
        <w:noProof/>
      </w:rPr>
    </w:sdtEndPr>
    <w:sdtContent>
      <w:p w14:paraId="647E2BD0" w14:textId="77777777" w:rsidR="00486651" w:rsidRPr="00C65CA8" w:rsidRDefault="005977AE" w:rsidP="00CC7671">
        <w:pPr>
          <w:pStyle w:val="Footer"/>
          <w:jc w:val="center"/>
          <w:rPr>
            <w:rFonts w:ascii="UT Sans" w:hAnsi="UT Sans"/>
          </w:rPr>
        </w:pPr>
        <w:r w:rsidRPr="00C65CA8">
          <w:rPr>
            <w:rFonts w:ascii="UT Sans" w:hAnsi="UT Sans"/>
          </w:rPr>
          <w:fldChar w:fldCharType="begin"/>
        </w:r>
        <w:r w:rsidR="00486651" w:rsidRPr="00C65CA8">
          <w:rPr>
            <w:rFonts w:ascii="UT Sans" w:hAnsi="UT Sans"/>
          </w:rPr>
          <w:instrText xml:space="preserve"> PAGE   \* MERGEFORMAT </w:instrText>
        </w:r>
        <w:r w:rsidRPr="00C65CA8">
          <w:rPr>
            <w:rFonts w:ascii="UT Sans" w:hAnsi="UT Sans"/>
          </w:rPr>
          <w:fldChar w:fldCharType="separate"/>
        </w:r>
        <w:r w:rsidR="00060A38">
          <w:rPr>
            <w:rFonts w:ascii="UT Sans" w:hAnsi="UT Sans"/>
            <w:noProof/>
          </w:rPr>
          <w:t>2</w:t>
        </w:r>
        <w:r w:rsidR="00060A38">
          <w:rPr>
            <w:rFonts w:ascii="UT Sans" w:hAnsi="UT Sans"/>
            <w:noProof/>
          </w:rPr>
          <w:t>5</w:t>
        </w:r>
        <w:r w:rsidRPr="00C65CA8">
          <w:rPr>
            <w:rFonts w:ascii="UT Sans" w:hAnsi="UT Sans"/>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807044"/>
      <w:docPartObj>
        <w:docPartGallery w:val="Page Numbers (Bottom of Page)"/>
        <w:docPartUnique/>
      </w:docPartObj>
    </w:sdtPr>
    <w:sdtEndPr>
      <w:rPr>
        <w:noProof/>
      </w:rPr>
    </w:sdtEndPr>
    <w:sdtContent>
      <w:p w14:paraId="2482BF92" w14:textId="77777777" w:rsidR="00486651" w:rsidRDefault="005977AE">
        <w:pPr>
          <w:pStyle w:val="Footer"/>
          <w:jc w:val="center"/>
        </w:pPr>
        <w:r>
          <w:fldChar w:fldCharType="begin"/>
        </w:r>
        <w:r w:rsidR="00497039">
          <w:instrText xml:space="preserve"> PAGE   \* MERGEFORMAT </w:instrText>
        </w:r>
        <w:r>
          <w:fldChar w:fldCharType="separate"/>
        </w:r>
        <w:r w:rsidR="00060A38">
          <w:rPr>
            <w:noProof/>
          </w:rPr>
          <w:t>2</w:t>
        </w:r>
        <w:r w:rsidR="00060A38">
          <w:rPr>
            <w:noProof/>
          </w:rPr>
          <w:t>6</w:t>
        </w:r>
        <w:r>
          <w:rPr>
            <w:noProof/>
          </w:rPr>
          <w:fldChar w:fldCharType="end"/>
        </w:r>
      </w:p>
    </w:sdtContent>
  </w:sdt>
  <w:p w14:paraId="46FC09A6" w14:textId="77777777" w:rsidR="00486651" w:rsidRDefault="004866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9EB8B" w14:textId="77777777" w:rsidR="00584E9D" w:rsidRDefault="00584E9D" w:rsidP="0034201E">
      <w:r>
        <w:separator/>
      </w:r>
    </w:p>
  </w:footnote>
  <w:footnote w:type="continuationSeparator" w:id="0">
    <w:p w14:paraId="0821F7B1" w14:textId="77777777" w:rsidR="00584E9D" w:rsidRDefault="00584E9D" w:rsidP="003420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C1CB5" w14:textId="77777777" w:rsidR="00486651" w:rsidRPr="002244E6" w:rsidRDefault="00486651" w:rsidP="002244E6">
    <w:pPr>
      <w:pStyle w:val="Header"/>
      <w:pBdr>
        <w:bottom w:val="single" w:sz="4" w:space="1" w:color="auto"/>
      </w:pBdr>
      <w:jc w:val="right"/>
      <w:rPr>
        <w:rFonts w:ascii="UT Sans" w:hAnsi="UT Sans"/>
        <w:sz w:val="20"/>
        <w:szCs w:val="20"/>
        <w:lang w:val="ro-RO"/>
      </w:rPr>
    </w:pPr>
    <w:r w:rsidRPr="00B47391">
      <w:rPr>
        <w:rFonts w:ascii="UT Sans" w:hAnsi="UT Sans"/>
        <w:sz w:val="20"/>
        <w:szCs w:val="20"/>
        <w:lang w:val="ro-RO"/>
      </w:rPr>
      <w:t>Numele și Prenumele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D8204" w14:textId="77777777" w:rsidR="00486651" w:rsidRPr="00B47391" w:rsidRDefault="00486651" w:rsidP="00B47391">
    <w:pPr>
      <w:pStyle w:val="Header"/>
      <w:pBdr>
        <w:bottom w:val="single" w:sz="4" w:space="1" w:color="auto"/>
      </w:pBdr>
      <w:rPr>
        <w:rFonts w:ascii="UT Sans" w:hAnsi="UT Sans"/>
        <w:sz w:val="20"/>
        <w:szCs w:val="20"/>
        <w:lang w:val="ro-RO"/>
      </w:rPr>
    </w:pPr>
    <w:r w:rsidRPr="00B47391">
      <w:rPr>
        <w:rFonts w:ascii="UT Sans" w:hAnsi="UT Sans"/>
        <w:sz w:val="20"/>
        <w:szCs w:val="20"/>
        <w:lang w:val="ro-RO"/>
      </w:rPr>
      <w:t xml:space="preserve">Titlul </w:t>
    </w:r>
    <w:r w:rsidRPr="00B47391">
      <w:rPr>
        <w:rFonts w:ascii="UT Sans" w:hAnsi="UT Sans"/>
        <w:sz w:val="20"/>
        <w:szCs w:val="20"/>
        <w:lang w:val="ro-RO"/>
      </w:rPr>
      <w:t>proiectului de diplomă</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2710F" w14:textId="77777777" w:rsidR="00486651" w:rsidRPr="00B47391" w:rsidRDefault="00486651" w:rsidP="00B4739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B14C3" w14:textId="77777777" w:rsidR="00486651" w:rsidRPr="00B47391" w:rsidRDefault="00486651" w:rsidP="00B473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0D0"/>
    <w:multiLevelType w:val="multilevel"/>
    <w:tmpl w:val="1450A0C4"/>
    <w:lvl w:ilvl="0">
      <w:start w:val="1"/>
      <w:numFmt w:val="decimal"/>
      <w:pStyle w:val="Heading1"/>
      <w:lvlText w:val="%1"/>
      <w:lvlJc w:val="left"/>
      <w:pPr>
        <w:ind w:left="1140" w:hanging="432"/>
      </w:pPr>
      <w:rPr>
        <w:rFonts w:hint="default"/>
      </w:rPr>
    </w:lvl>
    <w:lvl w:ilvl="1">
      <w:start w:val="1"/>
      <w:numFmt w:val="decimal"/>
      <w:pStyle w:val="Heading2"/>
      <w:lvlText w:val="%1.%2"/>
      <w:lvlJc w:val="left"/>
      <w:pPr>
        <w:ind w:left="-76" w:hanging="576"/>
      </w:pPr>
      <w:rPr>
        <w:rFonts w:hint="default"/>
      </w:rPr>
    </w:lvl>
    <w:lvl w:ilvl="2">
      <w:start w:val="1"/>
      <w:numFmt w:val="decimal"/>
      <w:pStyle w:val="Heading3"/>
      <w:lvlText w:val="%1.%2.%3"/>
      <w:lvlJc w:val="left"/>
      <w:pPr>
        <w:ind w:left="-642" w:hanging="720"/>
      </w:pPr>
      <w:rPr>
        <w:rFonts w:hint="default"/>
      </w:rPr>
    </w:lvl>
    <w:lvl w:ilvl="3">
      <w:start w:val="1"/>
      <w:numFmt w:val="decimal"/>
      <w:pStyle w:val="Heading4"/>
      <w:lvlText w:val="%1.%2.%3.%4"/>
      <w:lvlJc w:val="left"/>
      <w:pPr>
        <w:ind w:left="-498" w:hanging="864"/>
      </w:pPr>
      <w:rPr>
        <w:rFonts w:hint="default"/>
      </w:rPr>
    </w:lvl>
    <w:lvl w:ilvl="4">
      <w:start w:val="1"/>
      <w:numFmt w:val="decimal"/>
      <w:pStyle w:val="Heading5"/>
      <w:lvlText w:val="%1.%2.%3.%4.%5"/>
      <w:lvlJc w:val="left"/>
      <w:pPr>
        <w:ind w:left="-354" w:hanging="1008"/>
      </w:pPr>
      <w:rPr>
        <w:rFonts w:hint="default"/>
      </w:rPr>
    </w:lvl>
    <w:lvl w:ilvl="5">
      <w:start w:val="1"/>
      <w:numFmt w:val="decimal"/>
      <w:pStyle w:val="Heading6"/>
      <w:lvlText w:val="%1.%2.%3.%4.%5.%6"/>
      <w:lvlJc w:val="left"/>
      <w:pPr>
        <w:ind w:left="-210" w:hanging="1152"/>
      </w:pPr>
      <w:rPr>
        <w:rFonts w:hint="default"/>
      </w:rPr>
    </w:lvl>
    <w:lvl w:ilvl="6">
      <w:start w:val="1"/>
      <w:numFmt w:val="decimal"/>
      <w:pStyle w:val="Heading7"/>
      <w:lvlText w:val="%1.%2.%3.%4.%5.%6.%7"/>
      <w:lvlJc w:val="left"/>
      <w:pPr>
        <w:ind w:left="-66" w:hanging="1296"/>
      </w:pPr>
      <w:rPr>
        <w:rFonts w:hint="default"/>
      </w:rPr>
    </w:lvl>
    <w:lvl w:ilvl="7">
      <w:start w:val="1"/>
      <w:numFmt w:val="decimal"/>
      <w:pStyle w:val="Heading8"/>
      <w:lvlText w:val="%1.%2.%3.%4.%5.%6.%7.%8"/>
      <w:lvlJc w:val="left"/>
      <w:pPr>
        <w:ind w:left="78" w:hanging="1440"/>
      </w:pPr>
      <w:rPr>
        <w:rFonts w:hint="default"/>
      </w:rPr>
    </w:lvl>
    <w:lvl w:ilvl="8">
      <w:start w:val="1"/>
      <w:numFmt w:val="decimal"/>
      <w:pStyle w:val="Heading9"/>
      <w:lvlText w:val="%1.%2.%3.%4.%5.%6.%7.%8.%9"/>
      <w:lvlJc w:val="left"/>
      <w:pPr>
        <w:ind w:left="222" w:hanging="1584"/>
      </w:pPr>
      <w:rPr>
        <w:rFonts w:hint="default"/>
      </w:rPr>
    </w:lvl>
  </w:abstractNum>
  <w:abstractNum w:abstractNumId="1" w15:restartNumberingAfterBreak="0">
    <w:nsid w:val="0297057F"/>
    <w:multiLevelType w:val="hybridMultilevel"/>
    <w:tmpl w:val="0910F85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08F24CD9"/>
    <w:multiLevelType w:val="hybridMultilevel"/>
    <w:tmpl w:val="CEF8908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15:restartNumberingAfterBreak="0">
    <w:nsid w:val="0B0B5ED6"/>
    <w:multiLevelType w:val="hybridMultilevel"/>
    <w:tmpl w:val="EE943410"/>
    <w:lvl w:ilvl="0" w:tplc="B84489F2">
      <w:start w:val="1"/>
      <w:numFmt w:val="bullet"/>
      <w:lvlText w:val=""/>
      <w:lvlJc w:val="left"/>
      <w:pPr>
        <w:ind w:left="360" w:hanging="360"/>
      </w:pPr>
      <w:rPr>
        <w:rFonts w:ascii="Symbol" w:hAnsi="Symbol" w:hint="default"/>
      </w:rPr>
    </w:lvl>
    <w:lvl w:ilvl="1" w:tplc="90F6D82E">
      <w:start w:val="1"/>
      <w:numFmt w:val="bullet"/>
      <w:lvlText w:val="o"/>
      <w:lvlJc w:val="left"/>
      <w:pPr>
        <w:ind w:left="1080" w:hanging="360"/>
      </w:pPr>
      <w:rPr>
        <w:rFonts w:ascii="Courier New" w:hAnsi="Courier New" w:cs="Courier New" w:hint="default"/>
      </w:rPr>
    </w:lvl>
    <w:lvl w:ilvl="2" w:tplc="079C458E">
      <w:start w:val="1"/>
      <w:numFmt w:val="bullet"/>
      <w:lvlText w:val=""/>
      <w:lvlJc w:val="left"/>
      <w:pPr>
        <w:ind w:left="1800" w:hanging="360"/>
      </w:pPr>
      <w:rPr>
        <w:rFonts w:ascii="Wingdings" w:hAnsi="Wingdings" w:hint="default"/>
      </w:rPr>
    </w:lvl>
    <w:lvl w:ilvl="3" w:tplc="AF88A298">
      <w:start w:val="1"/>
      <w:numFmt w:val="bullet"/>
      <w:lvlText w:val=""/>
      <w:lvlJc w:val="left"/>
      <w:pPr>
        <w:ind w:left="2520" w:hanging="360"/>
      </w:pPr>
      <w:rPr>
        <w:rFonts w:ascii="Symbol" w:hAnsi="Symbol" w:hint="default"/>
      </w:rPr>
    </w:lvl>
    <w:lvl w:ilvl="4" w:tplc="338AA5DE">
      <w:start w:val="1"/>
      <w:numFmt w:val="bullet"/>
      <w:lvlText w:val="o"/>
      <w:lvlJc w:val="left"/>
      <w:pPr>
        <w:ind w:left="3240" w:hanging="360"/>
      </w:pPr>
      <w:rPr>
        <w:rFonts w:ascii="Courier New" w:hAnsi="Courier New" w:cs="Courier New" w:hint="default"/>
      </w:rPr>
    </w:lvl>
    <w:lvl w:ilvl="5" w:tplc="A6D49126">
      <w:start w:val="1"/>
      <w:numFmt w:val="bullet"/>
      <w:lvlText w:val=""/>
      <w:lvlJc w:val="left"/>
      <w:pPr>
        <w:ind w:left="3960" w:hanging="360"/>
      </w:pPr>
      <w:rPr>
        <w:rFonts w:ascii="Wingdings" w:hAnsi="Wingdings" w:hint="default"/>
      </w:rPr>
    </w:lvl>
    <w:lvl w:ilvl="6" w:tplc="D93EC0EC">
      <w:start w:val="1"/>
      <w:numFmt w:val="bullet"/>
      <w:lvlText w:val=""/>
      <w:lvlJc w:val="left"/>
      <w:pPr>
        <w:ind w:left="4680" w:hanging="360"/>
      </w:pPr>
      <w:rPr>
        <w:rFonts w:ascii="Symbol" w:hAnsi="Symbol" w:hint="default"/>
      </w:rPr>
    </w:lvl>
    <w:lvl w:ilvl="7" w:tplc="CA36F344">
      <w:start w:val="1"/>
      <w:numFmt w:val="bullet"/>
      <w:lvlText w:val="o"/>
      <w:lvlJc w:val="left"/>
      <w:pPr>
        <w:ind w:left="5400" w:hanging="360"/>
      </w:pPr>
      <w:rPr>
        <w:rFonts w:ascii="Courier New" w:hAnsi="Courier New" w:cs="Courier New" w:hint="default"/>
      </w:rPr>
    </w:lvl>
    <w:lvl w:ilvl="8" w:tplc="FF4A7258">
      <w:start w:val="1"/>
      <w:numFmt w:val="bullet"/>
      <w:lvlText w:val=""/>
      <w:lvlJc w:val="left"/>
      <w:pPr>
        <w:ind w:left="6120" w:hanging="360"/>
      </w:pPr>
      <w:rPr>
        <w:rFonts w:ascii="Wingdings" w:hAnsi="Wingdings" w:hint="default"/>
      </w:rPr>
    </w:lvl>
  </w:abstractNum>
  <w:abstractNum w:abstractNumId="4" w15:restartNumberingAfterBreak="0">
    <w:nsid w:val="17042E53"/>
    <w:multiLevelType w:val="hybridMultilevel"/>
    <w:tmpl w:val="BF245F7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 w15:restartNumberingAfterBreak="0">
    <w:nsid w:val="21F43E03"/>
    <w:multiLevelType w:val="hybridMultilevel"/>
    <w:tmpl w:val="7AB6268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 w15:restartNumberingAfterBreak="0">
    <w:nsid w:val="317A6126"/>
    <w:multiLevelType w:val="hybridMultilevel"/>
    <w:tmpl w:val="7920231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32BF15C2"/>
    <w:multiLevelType w:val="hybridMultilevel"/>
    <w:tmpl w:val="CDD6284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363C609E"/>
    <w:multiLevelType w:val="hybridMultilevel"/>
    <w:tmpl w:val="9D98582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38CB7A1B"/>
    <w:multiLevelType w:val="hybridMultilevel"/>
    <w:tmpl w:val="819CA8E8"/>
    <w:lvl w:ilvl="0" w:tplc="27F2BDA0">
      <w:start w:val="1"/>
      <w:numFmt w:val="decimal"/>
      <w:lvlText w:val="%1."/>
      <w:lvlJc w:val="left"/>
      <w:pPr>
        <w:ind w:left="720" w:hanging="360"/>
      </w:pPr>
      <w:rPr>
        <w:rFonts w:ascii="UT Sans" w:hAnsi="UT Sans"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590320DA"/>
    <w:multiLevelType w:val="singleLevel"/>
    <w:tmpl w:val="7F42A8F0"/>
    <w:lvl w:ilvl="0">
      <w:numFmt w:val="bullet"/>
      <w:lvlText w:val="-"/>
      <w:lvlJc w:val="left"/>
      <w:pPr>
        <w:tabs>
          <w:tab w:val="num" w:pos="360"/>
        </w:tabs>
        <w:ind w:left="360" w:hanging="360"/>
      </w:pPr>
    </w:lvl>
  </w:abstractNum>
  <w:abstractNum w:abstractNumId="11" w15:restartNumberingAfterBreak="0">
    <w:nsid w:val="6CF36513"/>
    <w:multiLevelType w:val="hybridMultilevel"/>
    <w:tmpl w:val="AA480DFE"/>
    <w:lvl w:ilvl="0" w:tplc="4E766D9C">
      <w:start w:val="1"/>
      <w:numFmt w:val="bullet"/>
      <w:lvlText w:val=""/>
      <w:lvlJc w:val="left"/>
      <w:pPr>
        <w:ind w:left="720" w:hanging="360"/>
      </w:pPr>
      <w:rPr>
        <w:rFonts w:ascii="Symbol" w:hAnsi="Symbol" w:hint="default"/>
      </w:rPr>
    </w:lvl>
    <w:lvl w:ilvl="1" w:tplc="7A6AD68C">
      <w:start w:val="1"/>
      <w:numFmt w:val="bullet"/>
      <w:lvlText w:val="o"/>
      <w:lvlJc w:val="left"/>
      <w:pPr>
        <w:ind w:left="1440" w:hanging="360"/>
      </w:pPr>
      <w:rPr>
        <w:rFonts w:ascii="Courier New" w:hAnsi="Courier New" w:cs="Courier New" w:hint="default"/>
      </w:rPr>
    </w:lvl>
    <w:lvl w:ilvl="2" w:tplc="63FC2A7E">
      <w:start w:val="1"/>
      <w:numFmt w:val="bullet"/>
      <w:lvlText w:val=""/>
      <w:lvlJc w:val="left"/>
      <w:pPr>
        <w:ind w:left="2160" w:hanging="360"/>
      </w:pPr>
      <w:rPr>
        <w:rFonts w:ascii="Wingdings" w:hAnsi="Wingdings" w:hint="default"/>
      </w:rPr>
    </w:lvl>
    <w:lvl w:ilvl="3" w:tplc="9D3A6942">
      <w:start w:val="1"/>
      <w:numFmt w:val="bullet"/>
      <w:lvlText w:val=""/>
      <w:lvlJc w:val="left"/>
      <w:pPr>
        <w:ind w:left="2880" w:hanging="360"/>
      </w:pPr>
      <w:rPr>
        <w:rFonts w:ascii="Symbol" w:hAnsi="Symbol" w:hint="default"/>
      </w:rPr>
    </w:lvl>
    <w:lvl w:ilvl="4" w:tplc="623C23DC">
      <w:start w:val="1"/>
      <w:numFmt w:val="bullet"/>
      <w:lvlText w:val="o"/>
      <w:lvlJc w:val="left"/>
      <w:pPr>
        <w:ind w:left="3600" w:hanging="360"/>
      </w:pPr>
      <w:rPr>
        <w:rFonts w:ascii="Courier New" w:hAnsi="Courier New" w:cs="Courier New" w:hint="default"/>
      </w:rPr>
    </w:lvl>
    <w:lvl w:ilvl="5" w:tplc="2454F892">
      <w:start w:val="1"/>
      <w:numFmt w:val="bullet"/>
      <w:lvlText w:val=""/>
      <w:lvlJc w:val="left"/>
      <w:pPr>
        <w:ind w:left="4320" w:hanging="360"/>
      </w:pPr>
      <w:rPr>
        <w:rFonts w:ascii="Wingdings" w:hAnsi="Wingdings" w:hint="default"/>
      </w:rPr>
    </w:lvl>
    <w:lvl w:ilvl="6" w:tplc="8BE2C324">
      <w:start w:val="1"/>
      <w:numFmt w:val="bullet"/>
      <w:lvlText w:val=""/>
      <w:lvlJc w:val="left"/>
      <w:pPr>
        <w:ind w:left="5040" w:hanging="360"/>
      </w:pPr>
      <w:rPr>
        <w:rFonts w:ascii="Symbol" w:hAnsi="Symbol" w:hint="default"/>
      </w:rPr>
    </w:lvl>
    <w:lvl w:ilvl="7" w:tplc="B4E40A58">
      <w:start w:val="1"/>
      <w:numFmt w:val="bullet"/>
      <w:lvlText w:val="o"/>
      <w:lvlJc w:val="left"/>
      <w:pPr>
        <w:ind w:left="5760" w:hanging="360"/>
      </w:pPr>
      <w:rPr>
        <w:rFonts w:ascii="Courier New" w:hAnsi="Courier New" w:cs="Courier New" w:hint="default"/>
      </w:rPr>
    </w:lvl>
    <w:lvl w:ilvl="8" w:tplc="4D4A8638">
      <w:start w:val="1"/>
      <w:numFmt w:val="bullet"/>
      <w:lvlText w:val=""/>
      <w:lvlJc w:val="left"/>
      <w:pPr>
        <w:ind w:left="6480" w:hanging="360"/>
      </w:pPr>
      <w:rPr>
        <w:rFonts w:ascii="Wingdings" w:hAnsi="Wingdings" w:hint="default"/>
      </w:rPr>
    </w:lvl>
  </w:abstractNum>
  <w:abstractNum w:abstractNumId="12" w15:restartNumberingAfterBreak="0">
    <w:nsid w:val="70412AC2"/>
    <w:multiLevelType w:val="hybridMultilevel"/>
    <w:tmpl w:val="0DCEDD40"/>
    <w:lvl w:ilvl="0" w:tplc="0409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3" w15:restartNumberingAfterBreak="0">
    <w:nsid w:val="76CD6E65"/>
    <w:multiLevelType w:val="hybridMultilevel"/>
    <w:tmpl w:val="F114289E"/>
    <w:lvl w:ilvl="0" w:tplc="98428DE0">
      <w:start w:val="1"/>
      <w:numFmt w:val="bullet"/>
      <w:lvlText w:val=""/>
      <w:lvlJc w:val="left"/>
      <w:pPr>
        <w:ind w:left="720" w:hanging="360"/>
      </w:pPr>
      <w:rPr>
        <w:rFonts w:ascii="Symbol" w:hAnsi="Symbol" w:hint="default"/>
      </w:rPr>
    </w:lvl>
    <w:lvl w:ilvl="1" w:tplc="76A65900">
      <w:start w:val="1"/>
      <w:numFmt w:val="bullet"/>
      <w:lvlText w:val="o"/>
      <w:lvlJc w:val="left"/>
      <w:pPr>
        <w:ind w:left="1440" w:hanging="360"/>
      </w:pPr>
      <w:rPr>
        <w:rFonts w:ascii="Courier New" w:hAnsi="Courier New" w:cs="Courier New" w:hint="default"/>
      </w:rPr>
    </w:lvl>
    <w:lvl w:ilvl="2" w:tplc="E6C0FDB8">
      <w:start w:val="1"/>
      <w:numFmt w:val="bullet"/>
      <w:lvlText w:val=""/>
      <w:lvlJc w:val="left"/>
      <w:pPr>
        <w:ind w:left="2160" w:hanging="360"/>
      </w:pPr>
      <w:rPr>
        <w:rFonts w:ascii="Wingdings" w:hAnsi="Wingdings" w:hint="default"/>
      </w:rPr>
    </w:lvl>
    <w:lvl w:ilvl="3" w:tplc="19EA8EF8">
      <w:start w:val="1"/>
      <w:numFmt w:val="bullet"/>
      <w:lvlText w:val=""/>
      <w:lvlJc w:val="left"/>
      <w:pPr>
        <w:ind w:left="2880" w:hanging="360"/>
      </w:pPr>
      <w:rPr>
        <w:rFonts w:ascii="Symbol" w:hAnsi="Symbol" w:hint="default"/>
      </w:rPr>
    </w:lvl>
    <w:lvl w:ilvl="4" w:tplc="636223D2">
      <w:start w:val="1"/>
      <w:numFmt w:val="bullet"/>
      <w:lvlText w:val="o"/>
      <w:lvlJc w:val="left"/>
      <w:pPr>
        <w:ind w:left="3600" w:hanging="360"/>
      </w:pPr>
      <w:rPr>
        <w:rFonts w:ascii="Courier New" w:hAnsi="Courier New" w:cs="Courier New" w:hint="default"/>
      </w:rPr>
    </w:lvl>
    <w:lvl w:ilvl="5" w:tplc="BBE03782">
      <w:start w:val="1"/>
      <w:numFmt w:val="bullet"/>
      <w:lvlText w:val=""/>
      <w:lvlJc w:val="left"/>
      <w:pPr>
        <w:ind w:left="4320" w:hanging="360"/>
      </w:pPr>
      <w:rPr>
        <w:rFonts w:ascii="Wingdings" w:hAnsi="Wingdings" w:hint="default"/>
      </w:rPr>
    </w:lvl>
    <w:lvl w:ilvl="6" w:tplc="C4A69932">
      <w:start w:val="1"/>
      <w:numFmt w:val="bullet"/>
      <w:lvlText w:val=""/>
      <w:lvlJc w:val="left"/>
      <w:pPr>
        <w:ind w:left="5040" w:hanging="360"/>
      </w:pPr>
      <w:rPr>
        <w:rFonts w:ascii="Symbol" w:hAnsi="Symbol" w:hint="default"/>
      </w:rPr>
    </w:lvl>
    <w:lvl w:ilvl="7" w:tplc="91887092">
      <w:start w:val="1"/>
      <w:numFmt w:val="bullet"/>
      <w:lvlText w:val="o"/>
      <w:lvlJc w:val="left"/>
      <w:pPr>
        <w:ind w:left="5760" w:hanging="360"/>
      </w:pPr>
      <w:rPr>
        <w:rFonts w:ascii="Courier New" w:hAnsi="Courier New" w:cs="Courier New" w:hint="default"/>
      </w:rPr>
    </w:lvl>
    <w:lvl w:ilvl="8" w:tplc="16ECA186">
      <w:start w:val="1"/>
      <w:numFmt w:val="bullet"/>
      <w:lvlText w:val=""/>
      <w:lvlJc w:val="left"/>
      <w:pPr>
        <w:ind w:left="6480" w:hanging="360"/>
      </w:pPr>
      <w:rPr>
        <w:rFonts w:ascii="Wingdings" w:hAnsi="Wingdings" w:hint="default"/>
      </w:rPr>
    </w:lvl>
  </w:abstractNum>
  <w:abstractNum w:abstractNumId="14" w15:restartNumberingAfterBreak="0">
    <w:nsid w:val="7A265D9A"/>
    <w:multiLevelType w:val="hybridMultilevel"/>
    <w:tmpl w:val="322288C0"/>
    <w:lvl w:ilvl="0" w:tplc="04180001">
      <w:start w:val="1"/>
      <w:numFmt w:val="bullet"/>
      <w:lvlText w:val=""/>
      <w:lvlJc w:val="left"/>
      <w:pPr>
        <w:ind w:left="1429" w:hanging="360"/>
      </w:pPr>
      <w:rPr>
        <w:rFonts w:ascii="Symbol" w:hAnsi="Symbol"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15" w15:restartNumberingAfterBreak="0">
    <w:nsid w:val="7D003FBC"/>
    <w:multiLevelType w:val="hybridMultilevel"/>
    <w:tmpl w:val="17A44038"/>
    <w:lvl w:ilvl="0" w:tplc="18782B28">
      <w:start w:val="1"/>
      <w:numFmt w:val="decimal"/>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7E5E30F3"/>
    <w:multiLevelType w:val="hybridMultilevel"/>
    <w:tmpl w:val="045EF2F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67530758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8285195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42306519">
    <w:abstractNumId w:val="0"/>
  </w:num>
  <w:num w:numId="4" w16cid:durableId="246231944">
    <w:abstractNumId w:val="0"/>
  </w:num>
  <w:num w:numId="5" w16cid:durableId="627207479">
    <w:abstractNumId w:val="0"/>
  </w:num>
  <w:num w:numId="6" w16cid:durableId="210312085">
    <w:abstractNumId w:val="0"/>
  </w:num>
  <w:num w:numId="7" w16cid:durableId="3321519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250262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17763384">
    <w:abstractNumId w:val="13"/>
  </w:num>
  <w:num w:numId="10" w16cid:durableId="321933633">
    <w:abstractNumId w:val="16"/>
  </w:num>
  <w:num w:numId="11" w16cid:durableId="1118597034">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78366908">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73565839">
    <w:abstractNumId w:val="11"/>
  </w:num>
  <w:num w:numId="14" w16cid:durableId="894780345">
    <w:abstractNumId w:val="3"/>
  </w:num>
  <w:num w:numId="15" w16cid:durableId="1633318823">
    <w:abstractNumId w:val="0"/>
  </w:num>
  <w:num w:numId="16" w16cid:durableId="745169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31046744">
    <w:abstractNumId w:val="10"/>
  </w:num>
  <w:num w:numId="18" w16cid:durableId="4611175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37918766">
    <w:abstractNumId w:val="0"/>
  </w:num>
  <w:num w:numId="20" w16cid:durableId="818613398">
    <w:abstractNumId w:val="14"/>
  </w:num>
  <w:num w:numId="21" w16cid:durableId="1182276060">
    <w:abstractNumId w:val="2"/>
  </w:num>
  <w:num w:numId="22" w16cid:durableId="313223403">
    <w:abstractNumId w:val="1"/>
  </w:num>
  <w:num w:numId="23" w16cid:durableId="500782491">
    <w:abstractNumId w:val="6"/>
  </w:num>
  <w:num w:numId="24" w16cid:durableId="729037239">
    <w:abstractNumId w:val="12"/>
  </w:num>
  <w:num w:numId="25" w16cid:durableId="453330525">
    <w:abstractNumId w:val="4"/>
  </w:num>
  <w:num w:numId="26" w16cid:durableId="258610134">
    <w:abstractNumId w:val="5"/>
  </w:num>
  <w:num w:numId="27" w16cid:durableId="1642492581">
    <w:abstractNumId w:val="0"/>
  </w:num>
  <w:num w:numId="28" w16cid:durableId="609509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053DA"/>
    <w:rsid w:val="00001ED8"/>
    <w:rsid w:val="0001292A"/>
    <w:rsid w:val="0002699F"/>
    <w:rsid w:val="00047545"/>
    <w:rsid w:val="00060A38"/>
    <w:rsid w:val="00065A76"/>
    <w:rsid w:val="000874D6"/>
    <w:rsid w:val="00092BD7"/>
    <w:rsid w:val="000A182F"/>
    <w:rsid w:val="000A4F2F"/>
    <w:rsid w:val="000A58D4"/>
    <w:rsid w:val="000B3657"/>
    <w:rsid w:val="000C5C96"/>
    <w:rsid w:val="000D39CD"/>
    <w:rsid w:val="000E3A95"/>
    <w:rsid w:val="000E65BD"/>
    <w:rsid w:val="000F24B0"/>
    <w:rsid w:val="00133ABA"/>
    <w:rsid w:val="00146F7C"/>
    <w:rsid w:val="00150B2F"/>
    <w:rsid w:val="0018263B"/>
    <w:rsid w:val="00186E37"/>
    <w:rsid w:val="00190C7D"/>
    <w:rsid w:val="00196E97"/>
    <w:rsid w:val="001B3128"/>
    <w:rsid w:val="001E6E9F"/>
    <w:rsid w:val="00203301"/>
    <w:rsid w:val="00211E80"/>
    <w:rsid w:val="0021384A"/>
    <w:rsid w:val="002244E6"/>
    <w:rsid w:val="002312FD"/>
    <w:rsid w:val="002527EA"/>
    <w:rsid w:val="00252957"/>
    <w:rsid w:val="0026619C"/>
    <w:rsid w:val="00285D43"/>
    <w:rsid w:val="00294D10"/>
    <w:rsid w:val="002B2321"/>
    <w:rsid w:val="002E6F62"/>
    <w:rsid w:val="002F4290"/>
    <w:rsid w:val="00301644"/>
    <w:rsid w:val="0030351A"/>
    <w:rsid w:val="00313DB4"/>
    <w:rsid w:val="0034201E"/>
    <w:rsid w:val="003600FB"/>
    <w:rsid w:val="0036610F"/>
    <w:rsid w:val="00390493"/>
    <w:rsid w:val="00392440"/>
    <w:rsid w:val="003F5F3F"/>
    <w:rsid w:val="00404157"/>
    <w:rsid w:val="004053DA"/>
    <w:rsid w:val="00451838"/>
    <w:rsid w:val="00452E98"/>
    <w:rsid w:val="004543EF"/>
    <w:rsid w:val="004606ED"/>
    <w:rsid w:val="004725CD"/>
    <w:rsid w:val="004733E6"/>
    <w:rsid w:val="00473F97"/>
    <w:rsid w:val="00486541"/>
    <w:rsid w:val="00486651"/>
    <w:rsid w:val="00497039"/>
    <w:rsid w:val="0049724D"/>
    <w:rsid w:val="004A0628"/>
    <w:rsid w:val="004C49BC"/>
    <w:rsid w:val="004D06F7"/>
    <w:rsid w:val="004E5FCA"/>
    <w:rsid w:val="004F6D82"/>
    <w:rsid w:val="004F7867"/>
    <w:rsid w:val="005070C5"/>
    <w:rsid w:val="00510D14"/>
    <w:rsid w:val="0052751E"/>
    <w:rsid w:val="00537BF4"/>
    <w:rsid w:val="00546095"/>
    <w:rsid w:val="0055280C"/>
    <w:rsid w:val="005579E4"/>
    <w:rsid w:val="00574928"/>
    <w:rsid w:val="00575E6E"/>
    <w:rsid w:val="00584E9D"/>
    <w:rsid w:val="0058658F"/>
    <w:rsid w:val="00586D7F"/>
    <w:rsid w:val="005926FB"/>
    <w:rsid w:val="005977AE"/>
    <w:rsid w:val="005A028D"/>
    <w:rsid w:val="005A4E3A"/>
    <w:rsid w:val="005B692D"/>
    <w:rsid w:val="005D77B4"/>
    <w:rsid w:val="005F1F1C"/>
    <w:rsid w:val="005F650B"/>
    <w:rsid w:val="00600C5D"/>
    <w:rsid w:val="0060380B"/>
    <w:rsid w:val="00606726"/>
    <w:rsid w:val="00620800"/>
    <w:rsid w:val="00636057"/>
    <w:rsid w:val="00645038"/>
    <w:rsid w:val="006455AF"/>
    <w:rsid w:val="00656587"/>
    <w:rsid w:val="00666C8B"/>
    <w:rsid w:val="00677196"/>
    <w:rsid w:val="006B5556"/>
    <w:rsid w:val="006C486A"/>
    <w:rsid w:val="006D0900"/>
    <w:rsid w:val="006D0BFA"/>
    <w:rsid w:val="006D649C"/>
    <w:rsid w:val="006E589F"/>
    <w:rsid w:val="007136B3"/>
    <w:rsid w:val="00732C1C"/>
    <w:rsid w:val="00745DB1"/>
    <w:rsid w:val="007612EE"/>
    <w:rsid w:val="00763FFE"/>
    <w:rsid w:val="00773B3A"/>
    <w:rsid w:val="00774778"/>
    <w:rsid w:val="00782580"/>
    <w:rsid w:val="00782FB8"/>
    <w:rsid w:val="00796614"/>
    <w:rsid w:val="00797355"/>
    <w:rsid w:val="007B1C4D"/>
    <w:rsid w:val="007B3020"/>
    <w:rsid w:val="007C1575"/>
    <w:rsid w:val="007D7BC8"/>
    <w:rsid w:val="007E6D14"/>
    <w:rsid w:val="008031A0"/>
    <w:rsid w:val="00846F14"/>
    <w:rsid w:val="00847854"/>
    <w:rsid w:val="00852E32"/>
    <w:rsid w:val="00887989"/>
    <w:rsid w:val="008A2D3D"/>
    <w:rsid w:val="008C2B31"/>
    <w:rsid w:val="008E6913"/>
    <w:rsid w:val="00921E2B"/>
    <w:rsid w:val="0092334B"/>
    <w:rsid w:val="00940BB0"/>
    <w:rsid w:val="00941998"/>
    <w:rsid w:val="00942F81"/>
    <w:rsid w:val="00954E0C"/>
    <w:rsid w:val="00954FD8"/>
    <w:rsid w:val="00990557"/>
    <w:rsid w:val="00990AB4"/>
    <w:rsid w:val="0099116D"/>
    <w:rsid w:val="0099305B"/>
    <w:rsid w:val="0099569B"/>
    <w:rsid w:val="009A5FE6"/>
    <w:rsid w:val="009B1FE1"/>
    <w:rsid w:val="009C5BA8"/>
    <w:rsid w:val="009D5219"/>
    <w:rsid w:val="009F1C94"/>
    <w:rsid w:val="009F7CEB"/>
    <w:rsid w:val="00A00068"/>
    <w:rsid w:val="00A05E4B"/>
    <w:rsid w:val="00A10952"/>
    <w:rsid w:val="00A12EBF"/>
    <w:rsid w:val="00A15348"/>
    <w:rsid w:val="00A33EF0"/>
    <w:rsid w:val="00A358C7"/>
    <w:rsid w:val="00A506C5"/>
    <w:rsid w:val="00A70A0F"/>
    <w:rsid w:val="00A745B8"/>
    <w:rsid w:val="00A82D1A"/>
    <w:rsid w:val="00A83C27"/>
    <w:rsid w:val="00AB31A3"/>
    <w:rsid w:val="00AC2C11"/>
    <w:rsid w:val="00AC50FB"/>
    <w:rsid w:val="00AC5275"/>
    <w:rsid w:val="00AD0455"/>
    <w:rsid w:val="00AD5612"/>
    <w:rsid w:val="00AE2FC8"/>
    <w:rsid w:val="00AF0E64"/>
    <w:rsid w:val="00B00DD5"/>
    <w:rsid w:val="00B17985"/>
    <w:rsid w:val="00B2293B"/>
    <w:rsid w:val="00B363CF"/>
    <w:rsid w:val="00B409C6"/>
    <w:rsid w:val="00B47391"/>
    <w:rsid w:val="00B572E3"/>
    <w:rsid w:val="00B579E9"/>
    <w:rsid w:val="00B6360D"/>
    <w:rsid w:val="00B750CB"/>
    <w:rsid w:val="00B900A0"/>
    <w:rsid w:val="00B916A2"/>
    <w:rsid w:val="00B943E0"/>
    <w:rsid w:val="00BB1ACB"/>
    <w:rsid w:val="00BB2597"/>
    <w:rsid w:val="00BB3D7C"/>
    <w:rsid w:val="00BB6536"/>
    <w:rsid w:val="00BD62C2"/>
    <w:rsid w:val="00BE443C"/>
    <w:rsid w:val="00BF3274"/>
    <w:rsid w:val="00C027A0"/>
    <w:rsid w:val="00C06810"/>
    <w:rsid w:val="00C1649B"/>
    <w:rsid w:val="00C22E8D"/>
    <w:rsid w:val="00C45133"/>
    <w:rsid w:val="00C47208"/>
    <w:rsid w:val="00C65CA8"/>
    <w:rsid w:val="00C825C9"/>
    <w:rsid w:val="00CC077A"/>
    <w:rsid w:val="00CC7671"/>
    <w:rsid w:val="00D05FA0"/>
    <w:rsid w:val="00D170D5"/>
    <w:rsid w:val="00D209B5"/>
    <w:rsid w:val="00D33629"/>
    <w:rsid w:val="00D4064B"/>
    <w:rsid w:val="00D53A35"/>
    <w:rsid w:val="00D80884"/>
    <w:rsid w:val="00D80A4C"/>
    <w:rsid w:val="00D8442E"/>
    <w:rsid w:val="00DA2668"/>
    <w:rsid w:val="00DA26E3"/>
    <w:rsid w:val="00DC7C56"/>
    <w:rsid w:val="00E16A6B"/>
    <w:rsid w:val="00E315B8"/>
    <w:rsid w:val="00E400F5"/>
    <w:rsid w:val="00E43325"/>
    <w:rsid w:val="00E4547D"/>
    <w:rsid w:val="00E532A0"/>
    <w:rsid w:val="00E63431"/>
    <w:rsid w:val="00E7344E"/>
    <w:rsid w:val="00E95D71"/>
    <w:rsid w:val="00EA5039"/>
    <w:rsid w:val="00EB2F90"/>
    <w:rsid w:val="00EB4370"/>
    <w:rsid w:val="00EC0A59"/>
    <w:rsid w:val="00EE6C89"/>
    <w:rsid w:val="00EE7368"/>
    <w:rsid w:val="00EF1D62"/>
    <w:rsid w:val="00EF5BBE"/>
    <w:rsid w:val="00F01832"/>
    <w:rsid w:val="00F146E0"/>
    <w:rsid w:val="00F210B7"/>
    <w:rsid w:val="00F4095C"/>
    <w:rsid w:val="00F626C1"/>
    <w:rsid w:val="00F638BF"/>
    <w:rsid w:val="00F77205"/>
    <w:rsid w:val="00F83B4B"/>
    <w:rsid w:val="00F95B75"/>
    <w:rsid w:val="00FA6DAE"/>
    <w:rsid w:val="00FB6D9C"/>
    <w:rsid w:val="00FD33E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3C0E09AA"/>
  <w15:docId w15:val="{CB431B03-5023-4F8B-B017-C2FB0EFB7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o-RO" w:eastAsia="ro-RO"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qFormat="1"/>
    <w:lsdException w:name="toc 2" w:uiPriority="39" w:qFormat="1"/>
    <w:lsdException w:name="toc 3" w:uiPriority="39" w:qFormat="1"/>
    <w:lsdException w:name="header" w:uiPriority="99"/>
    <w:lsdException w:name="footer" w:uiPriority="99"/>
    <w:lsdException w:name="caption" w:semiHidden="1" w:uiPriority="35" w:unhideWhenUsed="1" w:qFormat="1"/>
    <w:lsdException w:name="Title" w:qFormat="1"/>
    <w:lsdException w:name="Subtitle" w:qFormat="1"/>
    <w:lsdException w:name="Hyperlink" w:uiPriority="99"/>
    <w:lsdException w:name="Strong" w:qFormat="1"/>
    <w:lsdException w:name="Emphasis" w:qFormat="1"/>
    <w:lsdException w:name="Plain Text"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4928"/>
    <w:rPr>
      <w:sz w:val="24"/>
      <w:szCs w:val="24"/>
    </w:rPr>
  </w:style>
  <w:style w:type="paragraph" w:styleId="Heading1">
    <w:name w:val="heading 1"/>
    <w:basedOn w:val="Normal"/>
    <w:next w:val="Normal"/>
    <w:link w:val="Heading1Char"/>
    <w:uiPriority w:val="9"/>
    <w:qFormat/>
    <w:rsid w:val="00EE7368"/>
    <w:pPr>
      <w:keepNext/>
      <w:keepLines/>
      <w:pBdr>
        <w:top w:val="none" w:sz="4" w:space="0" w:color="000000"/>
        <w:left w:val="none" w:sz="4" w:space="0" w:color="000000"/>
        <w:bottom w:val="single" w:sz="4" w:space="1" w:color="595959" w:themeColor="text1" w:themeTint="A6"/>
        <w:right w:val="none" w:sz="4" w:space="0" w:color="000000"/>
        <w:between w:val="none" w:sz="4" w:space="0" w:color="000000"/>
      </w:pBdr>
      <w:spacing w:before="360" w:after="160" w:line="259" w:lineRule="auto"/>
      <w:jc w:val="both"/>
      <w:outlineLvl w:val="0"/>
    </w:pPr>
    <w:rPr>
      <w:rFonts w:ascii="UT Sans" w:eastAsia="Cambria" w:hAnsi="UT Sans" w:cs="Cambria"/>
      <w:b/>
      <w:bCs/>
      <w:smallCaps/>
      <w:color w:val="000000" w:themeColor="text1"/>
      <w:sz w:val="36"/>
      <w:szCs w:val="36"/>
      <w:lang w:val="en-US" w:eastAsia="en-US"/>
    </w:rPr>
  </w:style>
  <w:style w:type="paragraph" w:styleId="Heading2">
    <w:name w:val="heading 2"/>
    <w:basedOn w:val="Normal"/>
    <w:next w:val="Normal"/>
    <w:link w:val="Heading2Char"/>
    <w:uiPriority w:val="9"/>
    <w:unhideWhenUsed/>
    <w:qFormat/>
    <w:rsid w:val="00EE7368"/>
    <w:pPr>
      <w:keepNext/>
      <w:keepLines/>
      <w:pBdr>
        <w:top w:val="none" w:sz="4" w:space="0" w:color="000000"/>
        <w:left w:val="none" w:sz="4" w:space="0" w:color="000000"/>
        <w:bottom w:val="none" w:sz="4" w:space="0" w:color="000000"/>
        <w:right w:val="none" w:sz="4" w:space="0" w:color="000000"/>
        <w:between w:val="none" w:sz="4" w:space="0" w:color="000000"/>
      </w:pBdr>
      <w:spacing w:before="360" w:line="259" w:lineRule="auto"/>
      <w:jc w:val="both"/>
      <w:outlineLvl w:val="1"/>
    </w:pPr>
    <w:rPr>
      <w:rFonts w:ascii="UT Sans" w:eastAsia="Cambria" w:hAnsi="UT Sans" w:cs="Cambria"/>
      <w:b/>
      <w:bCs/>
      <w:smallCaps/>
      <w:color w:val="000000" w:themeColor="text1"/>
      <w:sz w:val="28"/>
      <w:szCs w:val="28"/>
      <w:lang w:val="en-US" w:eastAsia="en-US"/>
    </w:rPr>
  </w:style>
  <w:style w:type="paragraph" w:styleId="Heading3">
    <w:name w:val="heading 3"/>
    <w:basedOn w:val="Normal"/>
    <w:next w:val="Normal"/>
    <w:link w:val="Heading3Char"/>
    <w:uiPriority w:val="9"/>
    <w:unhideWhenUsed/>
    <w:qFormat/>
    <w:rsid w:val="00EE7368"/>
    <w:pPr>
      <w:keepNext/>
      <w:keepLines/>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2"/>
    </w:pPr>
    <w:rPr>
      <w:rFonts w:ascii="UT Sans" w:eastAsia="Cambria" w:hAnsi="UT Sans" w:cs="Cambria"/>
      <w:b/>
      <w:bCs/>
      <w:color w:val="000000" w:themeColor="text1"/>
      <w:sz w:val="22"/>
      <w:szCs w:val="22"/>
      <w:lang w:val="en-US" w:eastAsia="en-US"/>
    </w:rPr>
  </w:style>
  <w:style w:type="paragraph" w:styleId="Heading4">
    <w:name w:val="heading 4"/>
    <w:basedOn w:val="Normal"/>
    <w:next w:val="Normal"/>
    <w:link w:val="Heading4Char"/>
    <w:uiPriority w:val="9"/>
    <w:unhideWhenUsed/>
    <w:qFormat/>
    <w:rsid w:val="00EE7368"/>
    <w:pPr>
      <w:keepNext/>
      <w:keepLines/>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3"/>
    </w:pPr>
    <w:rPr>
      <w:rFonts w:ascii="UT Sans" w:eastAsia="Cambria" w:hAnsi="UT Sans" w:cs="Cambria"/>
      <w:b/>
      <w:bCs/>
      <w:i/>
      <w:iCs/>
      <w:color w:val="000000" w:themeColor="text1"/>
      <w:sz w:val="22"/>
      <w:szCs w:val="22"/>
      <w:lang w:val="en-US" w:eastAsia="en-US"/>
    </w:rPr>
  </w:style>
  <w:style w:type="paragraph" w:styleId="Heading5">
    <w:name w:val="heading 5"/>
    <w:basedOn w:val="Normal"/>
    <w:next w:val="Normal"/>
    <w:link w:val="Heading5Char"/>
    <w:uiPriority w:val="9"/>
    <w:unhideWhenUsed/>
    <w:qFormat/>
    <w:rsid w:val="00EE7368"/>
    <w:pPr>
      <w:keepNext/>
      <w:keepLines/>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4"/>
    </w:pPr>
    <w:rPr>
      <w:rFonts w:ascii="UT Sans" w:eastAsia="Cambria" w:hAnsi="UT Sans" w:cs="Cambria"/>
      <w:color w:val="17365D" w:themeColor="text2" w:themeShade="BF"/>
      <w:sz w:val="22"/>
      <w:szCs w:val="22"/>
      <w:lang w:val="en-US" w:eastAsia="en-US"/>
    </w:rPr>
  </w:style>
  <w:style w:type="paragraph" w:styleId="Heading6">
    <w:name w:val="heading 6"/>
    <w:basedOn w:val="Normal"/>
    <w:next w:val="Normal"/>
    <w:link w:val="Heading6Char"/>
    <w:uiPriority w:val="9"/>
    <w:unhideWhenUsed/>
    <w:qFormat/>
    <w:rsid w:val="00EE7368"/>
    <w:pPr>
      <w:keepNext/>
      <w:keepLines/>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5"/>
    </w:pPr>
    <w:rPr>
      <w:rFonts w:ascii="UT Sans" w:eastAsia="Cambria" w:hAnsi="UT Sans" w:cs="Cambria"/>
      <w:i/>
      <w:iCs/>
      <w:color w:val="17365D" w:themeColor="text2" w:themeShade="BF"/>
      <w:sz w:val="22"/>
      <w:szCs w:val="22"/>
      <w:lang w:val="en-US" w:eastAsia="en-US"/>
    </w:rPr>
  </w:style>
  <w:style w:type="paragraph" w:styleId="Heading7">
    <w:name w:val="heading 7"/>
    <w:basedOn w:val="Normal"/>
    <w:next w:val="Normal"/>
    <w:link w:val="Heading7Char"/>
    <w:uiPriority w:val="9"/>
    <w:unhideWhenUsed/>
    <w:qFormat/>
    <w:rsid w:val="00EE7368"/>
    <w:pPr>
      <w:keepNext/>
      <w:keepLines/>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6"/>
    </w:pPr>
    <w:rPr>
      <w:rFonts w:ascii="UT Sans" w:eastAsia="Cambria" w:hAnsi="UT Sans" w:cs="Cambria"/>
      <w:i/>
      <w:iCs/>
      <w:color w:val="404040" w:themeColor="text1" w:themeTint="BF"/>
      <w:sz w:val="22"/>
      <w:szCs w:val="22"/>
      <w:lang w:val="en-US" w:eastAsia="en-US"/>
    </w:rPr>
  </w:style>
  <w:style w:type="paragraph" w:styleId="Heading8">
    <w:name w:val="heading 8"/>
    <w:basedOn w:val="Normal"/>
    <w:next w:val="Normal"/>
    <w:link w:val="Heading8Char"/>
    <w:uiPriority w:val="9"/>
    <w:unhideWhenUsed/>
    <w:qFormat/>
    <w:rsid w:val="00EE7368"/>
    <w:pPr>
      <w:keepNext/>
      <w:keepLines/>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7"/>
    </w:pPr>
    <w:rPr>
      <w:rFonts w:ascii="UT Sans" w:eastAsia="Cambria" w:hAnsi="UT Sans" w:cs="Cambria"/>
      <w:color w:val="404040" w:themeColor="text1" w:themeTint="BF"/>
      <w:sz w:val="20"/>
      <w:szCs w:val="20"/>
      <w:lang w:val="en-US" w:eastAsia="en-US"/>
    </w:rPr>
  </w:style>
  <w:style w:type="paragraph" w:styleId="Heading9">
    <w:name w:val="heading 9"/>
    <w:basedOn w:val="Normal"/>
    <w:next w:val="Normal"/>
    <w:link w:val="Heading9Char"/>
    <w:uiPriority w:val="9"/>
    <w:unhideWhenUsed/>
    <w:qFormat/>
    <w:rsid w:val="00EE7368"/>
    <w:pPr>
      <w:keepNext/>
      <w:keepLines/>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8"/>
    </w:pPr>
    <w:rPr>
      <w:rFonts w:ascii="UT Sans" w:eastAsia="Cambria" w:hAnsi="UT Sans" w:cs="Cambria"/>
      <w:i/>
      <w:iCs/>
      <w:color w:val="404040" w:themeColor="text1" w:themeTint="BF"/>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053DA"/>
    <w:pPr>
      <w:pBdr>
        <w:top w:val="none" w:sz="4" w:space="0" w:color="000000"/>
        <w:left w:val="none" w:sz="4" w:space="0" w:color="000000"/>
        <w:bottom w:val="none" w:sz="4" w:space="0" w:color="000000"/>
        <w:right w:val="none" w:sz="4" w:space="0" w:color="000000"/>
        <w:between w:val="none" w:sz="4" w:space="0" w:color="000000"/>
      </w:pBdr>
    </w:pPr>
    <w:rPr>
      <w:rFonts w:ascii="Calibri" w:eastAsia="Calibri" w:hAnsi="Calibri" w:cs="Calibri"/>
      <w:sz w:val="22"/>
      <w:szCs w:val="22"/>
      <w:lang w:val="en-US" w:eastAsia="en-US"/>
    </w:rPr>
  </w:style>
  <w:style w:type="character" w:customStyle="1" w:styleId="NoSpacingChar">
    <w:name w:val="No Spacing Char"/>
    <w:basedOn w:val="DefaultParagraphFont"/>
    <w:link w:val="NoSpacing"/>
    <w:uiPriority w:val="1"/>
    <w:rsid w:val="004053DA"/>
    <w:rPr>
      <w:rFonts w:ascii="Calibri" w:eastAsia="Calibri" w:hAnsi="Calibri" w:cs="Calibri"/>
      <w:sz w:val="22"/>
      <w:szCs w:val="22"/>
      <w:lang w:val="en-US" w:eastAsia="en-US"/>
    </w:rPr>
  </w:style>
  <w:style w:type="paragraph" w:styleId="BalloonText">
    <w:name w:val="Balloon Text"/>
    <w:basedOn w:val="Normal"/>
    <w:link w:val="BalloonTextChar"/>
    <w:rsid w:val="008A2D3D"/>
    <w:rPr>
      <w:rFonts w:ascii="Tahoma" w:hAnsi="Tahoma" w:cs="Tahoma"/>
      <w:sz w:val="16"/>
      <w:szCs w:val="16"/>
    </w:rPr>
  </w:style>
  <w:style w:type="character" w:customStyle="1" w:styleId="BalloonTextChar">
    <w:name w:val="Balloon Text Char"/>
    <w:basedOn w:val="DefaultParagraphFont"/>
    <w:link w:val="BalloonText"/>
    <w:rsid w:val="008A2D3D"/>
    <w:rPr>
      <w:rFonts w:ascii="Tahoma" w:hAnsi="Tahoma" w:cs="Tahoma"/>
      <w:sz w:val="16"/>
      <w:szCs w:val="16"/>
    </w:rPr>
  </w:style>
  <w:style w:type="paragraph" w:styleId="Header">
    <w:name w:val="header"/>
    <w:basedOn w:val="Normal"/>
    <w:link w:val="HeaderChar1"/>
    <w:uiPriority w:val="99"/>
    <w:rsid w:val="00EE7368"/>
    <w:pPr>
      <w:tabs>
        <w:tab w:val="center" w:pos="4320"/>
        <w:tab w:val="right" w:pos="8640"/>
      </w:tabs>
    </w:pPr>
    <w:rPr>
      <w:lang w:val="en-GB" w:eastAsia="en-US"/>
    </w:rPr>
  </w:style>
  <w:style w:type="character" w:customStyle="1" w:styleId="HeaderChar">
    <w:name w:val="Header Char"/>
    <w:basedOn w:val="DefaultParagraphFont"/>
    <w:uiPriority w:val="99"/>
    <w:rsid w:val="00EE7368"/>
    <w:rPr>
      <w:sz w:val="24"/>
      <w:szCs w:val="24"/>
    </w:rPr>
  </w:style>
  <w:style w:type="character" w:customStyle="1" w:styleId="HeaderChar1">
    <w:name w:val="Header Char1"/>
    <w:link w:val="Header"/>
    <w:locked/>
    <w:rsid w:val="00EE7368"/>
    <w:rPr>
      <w:sz w:val="24"/>
      <w:szCs w:val="24"/>
      <w:lang w:val="en-GB" w:eastAsia="en-US"/>
    </w:rPr>
  </w:style>
  <w:style w:type="character" w:customStyle="1" w:styleId="Heading1Char">
    <w:name w:val="Heading 1 Char"/>
    <w:basedOn w:val="DefaultParagraphFont"/>
    <w:link w:val="Heading1"/>
    <w:uiPriority w:val="9"/>
    <w:rsid w:val="00EE7368"/>
    <w:rPr>
      <w:rFonts w:ascii="UT Sans" w:eastAsia="Cambria" w:hAnsi="UT Sans" w:cs="Cambria"/>
      <w:b/>
      <w:bCs/>
      <w:smallCaps/>
      <w:color w:val="000000" w:themeColor="text1"/>
      <w:sz w:val="36"/>
      <w:szCs w:val="36"/>
      <w:lang w:val="en-US" w:eastAsia="en-US"/>
    </w:rPr>
  </w:style>
  <w:style w:type="character" w:customStyle="1" w:styleId="Heading2Char">
    <w:name w:val="Heading 2 Char"/>
    <w:basedOn w:val="DefaultParagraphFont"/>
    <w:link w:val="Heading2"/>
    <w:uiPriority w:val="9"/>
    <w:rsid w:val="00EE7368"/>
    <w:rPr>
      <w:rFonts w:ascii="UT Sans" w:eastAsia="Cambria" w:hAnsi="UT Sans" w:cs="Cambria"/>
      <w:b/>
      <w:bCs/>
      <w:smallCaps/>
      <w:color w:val="000000" w:themeColor="text1"/>
      <w:sz w:val="28"/>
      <w:szCs w:val="28"/>
      <w:lang w:val="en-US" w:eastAsia="en-US"/>
    </w:rPr>
  </w:style>
  <w:style w:type="character" w:customStyle="1" w:styleId="Heading3Char">
    <w:name w:val="Heading 3 Char"/>
    <w:basedOn w:val="DefaultParagraphFont"/>
    <w:link w:val="Heading3"/>
    <w:uiPriority w:val="9"/>
    <w:rsid w:val="00EE7368"/>
    <w:rPr>
      <w:rFonts w:ascii="UT Sans" w:eastAsia="Cambria" w:hAnsi="UT Sans" w:cs="Cambria"/>
      <w:b/>
      <w:bCs/>
      <w:color w:val="000000" w:themeColor="text1"/>
      <w:sz w:val="22"/>
      <w:szCs w:val="22"/>
      <w:lang w:val="en-US" w:eastAsia="en-US"/>
    </w:rPr>
  </w:style>
  <w:style w:type="character" w:customStyle="1" w:styleId="Heading4Char">
    <w:name w:val="Heading 4 Char"/>
    <w:basedOn w:val="DefaultParagraphFont"/>
    <w:link w:val="Heading4"/>
    <w:uiPriority w:val="9"/>
    <w:rsid w:val="00EE7368"/>
    <w:rPr>
      <w:rFonts w:ascii="UT Sans" w:eastAsia="Cambria" w:hAnsi="UT Sans" w:cs="Cambria"/>
      <w:b/>
      <w:bCs/>
      <w:i/>
      <w:iCs/>
      <w:color w:val="000000" w:themeColor="text1"/>
      <w:sz w:val="22"/>
      <w:szCs w:val="22"/>
      <w:lang w:val="en-US" w:eastAsia="en-US"/>
    </w:rPr>
  </w:style>
  <w:style w:type="character" w:customStyle="1" w:styleId="Heading5Char">
    <w:name w:val="Heading 5 Char"/>
    <w:basedOn w:val="DefaultParagraphFont"/>
    <w:link w:val="Heading5"/>
    <w:uiPriority w:val="9"/>
    <w:rsid w:val="00EE7368"/>
    <w:rPr>
      <w:rFonts w:ascii="UT Sans" w:eastAsia="Cambria" w:hAnsi="UT Sans" w:cs="Cambria"/>
      <w:color w:val="17365D" w:themeColor="text2" w:themeShade="BF"/>
      <w:sz w:val="22"/>
      <w:szCs w:val="22"/>
      <w:lang w:val="en-US" w:eastAsia="en-US"/>
    </w:rPr>
  </w:style>
  <w:style w:type="character" w:customStyle="1" w:styleId="Heading6Char">
    <w:name w:val="Heading 6 Char"/>
    <w:basedOn w:val="DefaultParagraphFont"/>
    <w:link w:val="Heading6"/>
    <w:uiPriority w:val="9"/>
    <w:rsid w:val="00EE7368"/>
    <w:rPr>
      <w:rFonts w:ascii="UT Sans" w:eastAsia="Cambria" w:hAnsi="UT Sans" w:cs="Cambria"/>
      <w:i/>
      <w:iCs/>
      <w:color w:val="17365D" w:themeColor="text2" w:themeShade="BF"/>
      <w:sz w:val="22"/>
      <w:szCs w:val="22"/>
      <w:lang w:val="en-US" w:eastAsia="en-US"/>
    </w:rPr>
  </w:style>
  <w:style w:type="character" w:customStyle="1" w:styleId="Heading7Char">
    <w:name w:val="Heading 7 Char"/>
    <w:basedOn w:val="DefaultParagraphFont"/>
    <w:link w:val="Heading7"/>
    <w:uiPriority w:val="9"/>
    <w:rsid w:val="00EE7368"/>
    <w:rPr>
      <w:rFonts w:ascii="UT Sans" w:eastAsia="Cambria" w:hAnsi="UT Sans" w:cs="Cambria"/>
      <w:i/>
      <w:iCs/>
      <w:color w:val="404040" w:themeColor="text1" w:themeTint="BF"/>
      <w:sz w:val="22"/>
      <w:szCs w:val="22"/>
      <w:lang w:val="en-US" w:eastAsia="en-US"/>
    </w:rPr>
  </w:style>
  <w:style w:type="character" w:customStyle="1" w:styleId="Heading8Char">
    <w:name w:val="Heading 8 Char"/>
    <w:basedOn w:val="DefaultParagraphFont"/>
    <w:link w:val="Heading8"/>
    <w:uiPriority w:val="9"/>
    <w:rsid w:val="00EE7368"/>
    <w:rPr>
      <w:rFonts w:ascii="UT Sans" w:eastAsia="Cambria" w:hAnsi="UT Sans" w:cs="Cambria"/>
      <w:color w:val="404040" w:themeColor="text1" w:themeTint="BF"/>
      <w:lang w:val="en-US" w:eastAsia="en-US"/>
    </w:rPr>
  </w:style>
  <w:style w:type="character" w:customStyle="1" w:styleId="Heading9Char">
    <w:name w:val="Heading 9 Char"/>
    <w:basedOn w:val="DefaultParagraphFont"/>
    <w:link w:val="Heading9"/>
    <w:uiPriority w:val="9"/>
    <w:rsid w:val="00EE7368"/>
    <w:rPr>
      <w:rFonts w:ascii="UT Sans" w:eastAsia="Cambria" w:hAnsi="UT Sans" w:cs="Cambria"/>
      <w:i/>
      <w:iCs/>
      <w:color w:val="404040" w:themeColor="text1" w:themeTint="BF"/>
      <w:lang w:val="en-US" w:eastAsia="en-US"/>
    </w:rPr>
  </w:style>
  <w:style w:type="paragraph" w:styleId="TOCHeading">
    <w:name w:val="TOC Heading"/>
    <w:basedOn w:val="Heading1"/>
    <w:next w:val="Normal"/>
    <w:uiPriority w:val="39"/>
    <w:semiHidden/>
    <w:unhideWhenUsed/>
    <w:qFormat/>
    <w:rsid w:val="0034201E"/>
    <w:pPr>
      <w:numPr>
        <w:numId w:val="0"/>
      </w:numPr>
      <w:pBdr>
        <w:top w:val="none" w:sz="0" w:space="0" w:color="auto"/>
        <w:left w:val="none" w:sz="0" w:space="0" w:color="auto"/>
        <w:bottom w:val="none" w:sz="0" w:space="0" w:color="auto"/>
        <w:right w:val="none" w:sz="0" w:space="0" w:color="auto"/>
        <w:between w:val="none" w:sz="0" w:space="0" w:color="auto"/>
      </w:pBdr>
      <w:spacing w:before="480" w:after="0" w:line="276" w:lineRule="auto"/>
      <w:jc w:val="left"/>
      <w:outlineLvl w:val="9"/>
    </w:pPr>
    <w:rPr>
      <w:rFonts w:asciiTheme="majorHAnsi" w:eastAsiaTheme="majorEastAsia" w:hAnsiTheme="majorHAnsi" w:cstheme="majorBidi"/>
      <w:smallCaps w:val="0"/>
      <w:color w:val="365F91" w:themeColor="accent1" w:themeShade="BF"/>
      <w:sz w:val="28"/>
      <w:szCs w:val="28"/>
      <w:lang w:eastAsia="ja-JP"/>
    </w:rPr>
  </w:style>
  <w:style w:type="paragraph" w:styleId="TOC2">
    <w:name w:val="toc 2"/>
    <w:basedOn w:val="Normal"/>
    <w:next w:val="Normal"/>
    <w:autoRedefine/>
    <w:uiPriority w:val="39"/>
    <w:qFormat/>
    <w:rsid w:val="00F77205"/>
    <w:pPr>
      <w:tabs>
        <w:tab w:val="left" w:pos="851"/>
        <w:tab w:val="right" w:leader="dot" w:pos="9498"/>
      </w:tabs>
      <w:spacing w:after="100"/>
      <w:ind w:left="426" w:right="81"/>
    </w:pPr>
  </w:style>
  <w:style w:type="character" w:styleId="Hyperlink">
    <w:name w:val="Hyperlink"/>
    <w:basedOn w:val="DefaultParagraphFont"/>
    <w:uiPriority w:val="99"/>
    <w:unhideWhenUsed/>
    <w:rsid w:val="0034201E"/>
    <w:rPr>
      <w:color w:val="0000FF" w:themeColor="hyperlink"/>
      <w:u w:val="single"/>
    </w:rPr>
  </w:style>
  <w:style w:type="paragraph" w:styleId="TOC1">
    <w:name w:val="toc 1"/>
    <w:basedOn w:val="Normal"/>
    <w:next w:val="Normal"/>
    <w:autoRedefine/>
    <w:uiPriority w:val="39"/>
    <w:qFormat/>
    <w:rsid w:val="005A4E3A"/>
    <w:pPr>
      <w:tabs>
        <w:tab w:val="left" w:pos="448"/>
        <w:tab w:val="right" w:leader="dot" w:pos="9498"/>
      </w:tabs>
      <w:spacing w:after="100"/>
    </w:pPr>
  </w:style>
  <w:style w:type="paragraph" w:styleId="Footer">
    <w:name w:val="footer"/>
    <w:basedOn w:val="Normal"/>
    <w:link w:val="FooterChar"/>
    <w:uiPriority w:val="99"/>
    <w:rsid w:val="0034201E"/>
    <w:pPr>
      <w:tabs>
        <w:tab w:val="center" w:pos="4536"/>
        <w:tab w:val="right" w:pos="9072"/>
      </w:tabs>
    </w:pPr>
  </w:style>
  <w:style w:type="character" w:customStyle="1" w:styleId="FooterChar">
    <w:name w:val="Footer Char"/>
    <w:basedOn w:val="DefaultParagraphFont"/>
    <w:link w:val="Footer"/>
    <w:uiPriority w:val="99"/>
    <w:rsid w:val="0034201E"/>
    <w:rPr>
      <w:sz w:val="24"/>
      <w:szCs w:val="24"/>
    </w:rPr>
  </w:style>
  <w:style w:type="paragraph" w:styleId="Caption">
    <w:name w:val="caption"/>
    <w:basedOn w:val="Normal"/>
    <w:next w:val="Normal"/>
    <w:link w:val="CaptionChar"/>
    <w:uiPriority w:val="35"/>
    <w:unhideWhenUsed/>
    <w:qFormat/>
    <w:rsid w:val="0034201E"/>
    <w:pPr>
      <w:pBdr>
        <w:top w:val="none" w:sz="4" w:space="0" w:color="000000"/>
        <w:left w:val="none" w:sz="4" w:space="0" w:color="000000"/>
        <w:bottom w:val="none" w:sz="4" w:space="0" w:color="000000"/>
        <w:right w:val="none" w:sz="4" w:space="0" w:color="000000"/>
        <w:between w:val="none" w:sz="4" w:space="0" w:color="000000"/>
      </w:pBdr>
      <w:spacing w:after="200"/>
      <w:jc w:val="center"/>
    </w:pPr>
    <w:rPr>
      <w:rFonts w:ascii="UT Sans" w:eastAsia="Calibri" w:hAnsi="UT Sans" w:cs="Calibri"/>
      <w:i/>
      <w:iCs/>
      <w:color w:val="1F497D" w:themeColor="text2"/>
      <w:sz w:val="18"/>
      <w:szCs w:val="18"/>
      <w:lang w:val="en-US" w:eastAsia="en-US"/>
    </w:rPr>
  </w:style>
  <w:style w:type="character" w:customStyle="1" w:styleId="CaptionChar">
    <w:name w:val="Caption Char"/>
    <w:basedOn w:val="DefaultParagraphFont"/>
    <w:link w:val="Caption"/>
    <w:uiPriority w:val="35"/>
    <w:rsid w:val="0034201E"/>
    <w:rPr>
      <w:rFonts w:ascii="UT Sans" w:eastAsia="Calibri" w:hAnsi="UT Sans" w:cs="Calibri"/>
      <w:i/>
      <w:iCs/>
      <w:color w:val="1F497D" w:themeColor="text2"/>
      <w:sz w:val="18"/>
      <w:szCs w:val="18"/>
      <w:lang w:val="en-US" w:eastAsia="en-US"/>
    </w:rPr>
  </w:style>
  <w:style w:type="paragraph" w:styleId="ListParagraph">
    <w:name w:val="List Paragraph"/>
    <w:basedOn w:val="Normal"/>
    <w:link w:val="ListParagraphChar"/>
    <w:uiPriority w:val="34"/>
    <w:qFormat/>
    <w:rsid w:val="0034201E"/>
    <w:pPr>
      <w:pBdr>
        <w:top w:val="none" w:sz="4" w:space="0" w:color="000000"/>
        <w:left w:val="none" w:sz="4" w:space="0" w:color="000000"/>
        <w:bottom w:val="none" w:sz="4" w:space="0" w:color="000000"/>
        <w:right w:val="none" w:sz="4" w:space="0" w:color="000000"/>
        <w:between w:val="none" w:sz="4" w:space="0" w:color="000000"/>
      </w:pBdr>
      <w:spacing w:after="160" w:line="259" w:lineRule="auto"/>
      <w:ind w:left="720"/>
      <w:contextualSpacing/>
      <w:jc w:val="both"/>
    </w:pPr>
    <w:rPr>
      <w:rFonts w:ascii="UT Sans" w:eastAsia="Calibri" w:hAnsi="UT Sans" w:cs="Calibri"/>
      <w:sz w:val="22"/>
      <w:szCs w:val="22"/>
      <w:lang w:val="en-US" w:eastAsia="en-US"/>
    </w:rPr>
  </w:style>
  <w:style w:type="character" w:customStyle="1" w:styleId="ListParagraphChar">
    <w:name w:val="List Paragraph Char"/>
    <w:basedOn w:val="DefaultParagraphFont"/>
    <w:link w:val="ListParagraph"/>
    <w:uiPriority w:val="34"/>
    <w:rsid w:val="0034201E"/>
    <w:rPr>
      <w:rFonts w:ascii="UT Sans" w:eastAsia="Calibri" w:hAnsi="UT Sans" w:cs="Calibri"/>
      <w:sz w:val="22"/>
      <w:szCs w:val="22"/>
      <w:lang w:val="en-US" w:eastAsia="en-US"/>
    </w:rPr>
  </w:style>
  <w:style w:type="paragraph" w:styleId="TOC3">
    <w:name w:val="toc 3"/>
    <w:basedOn w:val="Normal"/>
    <w:next w:val="Normal"/>
    <w:autoRedefine/>
    <w:uiPriority w:val="39"/>
    <w:qFormat/>
    <w:rsid w:val="00666C8B"/>
    <w:pPr>
      <w:tabs>
        <w:tab w:val="left" w:pos="1560"/>
        <w:tab w:val="right" w:leader="dot" w:pos="9498"/>
      </w:tabs>
      <w:spacing w:after="100"/>
      <w:ind w:left="851"/>
    </w:pPr>
  </w:style>
  <w:style w:type="paragraph" w:styleId="PlainText">
    <w:name w:val="Plain Text"/>
    <w:basedOn w:val="Normal"/>
    <w:link w:val="PlainTextChar"/>
    <w:uiPriority w:val="99"/>
    <w:unhideWhenUsed/>
    <w:qFormat/>
    <w:rsid w:val="00745DB1"/>
    <w:pPr>
      <w:pBdr>
        <w:top w:val="none" w:sz="4" w:space="0" w:color="000000"/>
        <w:left w:val="none" w:sz="4" w:space="0" w:color="000000"/>
        <w:bottom w:val="none" w:sz="4" w:space="0" w:color="000000"/>
        <w:right w:val="none" w:sz="4" w:space="0" w:color="000000"/>
        <w:between w:val="none" w:sz="4" w:space="0" w:color="000000"/>
      </w:pBdr>
    </w:pPr>
    <w:rPr>
      <w:rFonts w:ascii="Courier New" w:eastAsia="Calibri" w:hAnsi="Courier New" w:cs="Calibri"/>
      <w:sz w:val="16"/>
      <w:szCs w:val="21"/>
      <w:lang w:val="en-US" w:eastAsia="en-US"/>
    </w:rPr>
  </w:style>
  <w:style w:type="character" w:customStyle="1" w:styleId="PlainTextChar">
    <w:name w:val="Plain Text Char"/>
    <w:basedOn w:val="DefaultParagraphFont"/>
    <w:link w:val="PlainText"/>
    <w:uiPriority w:val="99"/>
    <w:rsid w:val="00745DB1"/>
    <w:rPr>
      <w:rFonts w:ascii="Courier New" w:eastAsia="Calibri" w:hAnsi="Courier New" w:cs="Calibri"/>
      <w:sz w:val="16"/>
      <w:szCs w:val="21"/>
      <w:lang w:val="en-US" w:eastAsia="en-US"/>
    </w:rPr>
  </w:style>
  <w:style w:type="paragraph" w:styleId="BodyTextIndent">
    <w:name w:val="Body Text Indent"/>
    <w:basedOn w:val="Normal"/>
    <w:link w:val="BodyTextIndentChar1"/>
    <w:rsid w:val="007136B3"/>
    <w:pPr>
      <w:spacing w:after="120"/>
      <w:ind w:left="283"/>
    </w:pPr>
    <w:rPr>
      <w:lang w:val="en-GB" w:eastAsia="en-US"/>
    </w:rPr>
  </w:style>
  <w:style w:type="character" w:customStyle="1" w:styleId="BodyTextIndentChar">
    <w:name w:val="Body Text Indent Char"/>
    <w:basedOn w:val="DefaultParagraphFont"/>
    <w:rsid w:val="007136B3"/>
    <w:rPr>
      <w:sz w:val="24"/>
      <w:szCs w:val="24"/>
    </w:rPr>
  </w:style>
  <w:style w:type="character" w:customStyle="1" w:styleId="BodyTextIndentChar1">
    <w:name w:val="Body Text Indent Char1"/>
    <w:link w:val="BodyTextIndent"/>
    <w:locked/>
    <w:rsid w:val="007136B3"/>
    <w:rPr>
      <w:sz w:val="24"/>
      <w:szCs w:val="24"/>
      <w:lang w:val="en-GB" w:eastAsia="en-US"/>
    </w:rPr>
  </w:style>
  <w:style w:type="character" w:styleId="FollowedHyperlink">
    <w:name w:val="FollowedHyperlink"/>
    <w:basedOn w:val="DefaultParagraphFont"/>
    <w:rsid w:val="00404157"/>
    <w:rPr>
      <w:color w:val="800080" w:themeColor="followedHyperlink"/>
      <w:u w:val="single"/>
    </w:rPr>
  </w:style>
  <w:style w:type="character" w:styleId="PlaceholderText">
    <w:name w:val="Placeholder Text"/>
    <w:basedOn w:val="DefaultParagraphFont"/>
    <w:uiPriority w:val="99"/>
    <w:semiHidden/>
    <w:rsid w:val="008C2B31"/>
    <w:rPr>
      <w:color w:val="808080"/>
    </w:rPr>
  </w:style>
  <w:style w:type="character" w:styleId="Strong">
    <w:name w:val="Strong"/>
    <w:basedOn w:val="DefaultParagraphFont"/>
    <w:qFormat/>
    <w:rsid w:val="00F638BF"/>
    <w:rPr>
      <w:b/>
      <w:bCs/>
    </w:rPr>
  </w:style>
  <w:style w:type="table" w:styleId="TableGrid">
    <w:name w:val="Table Grid"/>
    <w:basedOn w:val="TableNormal"/>
    <w:rsid w:val="00990A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484711">
      <w:bodyDiv w:val="1"/>
      <w:marLeft w:val="0"/>
      <w:marRight w:val="0"/>
      <w:marTop w:val="0"/>
      <w:marBottom w:val="0"/>
      <w:divBdr>
        <w:top w:val="none" w:sz="0" w:space="0" w:color="auto"/>
        <w:left w:val="none" w:sz="0" w:space="0" w:color="auto"/>
        <w:bottom w:val="none" w:sz="0" w:space="0" w:color="auto"/>
        <w:right w:val="none" w:sz="0" w:space="0" w:color="auto"/>
      </w:divBdr>
    </w:div>
    <w:div w:id="520359435">
      <w:bodyDiv w:val="1"/>
      <w:marLeft w:val="0"/>
      <w:marRight w:val="0"/>
      <w:marTop w:val="0"/>
      <w:marBottom w:val="0"/>
      <w:divBdr>
        <w:top w:val="none" w:sz="0" w:space="0" w:color="auto"/>
        <w:left w:val="none" w:sz="0" w:space="0" w:color="auto"/>
        <w:bottom w:val="none" w:sz="0" w:space="0" w:color="auto"/>
        <w:right w:val="none" w:sz="0" w:space="0" w:color="auto"/>
      </w:divBdr>
    </w:div>
    <w:div w:id="576863121">
      <w:bodyDiv w:val="1"/>
      <w:marLeft w:val="0"/>
      <w:marRight w:val="0"/>
      <w:marTop w:val="0"/>
      <w:marBottom w:val="0"/>
      <w:divBdr>
        <w:top w:val="none" w:sz="0" w:space="0" w:color="auto"/>
        <w:left w:val="none" w:sz="0" w:space="0" w:color="auto"/>
        <w:bottom w:val="none" w:sz="0" w:space="0" w:color="auto"/>
        <w:right w:val="none" w:sz="0" w:space="0" w:color="auto"/>
      </w:divBdr>
    </w:div>
    <w:div w:id="613705767">
      <w:bodyDiv w:val="1"/>
      <w:marLeft w:val="0"/>
      <w:marRight w:val="0"/>
      <w:marTop w:val="0"/>
      <w:marBottom w:val="0"/>
      <w:divBdr>
        <w:top w:val="none" w:sz="0" w:space="0" w:color="auto"/>
        <w:left w:val="none" w:sz="0" w:space="0" w:color="auto"/>
        <w:bottom w:val="none" w:sz="0" w:space="0" w:color="auto"/>
        <w:right w:val="none" w:sz="0" w:space="0" w:color="auto"/>
      </w:divBdr>
    </w:div>
    <w:div w:id="622883467">
      <w:bodyDiv w:val="1"/>
      <w:marLeft w:val="0"/>
      <w:marRight w:val="0"/>
      <w:marTop w:val="0"/>
      <w:marBottom w:val="0"/>
      <w:divBdr>
        <w:top w:val="none" w:sz="0" w:space="0" w:color="auto"/>
        <w:left w:val="none" w:sz="0" w:space="0" w:color="auto"/>
        <w:bottom w:val="none" w:sz="0" w:space="0" w:color="auto"/>
        <w:right w:val="none" w:sz="0" w:space="0" w:color="auto"/>
      </w:divBdr>
    </w:div>
    <w:div w:id="844366221">
      <w:bodyDiv w:val="1"/>
      <w:marLeft w:val="0"/>
      <w:marRight w:val="0"/>
      <w:marTop w:val="0"/>
      <w:marBottom w:val="0"/>
      <w:divBdr>
        <w:top w:val="none" w:sz="0" w:space="0" w:color="auto"/>
        <w:left w:val="none" w:sz="0" w:space="0" w:color="auto"/>
        <w:bottom w:val="none" w:sz="0" w:space="0" w:color="auto"/>
        <w:right w:val="none" w:sz="0" w:space="0" w:color="auto"/>
      </w:divBdr>
    </w:div>
    <w:div w:id="985672339">
      <w:bodyDiv w:val="1"/>
      <w:marLeft w:val="0"/>
      <w:marRight w:val="0"/>
      <w:marTop w:val="0"/>
      <w:marBottom w:val="0"/>
      <w:divBdr>
        <w:top w:val="none" w:sz="0" w:space="0" w:color="auto"/>
        <w:left w:val="none" w:sz="0" w:space="0" w:color="auto"/>
        <w:bottom w:val="none" w:sz="0" w:space="0" w:color="auto"/>
        <w:right w:val="none" w:sz="0" w:space="0" w:color="auto"/>
      </w:divBdr>
    </w:div>
    <w:div w:id="1041588847">
      <w:bodyDiv w:val="1"/>
      <w:marLeft w:val="0"/>
      <w:marRight w:val="0"/>
      <w:marTop w:val="0"/>
      <w:marBottom w:val="0"/>
      <w:divBdr>
        <w:top w:val="none" w:sz="0" w:space="0" w:color="auto"/>
        <w:left w:val="none" w:sz="0" w:space="0" w:color="auto"/>
        <w:bottom w:val="none" w:sz="0" w:space="0" w:color="auto"/>
        <w:right w:val="none" w:sz="0" w:space="0" w:color="auto"/>
      </w:divBdr>
    </w:div>
    <w:div w:id="1187712530">
      <w:bodyDiv w:val="1"/>
      <w:marLeft w:val="0"/>
      <w:marRight w:val="0"/>
      <w:marTop w:val="0"/>
      <w:marBottom w:val="0"/>
      <w:divBdr>
        <w:top w:val="none" w:sz="0" w:space="0" w:color="auto"/>
        <w:left w:val="none" w:sz="0" w:space="0" w:color="auto"/>
        <w:bottom w:val="none" w:sz="0" w:space="0" w:color="auto"/>
        <w:right w:val="none" w:sz="0" w:space="0" w:color="auto"/>
      </w:divBdr>
    </w:div>
    <w:div w:id="1402404914">
      <w:bodyDiv w:val="1"/>
      <w:marLeft w:val="0"/>
      <w:marRight w:val="0"/>
      <w:marTop w:val="0"/>
      <w:marBottom w:val="0"/>
      <w:divBdr>
        <w:top w:val="none" w:sz="0" w:space="0" w:color="auto"/>
        <w:left w:val="none" w:sz="0" w:space="0" w:color="auto"/>
        <w:bottom w:val="none" w:sz="0" w:space="0" w:color="auto"/>
        <w:right w:val="none" w:sz="0" w:space="0" w:color="auto"/>
      </w:divBdr>
    </w:div>
    <w:div w:id="1517304377">
      <w:bodyDiv w:val="1"/>
      <w:marLeft w:val="0"/>
      <w:marRight w:val="0"/>
      <w:marTop w:val="0"/>
      <w:marBottom w:val="0"/>
      <w:divBdr>
        <w:top w:val="none" w:sz="0" w:space="0" w:color="auto"/>
        <w:left w:val="none" w:sz="0" w:space="0" w:color="auto"/>
        <w:bottom w:val="none" w:sz="0" w:space="0" w:color="auto"/>
        <w:right w:val="none" w:sz="0" w:space="0" w:color="auto"/>
      </w:divBdr>
    </w:div>
    <w:div w:id="156887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image" Target="media/image6.jpeg"/><Relationship Id="rId26" Type="http://schemas.openxmlformats.org/officeDocument/2006/relationships/hyperlink" Target="https://www.stereolabs.com/zed/" TargetMode="External"/><Relationship Id="rId3" Type="http://schemas.openxmlformats.org/officeDocument/2006/relationships/styles" Target="styles.xml"/><Relationship Id="rId21" Type="http://schemas.openxmlformats.org/officeDocument/2006/relationships/hyperlink" Target="https://iesc.unitbv.ro/images/ORAR/2022/Structura_anului_universitar_2021-2022.pdf"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scholar.google.ro" TargetMode="External"/><Relationship Id="rId25" Type="http://schemas.openxmlformats.org/officeDocument/2006/relationships/hyperlink" Target="https://en.wikipedia.org/wiki/Digital_image_processing"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rti.etf.bg.ac.rs/rti/ir3ppk/materijali/VM_the_best_method.pdf"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hyperlink" Target="http://rti.etf.bg.ac.rs/rti/ir3ppk/materijali/VM_a_good_method.pdf" TargetMode="External"/><Relationship Id="rId28" Type="http://schemas.openxmlformats.org/officeDocument/2006/relationships/header" Target="header2.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wmf"/><Relationship Id="rId22" Type="http://schemas.openxmlformats.org/officeDocument/2006/relationships/hyperlink" Target="https://intranet.unitbv.ro/Intranet/Identitate-vizuala" TargetMode="External"/><Relationship Id="rId27" Type="http://schemas.openxmlformats.org/officeDocument/2006/relationships/header" Target="header1.xml"/><Relationship Id="rId30" Type="http://schemas.openxmlformats.org/officeDocument/2006/relationships/header" Target="header3.xml"/><Relationship Id="rId8"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invertIfNegative val="0"/>
          <c:cat>
            <c:strRef>
              <c:f>Sheet1!$B$3:$B$14</c:f>
              <c:strCache>
                <c:ptCount val="12"/>
                <c:pt idx="0">
                  <c:v>Ianuarie</c:v>
                </c:pt>
                <c:pt idx="1">
                  <c:v>Februarie</c:v>
                </c:pt>
                <c:pt idx="2">
                  <c:v>Martie</c:v>
                </c:pt>
                <c:pt idx="3">
                  <c:v>Aprilie</c:v>
                </c:pt>
                <c:pt idx="4">
                  <c:v>Mai</c:v>
                </c:pt>
                <c:pt idx="5">
                  <c:v>Iunie</c:v>
                </c:pt>
                <c:pt idx="6">
                  <c:v>Iulie</c:v>
                </c:pt>
                <c:pt idx="7">
                  <c:v>August</c:v>
                </c:pt>
                <c:pt idx="8">
                  <c:v>Septembrie</c:v>
                </c:pt>
                <c:pt idx="9">
                  <c:v>Octombrie</c:v>
                </c:pt>
                <c:pt idx="10">
                  <c:v>Noiembrie</c:v>
                </c:pt>
                <c:pt idx="11">
                  <c:v>Decembrie</c:v>
                </c:pt>
              </c:strCache>
            </c:strRef>
          </c:cat>
          <c:val>
            <c:numRef>
              <c:f>Sheet1!$C$3:$C$14</c:f>
              <c:numCache>
                <c:formatCode>General</c:formatCode>
                <c:ptCount val="12"/>
                <c:pt idx="0">
                  <c:v>52</c:v>
                </c:pt>
                <c:pt idx="1">
                  <c:v>48</c:v>
                </c:pt>
                <c:pt idx="2">
                  <c:v>44</c:v>
                </c:pt>
                <c:pt idx="3">
                  <c:v>39</c:v>
                </c:pt>
                <c:pt idx="4">
                  <c:v>36</c:v>
                </c:pt>
                <c:pt idx="5">
                  <c:v>33</c:v>
                </c:pt>
                <c:pt idx="6">
                  <c:v>28</c:v>
                </c:pt>
                <c:pt idx="7">
                  <c:v>32</c:v>
                </c:pt>
                <c:pt idx="8">
                  <c:v>37</c:v>
                </c:pt>
                <c:pt idx="9">
                  <c:v>40</c:v>
                </c:pt>
                <c:pt idx="10">
                  <c:v>48</c:v>
                </c:pt>
                <c:pt idx="11">
                  <c:v>55</c:v>
                </c:pt>
              </c:numCache>
            </c:numRef>
          </c:val>
          <c:extLst>
            <c:ext xmlns:c16="http://schemas.microsoft.com/office/drawing/2014/chart" uri="{C3380CC4-5D6E-409C-BE32-E72D297353CC}">
              <c16:uniqueId val="{00000000-FA22-42F1-807F-C428C84CFEB2}"/>
            </c:ext>
          </c:extLst>
        </c:ser>
        <c:dLbls>
          <c:showLegendKey val="0"/>
          <c:showVal val="0"/>
          <c:showCatName val="0"/>
          <c:showSerName val="0"/>
          <c:showPercent val="0"/>
          <c:showBubbleSize val="0"/>
        </c:dLbls>
        <c:gapWidth val="150"/>
        <c:axId val="270264576"/>
        <c:axId val="270266368"/>
      </c:barChart>
      <c:catAx>
        <c:axId val="270264576"/>
        <c:scaling>
          <c:orientation val="minMax"/>
        </c:scaling>
        <c:delete val="0"/>
        <c:axPos val="b"/>
        <c:numFmt formatCode="General" sourceLinked="0"/>
        <c:majorTickMark val="out"/>
        <c:minorTickMark val="none"/>
        <c:tickLblPos val="nextTo"/>
        <c:txPr>
          <a:bodyPr/>
          <a:lstStyle/>
          <a:p>
            <a:pPr>
              <a:defRPr lang="ro-RO"/>
            </a:pPr>
            <a:endParaRPr lang="en-US"/>
          </a:p>
        </c:txPr>
        <c:crossAx val="270266368"/>
        <c:crosses val="autoZero"/>
        <c:auto val="1"/>
        <c:lblAlgn val="ctr"/>
        <c:lblOffset val="100"/>
        <c:noMultiLvlLbl val="0"/>
      </c:catAx>
      <c:valAx>
        <c:axId val="270266368"/>
        <c:scaling>
          <c:orientation val="minMax"/>
        </c:scaling>
        <c:delete val="0"/>
        <c:axPos val="l"/>
        <c:majorGridlines/>
        <c:numFmt formatCode="General" sourceLinked="1"/>
        <c:majorTickMark val="out"/>
        <c:minorTickMark val="none"/>
        <c:tickLblPos val="nextTo"/>
        <c:txPr>
          <a:bodyPr/>
          <a:lstStyle/>
          <a:p>
            <a:pPr>
              <a:defRPr lang="ro-RO"/>
            </a:pPr>
            <a:endParaRPr lang="en-US"/>
          </a:p>
        </c:txPr>
        <c:crossAx val="270264576"/>
        <c:crosses val="autoZero"/>
        <c:crossBetween val="between"/>
      </c:valAx>
    </c:plotArea>
    <c:legend>
      <c:legendPos val="r"/>
      <c:overlay val="0"/>
      <c:txPr>
        <a:bodyPr/>
        <a:lstStyle/>
        <a:p>
          <a:pPr>
            <a:defRPr lang="ro-RO"/>
          </a:pPr>
          <a:endParaRPr lang="en-US"/>
        </a:p>
      </c:txPr>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7224FA-6724-4ED6-8F2C-2937D0D0E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25</Pages>
  <Words>5077</Words>
  <Characters>28942</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moto</dc:creator>
  <cp:lastModifiedBy>Andrada</cp:lastModifiedBy>
  <cp:revision>7</cp:revision>
  <cp:lastPrinted>2020-04-26T19:24:00Z</cp:lastPrinted>
  <dcterms:created xsi:type="dcterms:W3CDTF">2023-11-13T06:31:00Z</dcterms:created>
  <dcterms:modified xsi:type="dcterms:W3CDTF">2026-03-17T09:14:00Z</dcterms:modified>
</cp:coreProperties>
</file>