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Intranet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BAM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Fecha:15/01/2025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15/01/2025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Cristobal Villagra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13/02/2025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Cambios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Cristobal Villagra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Concesionaria Vespucio Oriente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Dpto. de sistemas y tecnologías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 de Agendamiento Médico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Jefatura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María Virginia Tang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81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2"/>
        <w:gridCol w:w="4536"/>
        <w:tblGridChange w:id="0">
          <w:tblGrid>
            <w:gridCol w:w="4282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Lorna Fuentes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lfuentes@scavo.cl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Geraldine Santana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gsantana@scavo.cl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Darling Mandujano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dmandujano@scavo.cl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“Intranet de AVO”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Login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Manejo de Interfaces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Crear y Eliminar documentación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Épicas de Usuarios y su clasificación de prioridad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Credenciales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Crear perfil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Manejo de Rutas e Información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permisos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Servicios disponibles 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Panel de control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612130" cy="78549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0" distR="0">
            <wp:extent cx="5612130" cy="70929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612130" cy="72834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Historia 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0" distT="0" distL="0" distR="0">
            <wp:extent cx="5612130" cy="58293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Historia 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612130" cy="368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Historia 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0" distT="0" distL="0" distR="0">
            <wp:extent cx="5612130" cy="6483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Documento de Épicas e Historias de Usuario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11A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mandujano@scavo.c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fuentes@scavo.cl" TargetMode="External"/><Relationship Id="rId8" Type="http://schemas.openxmlformats.org/officeDocument/2006/relationships/hyperlink" Target="mailto:gsantana@scav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ltqz9ijMBpgKZ8GKNb2z7ft6A==">CgMxLjAyCGguZ2pkZ3hzMgloLjMwajB6bGwyCWguMWZvYjl0ZTIJaC4zem55c2g3MgloLjJldDkycDAyCGgudHlqY3d0MgloLjNkeTZ2a20yCWguMXQzaDVzZjgAciExMF9mVEJrV0VlbU1zaGRiWDJ5a3ZVcjFjTzBlRWdqZi0=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