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72E0" w:rsidRPr="00D74553" w:rsidRDefault="00127F9F">
      <w:pPr>
        <w:pStyle w:val="Title"/>
        <w:jc w:val="center"/>
        <w:rPr>
          <w:rFonts w:asciiTheme="minorHAnsi" w:hAnsiTheme="minorHAnsi"/>
          <w:sz w:val="40"/>
          <w:szCs w:val="40"/>
        </w:rPr>
      </w:pPr>
      <w:bookmarkStart w:id="0" w:name="_GoBack"/>
      <w:bookmarkEnd w:id="0"/>
      <w:r w:rsidRPr="00D74553">
        <w:rPr>
          <w:rFonts w:asciiTheme="minorHAnsi" w:hAnsiTheme="minorHAnsi"/>
          <w:sz w:val="40"/>
          <w:szCs w:val="40"/>
        </w:rPr>
        <w:t>MDC Student Managed Investment Fund – Q3 2025 Report</w:t>
      </w:r>
    </w:p>
    <w:p w:rsidR="007A7AB0" w:rsidRPr="00D74553" w:rsidRDefault="007A7AB0" w:rsidP="007A7AB0"/>
    <w:p w:rsidR="003372E0" w:rsidRPr="00D74553" w:rsidRDefault="00127F9F">
      <w:r w:rsidRPr="00D74553">
        <w:t>The MDC Student Managed Investment Fund is an experiential learning activity designed to provide students with hands-on experience in portfolio management and investment analysis. All positions and trading activity within the fund are conducted for educational purposes and do not represent investment advice.</w:t>
      </w:r>
    </w:p>
    <w:p w:rsidR="003372E0" w:rsidRPr="00D74553" w:rsidRDefault="00127F9F">
      <w:pPr>
        <w:pStyle w:val="Heading1"/>
        <w:rPr>
          <w:rFonts w:asciiTheme="minorHAnsi" w:hAnsiTheme="minorHAnsi"/>
          <w:b/>
          <w:color w:val="auto"/>
          <w:sz w:val="24"/>
          <w:szCs w:val="24"/>
        </w:rPr>
      </w:pPr>
      <w:r w:rsidRPr="00D74553">
        <w:rPr>
          <w:rFonts w:asciiTheme="minorHAnsi" w:hAnsiTheme="minorHAnsi"/>
          <w:b/>
          <w:color w:val="auto"/>
          <w:sz w:val="24"/>
          <w:szCs w:val="24"/>
        </w:rPr>
        <w:t>Portfolio Summary as of 09/30/25</w:t>
      </w:r>
    </w:p>
    <w:p w:rsidR="003372E0" w:rsidRPr="00D74553" w:rsidRDefault="00127F9F">
      <w:r w:rsidRPr="00D74553">
        <w:t>The total portfolio value as of September 30, 2025, is $96,475.54. This represents an increase from the Q2 ending value of $90,647.67.</w:t>
      </w:r>
    </w:p>
    <w:p w:rsidR="007A7AB0" w:rsidRPr="00D74553" w:rsidRDefault="007A7AB0"/>
    <w:p w:rsidR="003372E0" w:rsidRPr="00D74553" w:rsidRDefault="00127F9F" w:rsidP="007A7AB0">
      <w:pPr>
        <w:pStyle w:val="Heading2"/>
        <w:jc w:val="center"/>
        <w:rPr>
          <w:rFonts w:asciiTheme="minorHAnsi" w:hAnsiTheme="minorHAnsi"/>
          <w:color w:val="auto"/>
          <w:sz w:val="24"/>
          <w:szCs w:val="24"/>
        </w:rPr>
      </w:pPr>
      <w:r w:rsidRPr="00D74553">
        <w:rPr>
          <w:rFonts w:asciiTheme="minorHAnsi" w:hAnsiTheme="minorHAnsi"/>
          <w:color w:val="auto"/>
          <w:sz w:val="24"/>
          <w:szCs w:val="24"/>
        </w:rPr>
        <w:t>Portfolio Holdings</w:t>
      </w:r>
      <w:r w:rsidR="007A7AB0" w:rsidRPr="00D74553">
        <w:rPr>
          <w:rFonts w:asciiTheme="minorHAnsi" w:hAnsiTheme="minorHAnsi"/>
          <w:color w:val="auto"/>
          <w:sz w:val="24"/>
          <w:szCs w:val="24"/>
        </w:rPr>
        <w:t xml:space="preserve"> </w:t>
      </w:r>
      <w:r w:rsidR="00644357">
        <w:rPr>
          <w:rFonts w:asciiTheme="minorHAnsi" w:hAnsiTheme="minorHAnsi"/>
          <w:color w:val="auto"/>
          <w:sz w:val="24"/>
          <w:szCs w:val="24"/>
        </w:rPr>
        <w:t>as of</w:t>
      </w:r>
      <w:r w:rsidR="007A7AB0" w:rsidRPr="00D74553">
        <w:rPr>
          <w:rFonts w:asciiTheme="minorHAnsi" w:hAnsiTheme="minorHAnsi"/>
          <w:color w:val="auto"/>
          <w:sz w:val="24"/>
          <w:szCs w:val="24"/>
        </w:rPr>
        <w:t xml:space="preserve"> 09/30/2025 Close</w:t>
      </w:r>
    </w:p>
    <w:p w:rsidR="007A7AB0" w:rsidRPr="00D74553" w:rsidRDefault="007A7AB0" w:rsidP="007A7AB0"/>
    <w:p w:rsidR="00BD703B" w:rsidRPr="00D74553" w:rsidRDefault="00BD703B" w:rsidP="00BD703B">
      <w:r w:rsidRPr="00D74553">
        <w:rPr>
          <w:noProof/>
        </w:rPr>
        <w:drawing>
          <wp:inline distT="0" distB="0" distL="0" distR="0">
            <wp:extent cx="5962650" cy="42957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62650" cy="4295775"/>
                    </a:xfrm>
                    <a:prstGeom prst="rect">
                      <a:avLst/>
                    </a:prstGeom>
                    <a:noFill/>
                    <a:ln>
                      <a:noFill/>
                    </a:ln>
                  </pic:spPr>
                </pic:pic>
              </a:graphicData>
            </a:graphic>
          </wp:inline>
        </w:drawing>
      </w:r>
    </w:p>
    <w:p w:rsidR="00BD703B" w:rsidRPr="00D74553" w:rsidRDefault="00BD703B" w:rsidP="00BD703B"/>
    <w:p w:rsidR="004F5994" w:rsidRPr="004F5994" w:rsidRDefault="004F5994" w:rsidP="004F5994">
      <w:pPr>
        <w:spacing w:before="100" w:beforeAutospacing="1" w:after="100" w:afterAutospacing="1" w:line="240" w:lineRule="auto"/>
        <w:outlineLvl w:val="2"/>
        <w:rPr>
          <w:rFonts w:eastAsia="Times New Roman" w:cs="Times New Roman"/>
          <w:b/>
          <w:bCs/>
          <w:kern w:val="0"/>
          <w:lang w:eastAsia="en-US"/>
          <w14:ligatures w14:val="none"/>
        </w:rPr>
      </w:pPr>
      <w:r w:rsidRPr="004F5994">
        <w:rPr>
          <w:rFonts w:eastAsia="Times New Roman" w:cs="Times New Roman"/>
          <w:b/>
          <w:bCs/>
          <w:kern w:val="0"/>
          <w:lang w:eastAsia="en-US"/>
          <w14:ligatures w14:val="none"/>
        </w:rPr>
        <w:lastRenderedPageBreak/>
        <w:t>Performance Commentary – Q3 2025</w:t>
      </w:r>
    </w:p>
    <w:p w:rsidR="004F5994" w:rsidRPr="004F5994" w:rsidRDefault="007A7AB0" w:rsidP="007A7AB0">
      <w:pPr>
        <w:spacing w:before="100" w:beforeAutospacing="1" w:after="100" w:afterAutospacing="1" w:line="240" w:lineRule="auto"/>
        <w:rPr>
          <w:rFonts w:eastAsia="Times New Roman" w:cs="Times New Roman"/>
          <w:kern w:val="0"/>
          <w:lang w:eastAsia="en-US"/>
          <w14:ligatures w14:val="none"/>
        </w:rPr>
      </w:pPr>
      <w:r w:rsidRPr="00D74553">
        <w:rPr>
          <w:rFonts w:eastAsia="Times New Roman" w:cs="Times New Roman"/>
          <w:kern w:val="0"/>
          <w:lang w:eastAsia="en-US"/>
          <w14:ligatures w14:val="none"/>
        </w:rPr>
        <w:t>No portfolio transactions occurred over Q3 2025.  For this period, t</w:t>
      </w:r>
      <w:r w:rsidR="004F5994" w:rsidRPr="004F5994">
        <w:rPr>
          <w:rFonts w:eastAsia="Times New Roman" w:cs="Times New Roman"/>
          <w:kern w:val="0"/>
          <w:lang w:eastAsia="en-US"/>
          <w14:ligatures w14:val="none"/>
        </w:rPr>
        <w:t xml:space="preserve">he MDC Student Managed Investment Fund achieved a portfolio return of </w:t>
      </w:r>
      <w:r w:rsidR="004F5994" w:rsidRPr="004F5994">
        <w:rPr>
          <w:rFonts w:eastAsia="Times New Roman" w:cs="Times New Roman"/>
          <w:bCs/>
          <w:kern w:val="0"/>
          <w:lang w:eastAsia="en-US"/>
          <w14:ligatures w14:val="none"/>
        </w:rPr>
        <w:t>6.41%</w:t>
      </w:r>
      <w:r w:rsidR="004F5994" w:rsidRPr="004F5994">
        <w:rPr>
          <w:rFonts w:eastAsia="Times New Roman" w:cs="Times New Roman"/>
          <w:kern w:val="0"/>
          <w:lang w:eastAsia="en-US"/>
          <w14:ligatures w14:val="none"/>
        </w:rPr>
        <w:t xml:space="preserve">, increasing </w:t>
      </w:r>
      <w:r w:rsidR="00127F9F">
        <w:rPr>
          <w:rFonts w:eastAsia="Times New Roman" w:cs="Times New Roman"/>
          <w:kern w:val="0"/>
          <w:lang w:eastAsia="en-US"/>
          <w14:ligatures w14:val="none"/>
        </w:rPr>
        <w:t>NAV</w:t>
      </w:r>
      <w:r w:rsidR="004F5994" w:rsidRPr="004F5994">
        <w:rPr>
          <w:rFonts w:eastAsia="Times New Roman" w:cs="Times New Roman"/>
          <w:kern w:val="0"/>
          <w:lang w:eastAsia="en-US"/>
          <w14:ligatures w14:val="none"/>
        </w:rPr>
        <w:t xml:space="preserve"> from </w:t>
      </w:r>
      <w:r w:rsidR="004F5994" w:rsidRPr="004F5994">
        <w:rPr>
          <w:rFonts w:eastAsia="Times New Roman" w:cs="Times New Roman"/>
          <w:bCs/>
          <w:kern w:val="0"/>
          <w:lang w:eastAsia="en-US"/>
          <w14:ligatures w14:val="none"/>
        </w:rPr>
        <w:t>$90,647.67</w:t>
      </w:r>
      <w:r w:rsidR="004F5994" w:rsidRPr="004F5994">
        <w:rPr>
          <w:rFonts w:eastAsia="Times New Roman" w:cs="Times New Roman"/>
          <w:kern w:val="0"/>
          <w:lang w:eastAsia="en-US"/>
          <w14:ligatures w14:val="none"/>
        </w:rPr>
        <w:t xml:space="preserve"> at the end of Q2 to </w:t>
      </w:r>
      <w:r w:rsidR="004F5994" w:rsidRPr="004F5994">
        <w:rPr>
          <w:rFonts w:eastAsia="Times New Roman" w:cs="Times New Roman"/>
          <w:bCs/>
          <w:kern w:val="0"/>
          <w:lang w:eastAsia="en-US"/>
          <w14:ligatures w14:val="none"/>
        </w:rPr>
        <w:t>$96,475.54</w:t>
      </w:r>
      <w:r w:rsidR="004F5994" w:rsidRPr="004F5994">
        <w:rPr>
          <w:rFonts w:eastAsia="Times New Roman" w:cs="Times New Roman"/>
          <w:kern w:val="0"/>
          <w:lang w:eastAsia="en-US"/>
          <w14:ligatures w14:val="none"/>
        </w:rPr>
        <w:t xml:space="preserve"> at the end of Q3. </w:t>
      </w:r>
      <w:r w:rsidR="004C1F1F">
        <w:t>Top</w:t>
      </w:r>
      <w:r w:rsidRPr="00D74553">
        <w:t xml:space="preserve"> performers in the MDC Student Managed Investment Fund were</w:t>
      </w:r>
      <w:r w:rsidRPr="00D74553">
        <w:rPr>
          <w:b/>
        </w:rPr>
        <w:t xml:space="preserve"> </w:t>
      </w:r>
      <w:r w:rsidRPr="00D74553">
        <w:rPr>
          <w:rStyle w:val="Strong"/>
          <w:b w:val="0"/>
        </w:rPr>
        <w:t>Celsius Holdings (CELH)</w:t>
      </w:r>
      <w:r w:rsidRPr="00D74553">
        <w:rPr>
          <w:b/>
        </w:rPr>
        <w:t xml:space="preserve">, </w:t>
      </w:r>
      <w:r w:rsidRPr="00D74553">
        <w:rPr>
          <w:rStyle w:val="Strong"/>
          <w:b w:val="0"/>
        </w:rPr>
        <w:t>Alibaba Group (BABA)</w:t>
      </w:r>
      <w:r w:rsidRPr="00D74553">
        <w:t>, and</w:t>
      </w:r>
      <w:r w:rsidRPr="00D74553">
        <w:rPr>
          <w:b/>
        </w:rPr>
        <w:t xml:space="preserve"> </w:t>
      </w:r>
      <w:r w:rsidRPr="00D74553">
        <w:rPr>
          <w:rStyle w:val="Strong"/>
          <w:b w:val="0"/>
        </w:rPr>
        <w:t>UnitedHealth Group (UNH)</w:t>
      </w:r>
      <w:r w:rsidRPr="00D74553">
        <w:rPr>
          <w:b/>
        </w:rPr>
        <w:t>.</w:t>
      </w:r>
      <w:r w:rsidRPr="00D74553">
        <w:t xml:space="preserve"> CELH led, likely driven by robust sales growth and expanding market share in the energy drink segment. BABA followed, benefiting from renewed investor confidence in Chinese tech and signs of economic recovery. UNH posted recent gains, reflecting stable earnings and appeal as a defensive healthcare stock amid market volatility.</w:t>
      </w:r>
      <w:r w:rsidR="00D74553" w:rsidRPr="00D74553">
        <w:rPr>
          <w:rFonts w:eastAsia="Times New Roman" w:cs="Times New Roman"/>
          <w:kern w:val="0"/>
          <w:lang w:eastAsia="en-US"/>
          <w14:ligatures w14:val="none"/>
        </w:rPr>
        <w:t xml:space="preserve"> </w:t>
      </w:r>
      <w:r w:rsidR="004F5994" w:rsidRPr="004F5994">
        <w:rPr>
          <w:rFonts w:eastAsia="Times New Roman" w:cs="Times New Roman"/>
          <w:kern w:val="0"/>
          <w:lang w:eastAsia="en-US"/>
          <w14:ligatures w14:val="none"/>
        </w:rPr>
        <w:t xml:space="preserve">In comparison, the </w:t>
      </w:r>
      <w:r w:rsidR="004F5994" w:rsidRPr="004F5994">
        <w:rPr>
          <w:rFonts w:eastAsia="Times New Roman" w:cs="Times New Roman"/>
          <w:bCs/>
          <w:kern w:val="0"/>
          <w:lang w:eastAsia="en-US"/>
          <w14:ligatures w14:val="none"/>
        </w:rPr>
        <w:t>S&amp;P 500 Index</w:t>
      </w:r>
      <w:r w:rsidR="004F5994" w:rsidRPr="004F5994">
        <w:rPr>
          <w:rFonts w:eastAsia="Times New Roman" w:cs="Times New Roman"/>
          <w:kern w:val="0"/>
          <w:lang w:eastAsia="en-US"/>
          <w14:ligatures w14:val="none"/>
        </w:rPr>
        <w:t xml:space="preserve"> posted a return of </w:t>
      </w:r>
      <w:r w:rsidR="004F5994" w:rsidRPr="004F5994">
        <w:rPr>
          <w:rFonts w:eastAsia="Times New Roman" w:cs="Times New Roman"/>
          <w:bCs/>
          <w:kern w:val="0"/>
          <w:lang w:eastAsia="en-US"/>
          <w14:ligatures w14:val="none"/>
        </w:rPr>
        <w:t>8.12%</w:t>
      </w:r>
      <w:r w:rsidR="004F5994" w:rsidRPr="004F5994">
        <w:rPr>
          <w:rFonts w:eastAsia="Times New Roman" w:cs="Times New Roman"/>
          <w:kern w:val="0"/>
          <w:lang w:eastAsia="en-US"/>
          <w14:ligatures w14:val="none"/>
        </w:rPr>
        <w:t xml:space="preserve"> over the same period. The fund’s return lagged the benchmark by </w:t>
      </w:r>
      <w:r w:rsidR="004F5994" w:rsidRPr="004F5994">
        <w:rPr>
          <w:rFonts w:eastAsia="Times New Roman" w:cs="Times New Roman"/>
          <w:bCs/>
          <w:kern w:val="0"/>
          <w:lang w:eastAsia="en-US"/>
          <w14:ligatures w14:val="none"/>
        </w:rPr>
        <w:t>1.71 percentage points</w:t>
      </w:r>
      <w:r w:rsidR="004F5994" w:rsidRPr="004F5994">
        <w:rPr>
          <w:rFonts w:eastAsia="Times New Roman" w:cs="Times New Roman"/>
          <w:kern w:val="0"/>
          <w:lang w:eastAsia="en-US"/>
          <w14:ligatures w14:val="none"/>
        </w:rPr>
        <w:t>, primarily due to</w:t>
      </w:r>
      <w:r w:rsidRPr="00D74553">
        <w:rPr>
          <w:rFonts w:eastAsia="Times New Roman" w:cs="Times New Roman"/>
          <w:kern w:val="0"/>
          <w:lang w:eastAsia="en-US"/>
          <w14:ligatures w14:val="none"/>
        </w:rPr>
        <w:t xml:space="preserve"> a 26% cash allocation and u</w:t>
      </w:r>
      <w:r w:rsidR="004F5994" w:rsidRPr="004F5994">
        <w:rPr>
          <w:rFonts w:eastAsia="Times New Roman" w:cs="Times New Roman"/>
          <w:kern w:val="0"/>
          <w:lang w:eastAsia="en-US"/>
          <w14:ligatures w14:val="none"/>
        </w:rPr>
        <w:t xml:space="preserve">nderperformance in </w:t>
      </w:r>
      <w:r w:rsidR="004F5994" w:rsidRPr="004F5994">
        <w:rPr>
          <w:rFonts w:eastAsia="Times New Roman" w:cs="Times New Roman"/>
          <w:bCs/>
          <w:kern w:val="0"/>
          <w:lang w:eastAsia="en-US"/>
          <w14:ligatures w14:val="none"/>
        </w:rPr>
        <w:t>NU</w:t>
      </w:r>
      <w:r w:rsidR="004F5994" w:rsidRPr="004F5994">
        <w:rPr>
          <w:rFonts w:eastAsia="Times New Roman" w:cs="Times New Roman"/>
          <w:kern w:val="0"/>
          <w:lang w:eastAsia="en-US"/>
          <w14:ligatures w14:val="none"/>
        </w:rPr>
        <w:t xml:space="preserve">, </w:t>
      </w:r>
      <w:r w:rsidR="004F5994" w:rsidRPr="004F5994">
        <w:rPr>
          <w:rFonts w:eastAsia="Times New Roman" w:cs="Times New Roman"/>
          <w:bCs/>
          <w:kern w:val="0"/>
          <w:lang w:eastAsia="en-US"/>
          <w14:ligatures w14:val="none"/>
        </w:rPr>
        <w:t>MELI</w:t>
      </w:r>
      <w:r w:rsidR="004F5994" w:rsidRPr="004F5994">
        <w:rPr>
          <w:rFonts w:eastAsia="Times New Roman" w:cs="Times New Roman"/>
          <w:kern w:val="0"/>
          <w:lang w:eastAsia="en-US"/>
          <w14:ligatures w14:val="none"/>
        </w:rPr>
        <w:t xml:space="preserve">, and </w:t>
      </w:r>
      <w:r w:rsidR="004F5994" w:rsidRPr="004F5994">
        <w:rPr>
          <w:rFonts w:eastAsia="Times New Roman" w:cs="Times New Roman"/>
          <w:bCs/>
          <w:kern w:val="0"/>
          <w:lang w:eastAsia="en-US"/>
          <w14:ligatures w14:val="none"/>
        </w:rPr>
        <w:t>CRM</w:t>
      </w:r>
      <w:r w:rsidRPr="00D74553">
        <w:rPr>
          <w:rFonts w:eastAsia="Times New Roman" w:cs="Times New Roman"/>
          <w:kern w:val="0"/>
          <w:lang w:eastAsia="en-US"/>
          <w14:ligatures w14:val="none"/>
        </w:rPr>
        <w:t>.</w:t>
      </w:r>
    </w:p>
    <w:p w:rsidR="00BD703B" w:rsidRPr="004F5994" w:rsidRDefault="00BD703B" w:rsidP="004F5994">
      <w:pPr>
        <w:spacing w:before="100" w:beforeAutospacing="1" w:after="100" w:afterAutospacing="1" w:line="240" w:lineRule="auto"/>
        <w:rPr>
          <w:rFonts w:eastAsia="Times New Roman" w:cs="Times New Roman"/>
          <w:kern w:val="0"/>
          <w:lang w:eastAsia="en-US"/>
          <w14:ligatures w14:val="none"/>
        </w:rPr>
      </w:pPr>
      <w:r w:rsidRPr="00D74553">
        <w:t>The portfolio's Value at Risk (</w:t>
      </w:r>
      <w:proofErr w:type="spellStart"/>
      <w:r w:rsidRPr="00D74553">
        <w:t>VaR</w:t>
      </w:r>
      <w:proofErr w:type="spellEnd"/>
      <w:r w:rsidRPr="00D74553">
        <w:t xml:space="preserve">) of </w:t>
      </w:r>
      <w:r w:rsidRPr="00D74553">
        <w:rPr>
          <w:rStyle w:val="Strong"/>
          <w:b w:val="0"/>
        </w:rPr>
        <w:t>24%</w:t>
      </w:r>
      <w:r w:rsidRPr="00D74553">
        <w:t xml:space="preserve"> indicates that, under normal market conditions, there is a 5% chance the portfolio could lose </w:t>
      </w:r>
      <w:r w:rsidRPr="00D74553">
        <w:rPr>
          <w:rStyle w:val="Strong"/>
          <w:b w:val="0"/>
        </w:rPr>
        <w:t>24% or more</w:t>
      </w:r>
      <w:r w:rsidRPr="00D74553">
        <w:t xml:space="preserve"> of its value over the specified time horizon. This metric reflects the fund’s exposure to market volatility and helps frame risk in probabilistic terms.</w:t>
      </w:r>
    </w:p>
    <w:p w:rsidR="003372E0" w:rsidRPr="00D74553" w:rsidRDefault="00127F9F">
      <w:pPr>
        <w:pStyle w:val="Heading2"/>
        <w:rPr>
          <w:rFonts w:asciiTheme="minorHAnsi" w:hAnsiTheme="minorHAnsi"/>
          <w:b/>
          <w:color w:val="auto"/>
          <w:sz w:val="24"/>
          <w:szCs w:val="24"/>
        </w:rPr>
      </w:pPr>
      <w:r w:rsidRPr="00D74553">
        <w:rPr>
          <w:rFonts w:asciiTheme="minorHAnsi" w:hAnsiTheme="minorHAnsi"/>
          <w:b/>
          <w:color w:val="auto"/>
          <w:sz w:val="24"/>
          <w:szCs w:val="24"/>
        </w:rPr>
        <w:t>Sector Allocation</w:t>
      </w:r>
    </w:p>
    <w:p w:rsidR="003372E0" w:rsidRPr="00D74553" w:rsidRDefault="00D74553">
      <w:pPr>
        <w:jc w:val="center"/>
      </w:pPr>
      <w:r w:rsidRPr="00D74553">
        <w:rPr>
          <w:noProof/>
        </w:rPr>
        <w:drawing>
          <wp:inline distT="0" distB="0" distL="0" distR="0" wp14:anchorId="2983A145" wp14:editId="39CEAC08">
            <wp:extent cx="5915025" cy="2743200"/>
            <wp:effectExtent l="0" t="0" r="9525" b="0"/>
            <wp:docPr id="1" name="Chart 1">
              <a:extLst xmlns:a="http://schemas.openxmlformats.org/drawingml/2006/main">
                <a:ext uri="{FF2B5EF4-FFF2-40B4-BE49-F238E27FC236}">
                  <a16:creationId xmlns:a16="http://schemas.microsoft.com/office/drawing/2014/main" id="{74791C21-12E8-47D4-8BF7-1CDEBCB4536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D74553" w:rsidRPr="00D74553" w:rsidRDefault="00D74553" w:rsidP="00BD703B">
      <w:pPr>
        <w:rPr>
          <w:b/>
        </w:rPr>
      </w:pPr>
      <w:r w:rsidRPr="00D74553">
        <w:rPr>
          <w:b/>
        </w:rPr>
        <w:t>Summary</w:t>
      </w:r>
    </w:p>
    <w:p w:rsidR="00BD703B" w:rsidRPr="00D74553" w:rsidRDefault="00BD703B" w:rsidP="00BD703B">
      <w:r w:rsidRPr="00D74553">
        <w:t>Despite the shortfall relative to the index, the fund maintains a diversified posture and remains committed to long-term value creation. Through disciplined portfolio management and experiential learning, the fund continues to position itself for sustainable performance in future quarters.</w:t>
      </w:r>
    </w:p>
    <w:sectPr w:rsidR="00BD703B" w:rsidRPr="00D745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D8072D6"/>
    <w:multiLevelType w:val="multilevel"/>
    <w:tmpl w:val="93B0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4"/>
  </w:num>
  <w:num w:numId="13">
    <w:abstractNumId w:val="13"/>
  </w:num>
  <w:num w:numId="14">
    <w:abstractNumId w:val="12"/>
  </w:num>
  <w:num w:numId="15">
    <w:abstractNumId w:val="16"/>
  </w:num>
  <w:num w:numId="16">
    <w:abstractNumId w:val="11"/>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27F9F"/>
    <w:rsid w:val="002E51AB"/>
    <w:rsid w:val="003372E0"/>
    <w:rsid w:val="0036562D"/>
    <w:rsid w:val="004976E0"/>
    <w:rsid w:val="004C1F1F"/>
    <w:rsid w:val="004F5994"/>
    <w:rsid w:val="005A534A"/>
    <w:rsid w:val="00644357"/>
    <w:rsid w:val="007A7AB0"/>
    <w:rsid w:val="00827C87"/>
    <w:rsid w:val="009D403E"/>
    <w:rsid w:val="00A352C8"/>
    <w:rsid w:val="00B41C2B"/>
    <w:rsid w:val="00BD703B"/>
    <w:rsid w:val="00C26D93"/>
    <w:rsid w:val="00C27141"/>
    <w:rsid w:val="00D32292"/>
    <w:rsid w:val="00D74553"/>
    <w:rsid w:val="00D75435"/>
    <w:rsid w:val="00DA6C12"/>
    <w:rsid w:val="00DE5146"/>
    <w:rsid w:val="00DF2FBF"/>
    <w:rsid w:val="00E93C2C"/>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Strong">
    <w:name w:val="Strong"/>
    <w:basedOn w:val="DefaultParagraphFont"/>
    <w:uiPriority w:val="22"/>
    <w:qFormat/>
    <w:rsid w:val="00BD70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6037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emf"/><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Sector Allocation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4DF-41FD-BDD7-2D81FD34A6D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4DF-41FD-BDD7-2D81FD34A6D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4DF-41FD-BDD7-2D81FD34A6D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84DF-41FD-BDD7-2D81FD34A6D5}"/>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84DF-41FD-BDD7-2D81FD34A6D5}"/>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84DF-41FD-BDD7-2D81FD34A6D5}"/>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84DF-41FD-BDD7-2D81FD34A6D5}"/>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84DF-41FD-BDD7-2D81FD34A6D5}"/>
              </c:ext>
            </c:extLst>
          </c:dPt>
          <c:cat>
            <c:strRef>
              <c:f>Sheet1!$M$3:$M$10</c:f>
              <c:strCache>
                <c:ptCount val="8"/>
                <c:pt idx="0">
                  <c:v>Cash</c:v>
                </c:pt>
                <c:pt idx="1">
                  <c:v>Consumer discretionary</c:v>
                </c:pt>
                <c:pt idx="2">
                  <c:v>Consumer staples</c:v>
                </c:pt>
                <c:pt idx="3">
                  <c:v>Energy</c:v>
                </c:pt>
                <c:pt idx="4">
                  <c:v>Financials</c:v>
                </c:pt>
                <c:pt idx="5">
                  <c:v>Healthcare</c:v>
                </c:pt>
                <c:pt idx="6">
                  <c:v>Information Technology</c:v>
                </c:pt>
                <c:pt idx="7">
                  <c:v>Unclassified.</c:v>
                </c:pt>
              </c:strCache>
            </c:strRef>
          </c:cat>
          <c:val>
            <c:numRef>
              <c:f>Sheet1!$N$3:$N$10</c:f>
              <c:numCache>
                <c:formatCode>0%</c:formatCode>
                <c:ptCount val="8"/>
                <c:pt idx="0">
                  <c:v>0.26</c:v>
                </c:pt>
                <c:pt idx="1">
                  <c:v>0.22</c:v>
                </c:pt>
                <c:pt idx="2">
                  <c:v>7.0000000000000007E-2</c:v>
                </c:pt>
                <c:pt idx="3">
                  <c:v>0.04</c:v>
                </c:pt>
                <c:pt idx="4">
                  <c:v>0.04</c:v>
                </c:pt>
                <c:pt idx="5">
                  <c:v>0.12</c:v>
                </c:pt>
                <c:pt idx="6">
                  <c:v>0.22</c:v>
                </c:pt>
                <c:pt idx="7">
                  <c:v>0.03</c:v>
                </c:pt>
              </c:numCache>
            </c:numRef>
          </c:val>
          <c:extLst>
            <c:ext xmlns:c16="http://schemas.microsoft.com/office/drawing/2014/chart" uri="{C3380CC4-5D6E-409C-BE32-E72D297353CC}">
              <c16:uniqueId val="{00000010-84DF-41FD-BDD7-2D81FD34A6D5}"/>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321</Words>
  <Characters>1834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Ge</dc:creator>
  <cp:keywords/>
  <dc:description/>
  <cp:lastModifiedBy>Foran, Robert</cp:lastModifiedBy>
  <cp:revision>2</cp:revision>
  <dcterms:created xsi:type="dcterms:W3CDTF">2025-10-21T20:08:00Z</dcterms:created>
  <dcterms:modified xsi:type="dcterms:W3CDTF">2025-10-21T20:08:00Z</dcterms:modified>
</cp:coreProperties>
</file>