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E5A6B"/>
          <w:spacing w:val="8"/>
          <w:sz w:val="19"/>
          <w:szCs w:val="19"/>
        </w:rPr>
        <w:t xml:space="preserve">VOXTERA   ·   MARKETING CAMPAIGN BRIEF</w:t>
      </w:r>
    </w:p>
    <w:p>
      <w:pPr>
        <w:spacing w:after="60"/>
      </w:pPr>
      <w:r>
        <w:rPr>
          <w:b/>
          <w:bCs/>
          <w:color w:val="1A2630"/>
          <w:sz w:val="44"/>
          <w:szCs w:val="44"/>
        </w:rPr>
        <w:t xml:space="preserve">Founding Hotels: Pilot Recruitment Campaign</w:t>
      </w:r>
    </w:p>
    <w:p>
      <w:pPr>
        <w:spacing w:after="200"/>
      </w:pPr>
      <w:r>
        <w:rPr>
          <w:color w:val="5B6770"/>
          <w:sz w:val="24"/>
          <w:szCs w:val="24"/>
        </w:rPr>
        <w:t xml:space="preserve">An 8-week campaign to recruit design-partner hotels for Voxtera</w:t>
      </w:r>
    </w:p>
    <w:p>
      <w:pPr>
        <w:pBdr>
          <w:bottom w:val="single" w:color="0E5A6B" w:sz="8" w:space="6"/>
        </w:pBdr>
        <w:spacing w:after="160"/>
      </w:pPr>
      <w:r>
        <w:rPr>
          <w:sz w:val="4"/>
          <w:szCs w:val="4"/>
        </w:rPr>
        <w:t xml:space="preserve"/>
      </w:r>
    </w:p>
    <w:p>
      <w:pPr>
        <w:spacing w:after="30"/>
      </w:pPr>
      <w:r>
        <w:rPr>
          <w:b/>
          <w:bCs/>
          <w:color w:val="5B6770"/>
          <w:sz w:val="19"/>
          <w:szCs w:val="19"/>
        </w:rPr>
        <w:t xml:space="preserve">Prepared:  </w:t>
      </w:r>
      <w:r>
        <w:rPr>
          <w:color w:val="5B6770"/>
          <w:sz w:val="19"/>
          <w:szCs w:val="19"/>
        </w:rPr>
        <w:t xml:space="preserve">21 May 2026</w:t>
      </w:r>
      <w:r>
        <w:rPr>
          <w:b/>
          <w:bCs/>
          <w:color w:val="5B6770"/>
          <w:sz w:val="19"/>
          <w:szCs w:val="19"/>
        </w:rPr>
        <w:t xml:space="preserve">      Campaign window:  </w:t>
      </w:r>
      <w:r>
        <w:rPr>
          <w:color w:val="5B6770"/>
          <w:sz w:val="19"/>
          <w:szCs w:val="19"/>
        </w:rPr>
        <w:t xml:space="preserve">1 June – 26 July 2026 (8 weeks + 1 prep week)</w:t>
      </w:r>
    </w:p>
    <w:p>
      <w:pPr>
        <w:spacing w:after="240"/>
      </w:pPr>
      <w:r>
        <w:rPr>
          <w:b/>
          <w:bCs/>
          <w:color w:val="5B6770"/>
          <w:sz w:val="19"/>
          <w:szCs w:val="19"/>
        </w:rPr>
        <w:t xml:space="preserve">Owner:  </w:t>
      </w:r>
      <w:r>
        <w:rPr>
          <w:color w:val="5B6770"/>
          <w:sz w:val="19"/>
          <w:szCs w:val="19"/>
        </w:rPr>
        <w:t xml:space="preserve">Founder (campaign + outreach + pilot onboarding)</w:t>
      </w:r>
    </w:p>
    <w:p>
      <w:pPr>
        <w:pStyle w:val="Heading1"/>
      </w:pPr>
      <w:r>
        <w:t xml:space="preserve">1.  Campaign Snapshot</w:t>
      </w:r>
    </w:p>
    <w:p>
      <w:pPr>
        <w:spacing w:after="140" w:line="288"/>
      </w:pPr>
      <w:r>
        <w:rPr>
          <w:color w:val="1A2630"/>
          <w:sz w:val="21"/>
          <w:szCs w:val="21"/>
        </w:rPr>
        <w:t xml:space="preserve">The one-page view of the campaign. Every section that follows expands on a line in this table.</w:t>
      </w:r>
    </w:p>
    <w:p>
      <w:pPr>
        <w:spacing w:after="4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rPr>
        <w:tc>
          <w:tcPr>
            <w:tcW w:type="dxa" w:w="2700"/>
            <w:tcBorders>
              <w:top w:val="single" w:color="C9D4D8" w:sz="1"/>
              <w:left w:val="single" w:color="C9D4D8" w:sz="1"/>
              <w:bottom w:val="single" w:color="C9D4D8" w:sz="1"/>
              <w:right w:val="single" w:color="C9D4D8" w:sz="1"/>
            </w:tcBorders>
            <w:shd w:fill="D7E7EB" w:val="clear"/>
            <w:tcMar>
              <w:top w:type="dxa" w:w="90"/>
              <w:left w:type="dxa" w:w="130"/>
              <w:bottom w:type="dxa" w:w="90"/>
              <w:right w:type="dxa" w:w="130"/>
            </w:tcMar>
            <w:vAlign w:val="center"/>
          </w:tcPr>
          <w:p>
            <w:pPr>
              <w:spacing w:after="0" w:line="264"/>
            </w:pPr>
            <w:r>
              <w:rPr>
                <w:b/>
                <w:bCs/>
                <w:color w:val="0A3F4B"/>
                <w:sz w:val="20"/>
                <w:szCs w:val="20"/>
              </w:rPr>
              <w:t xml:space="preserve">Campaign goal</w:t>
            </w:r>
          </w:p>
        </w:tc>
        <w:tc>
          <w:tcPr>
            <w:tcW w:type="dxa" w:w="666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Recruit pilot hotels — sign design partners into the Voxtera “Founding Hotels” program.</w:t>
            </w:r>
          </w:p>
        </w:tc>
      </w:tr>
      <w:tr>
        <w:trPr>
          <w:cantSplit/>
        </w:trPr>
        <w:tc>
          <w:tcPr>
            <w:tcW w:type="dxa" w:w="2700"/>
            <w:tcBorders>
              <w:top w:val="single" w:color="C9D4D8" w:sz="1"/>
              <w:left w:val="single" w:color="C9D4D8" w:sz="1"/>
              <w:bottom w:val="single" w:color="C9D4D8" w:sz="1"/>
              <w:right w:val="single" w:color="C9D4D8" w:sz="1"/>
            </w:tcBorders>
            <w:shd w:fill="D7E7EB" w:val="clear"/>
            <w:tcMar>
              <w:top w:type="dxa" w:w="90"/>
              <w:left w:type="dxa" w:w="130"/>
              <w:bottom w:type="dxa" w:w="90"/>
              <w:right w:type="dxa" w:w="130"/>
            </w:tcMar>
            <w:vAlign w:val="center"/>
          </w:tcPr>
          <w:p>
            <w:pPr>
              <w:spacing w:after="0" w:line="264"/>
            </w:pPr>
            <w:r>
              <w:rPr>
                <w:b/>
                <w:bCs/>
                <w:color w:val="0A3F4B"/>
                <w:sz w:val="20"/>
                <w:szCs w:val="20"/>
              </w:rPr>
              <w:t xml:space="preserve">Primary objective</w:t>
            </w:r>
          </w:p>
        </w:tc>
        <w:tc>
          <w:tcPr>
            <w:tcW w:type="dxa" w:w="666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Sign 8 pilot hotels by 26 July 2026. Stretch: fill all 10 program spots.</w:t>
            </w:r>
          </w:p>
        </w:tc>
      </w:tr>
      <w:tr>
        <w:trPr>
          <w:cantSplit/>
        </w:trPr>
        <w:tc>
          <w:tcPr>
            <w:tcW w:type="dxa" w:w="2700"/>
            <w:tcBorders>
              <w:top w:val="single" w:color="C9D4D8" w:sz="1"/>
              <w:left w:val="single" w:color="C9D4D8" w:sz="1"/>
              <w:bottom w:val="single" w:color="C9D4D8" w:sz="1"/>
              <w:right w:val="single" w:color="C9D4D8" w:sz="1"/>
            </w:tcBorders>
            <w:shd w:fill="D7E7EB" w:val="clear"/>
            <w:tcMar>
              <w:top w:type="dxa" w:w="90"/>
              <w:left w:type="dxa" w:w="130"/>
              <w:bottom w:type="dxa" w:w="90"/>
              <w:right w:type="dxa" w:w="130"/>
            </w:tcMar>
            <w:vAlign w:val="center"/>
          </w:tcPr>
          <w:p>
            <w:pPr>
              <w:spacing w:after="0" w:line="264"/>
            </w:pPr>
            <w:r>
              <w:rPr>
                <w:b/>
                <w:bCs/>
                <w:color w:val="0A3F4B"/>
                <w:sz w:val="20"/>
                <w:szCs w:val="20"/>
              </w:rPr>
              <w:t xml:space="preserve">Duration</w:t>
            </w:r>
          </w:p>
        </w:tc>
        <w:tc>
          <w:tcPr>
            <w:tcW w:type="dxa" w:w="666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8-week active campaign (1 June – 26 July 2026), preceded by a 1-week prep sprint.</w:t>
            </w:r>
          </w:p>
        </w:tc>
      </w:tr>
      <w:tr>
        <w:trPr>
          <w:cantSplit/>
        </w:trPr>
        <w:tc>
          <w:tcPr>
            <w:tcW w:type="dxa" w:w="2700"/>
            <w:tcBorders>
              <w:top w:val="single" w:color="C9D4D8" w:sz="1"/>
              <w:left w:val="single" w:color="C9D4D8" w:sz="1"/>
              <w:bottom w:val="single" w:color="C9D4D8" w:sz="1"/>
              <w:right w:val="single" w:color="C9D4D8" w:sz="1"/>
            </w:tcBorders>
            <w:shd w:fill="D7E7EB" w:val="clear"/>
            <w:tcMar>
              <w:top w:type="dxa" w:w="90"/>
              <w:left w:type="dxa" w:w="130"/>
              <w:bottom w:type="dxa" w:w="90"/>
              <w:right w:type="dxa" w:w="130"/>
            </w:tcMar>
            <w:vAlign w:val="center"/>
          </w:tcPr>
          <w:p>
            <w:pPr>
              <w:spacing w:after="0" w:line="264"/>
            </w:pPr>
            <w:r>
              <w:rPr>
                <w:b/>
                <w:bCs/>
                <w:color w:val="0A3F4B"/>
                <w:sz w:val="20"/>
                <w:szCs w:val="20"/>
              </w:rPr>
              <w:t xml:space="preserve">Primary audience</w:t>
            </w:r>
          </w:p>
        </w:tc>
        <w:tc>
          <w:tcPr>
            <w:tcW w:type="dxa" w:w="666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Hotel general managers and guest-experience / front-office directors.</w:t>
            </w:r>
          </w:p>
        </w:tc>
      </w:tr>
      <w:tr>
        <w:trPr>
          <w:cantSplit/>
        </w:trPr>
        <w:tc>
          <w:tcPr>
            <w:tcW w:type="dxa" w:w="2700"/>
            <w:tcBorders>
              <w:top w:val="single" w:color="C9D4D8" w:sz="1"/>
              <w:left w:val="single" w:color="C9D4D8" w:sz="1"/>
              <w:bottom w:val="single" w:color="C9D4D8" w:sz="1"/>
              <w:right w:val="single" w:color="C9D4D8" w:sz="1"/>
            </w:tcBorders>
            <w:shd w:fill="D7E7EB" w:val="clear"/>
            <w:tcMar>
              <w:top w:type="dxa" w:w="90"/>
              <w:left w:type="dxa" w:w="130"/>
              <w:bottom w:type="dxa" w:w="90"/>
              <w:right w:type="dxa" w:w="130"/>
            </w:tcMar>
            <w:vAlign w:val="center"/>
          </w:tcPr>
          <w:p>
            <w:pPr>
              <w:spacing w:after="0" w:line="264"/>
            </w:pPr>
            <w:r>
              <w:rPr>
                <w:b/>
                <w:bCs/>
                <w:color w:val="0A3F4B"/>
                <w:sz w:val="20"/>
                <w:szCs w:val="20"/>
              </w:rPr>
              <w:t xml:space="preserve">Secondary audience</w:t>
            </w:r>
          </w:p>
        </w:tc>
        <w:tc>
          <w:tcPr>
            <w:tcW w:type="dxa" w:w="666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Hospitality technology buyers (IT, digital and innovation managers).</w:t>
            </w:r>
          </w:p>
        </w:tc>
      </w:tr>
      <w:tr>
        <w:trPr>
          <w:cantSplit/>
        </w:trPr>
        <w:tc>
          <w:tcPr>
            <w:tcW w:type="dxa" w:w="2700"/>
            <w:tcBorders>
              <w:top w:val="single" w:color="C9D4D8" w:sz="1"/>
              <w:left w:val="single" w:color="C9D4D8" w:sz="1"/>
              <w:bottom w:val="single" w:color="C9D4D8" w:sz="1"/>
              <w:right w:val="single" w:color="C9D4D8" w:sz="1"/>
            </w:tcBorders>
            <w:shd w:fill="D7E7EB" w:val="clear"/>
            <w:tcMar>
              <w:top w:type="dxa" w:w="90"/>
              <w:left w:type="dxa" w:w="130"/>
              <w:bottom w:type="dxa" w:w="90"/>
              <w:right w:type="dxa" w:w="130"/>
            </w:tcMar>
            <w:vAlign w:val="center"/>
          </w:tcPr>
          <w:p>
            <w:pPr>
              <w:spacing w:after="0" w:line="264"/>
            </w:pPr>
            <w:r>
              <w:rPr>
                <w:b/>
                <w:bCs/>
                <w:color w:val="0A3F4B"/>
                <w:sz w:val="20"/>
                <w:szCs w:val="20"/>
              </w:rPr>
              <w:t xml:space="preserve">Channels</w:t>
            </w:r>
          </w:p>
        </w:tc>
        <w:tc>
          <w:tcPr>
            <w:tcW w:type="dxa" w:w="666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Organic LinkedIn (founder-led) and direct email outreach. No paid media required.</w:t>
            </w:r>
          </w:p>
        </w:tc>
      </w:tr>
      <w:tr>
        <w:trPr>
          <w:cantSplit/>
        </w:trPr>
        <w:tc>
          <w:tcPr>
            <w:tcW w:type="dxa" w:w="2700"/>
            <w:tcBorders>
              <w:top w:val="single" w:color="C9D4D8" w:sz="1"/>
              <w:left w:val="single" w:color="C9D4D8" w:sz="1"/>
              <w:bottom w:val="single" w:color="C9D4D8" w:sz="1"/>
              <w:right w:val="single" w:color="C9D4D8" w:sz="1"/>
            </w:tcBorders>
            <w:shd w:fill="D7E7EB" w:val="clear"/>
            <w:tcMar>
              <w:top w:type="dxa" w:w="90"/>
              <w:left w:type="dxa" w:w="130"/>
              <w:bottom w:type="dxa" w:w="90"/>
              <w:right w:type="dxa" w:w="130"/>
            </w:tcMar>
            <w:vAlign w:val="center"/>
          </w:tcPr>
          <w:p>
            <w:pPr>
              <w:spacing w:after="0" w:line="264"/>
            </w:pPr>
            <w:r>
              <w:rPr>
                <w:b/>
                <w:bCs/>
                <w:color w:val="0A3F4B"/>
                <w:sz w:val="20"/>
                <w:szCs w:val="20"/>
              </w:rPr>
              <w:t xml:space="preserve">The offer</w:t>
            </w:r>
          </w:p>
        </w:tc>
        <w:tc>
          <w:tcPr>
            <w:tcW w:type="dxa" w:w="666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Free 60-day pilot, white-glove setup, founding pricing locked in, co-marketing — 10 spots only.</w:t>
            </w:r>
          </w:p>
        </w:tc>
      </w:tr>
      <w:tr>
        <w:trPr>
          <w:cantSplit/>
        </w:trPr>
        <w:tc>
          <w:tcPr>
            <w:tcW w:type="dxa" w:w="2700"/>
            <w:tcBorders>
              <w:top w:val="single" w:color="C9D4D8" w:sz="1"/>
              <w:left w:val="single" w:color="C9D4D8" w:sz="1"/>
              <w:bottom w:val="single" w:color="C9D4D8" w:sz="1"/>
              <w:right w:val="single" w:color="C9D4D8" w:sz="1"/>
            </w:tcBorders>
            <w:shd w:fill="D7E7EB" w:val="clear"/>
            <w:tcMar>
              <w:top w:type="dxa" w:w="90"/>
              <w:left w:type="dxa" w:w="130"/>
              <w:bottom w:type="dxa" w:w="90"/>
              <w:right w:type="dxa" w:w="130"/>
            </w:tcMar>
            <w:vAlign w:val="center"/>
          </w:tcPr>
          <w:p>
            <w:pPr>
              <w:spacing w:after="0" w:line="264"/>
            </w:pPr>
            <w:r>
              <w:rPr>
                <w:b/>
                <w:bCs/>
                <w:color w:val="0A3F4B"/>
                <w:sz w:val="20"/>
                <w:szCs w:val="20"/>
              </w:rPr>
              <w:t xml:space="preserve">Core message</w:t>
            </w:r>
          </w:p>
        </w:tc>
        <w:tc>
          <w:tcPr>
            <w:tcW w:type="dxa" w:w="666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i/>
                <w:iCs/>
                <w:color w:val="1A2630"/>
                <w:sz w:val="20"/>
                <w:szCs w:val="20"/>
              </w:rPr>
              <w:t xml:space="preserve">“Every guest, in their own language.”</w:t>
            </w:r>
          </w:p>
        </w:tc>
      </w:tr>
      <w:tr>
        <w:trPr>
          <w:cantSplit/>
        </w:trPr>
        <w:tc>
          <w:tcPr>
            <w:tcW w:type="dxa" w:w="2700"/>
            <w:tcBorders>
              <w:top w:val="single" w:color="C9D4D8" w:sz="1"/>
              <w:left w:val="single" w:color="C9D4D8" w:sz="1"/>
              <w:bottom w:val="single" w:color="C9D4D8" w:sz="1"/>
              <w:right w:val="single" w:color="C9D4D8" w:sz="1"/>
            </w:tcBorders>
            <w:shd w:fill="D7E7EB" w:val="clear"/>
            <w:tcMar>
              <w:top w:type="dxa" w:w="90"/>
              <w:left w:type="dxa" w:w="130"/>
              <w:bottom w:type="dxa" w:w="90"/>
              <w:right w:type="dxa" w:w="130"/>
            </w:tcMar>
            <w:vAlign w:val="center"/>
          </w:tcPr>
          <w:p>
            <w:pPr>
              <w:spacing w:after="0" w:line="264"/>
            </w:pPr>
            <w:r>
              <w:rPr>
                <w:b/>
                <w:bCs/>
                <w:color w:val="0A3F4B"/>
                <w:sz w:val="20"/>
                <w:szCs w:val="20"/>
              </w:rPr>
              <w:t xml:space="preserve">Budget</w:t>
            </w:r>
          </w:p>
        </w:tc>
        <w:tc>
          <w:tcPr>
            <w:tcW w:type="dxa" w:w="666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~$690 in tools and data, plus ~12 hours/week of founder time. Optional +$200 amplification.</w:t>
            </w:r>
          </w:p>
        </w:tc>
      </w:tr>
      <w:tr>
        <w:trPr>
          <w:cantSplit/>
        </w:trPr>
        <w:tc>
          <w:tcPr>
            <w:tcW w:type="dxa" w:w="2700"/>
            <w:tcBorders>
              <w:top w:val="single" w:color="C9D4D8" w:sz="1"/>
              <w:left w:val="single" w:color="C9D4D8" w:sz="1"/>
              <w:bottom w:val="single" w:color="C9D4D8" w:sz="1"/>
              <w:right w:val="single" w:color="C9D4D8" w:sz="1"/>
            </w:tcBorders>
            <w:shd w:fill="D7E7EB" w:val="clear"/>
            <w:tcMar>
              <w:top w:type="dxa" w:w="90"/>
              <w:left w:type="dxa" w:w="130"/>
              <w:bottom w:type="dxa" w:w="90"/>
              <w:right w:type="dxa" w:w="130"/>
            </w:tcMar>
            <w:vAlign w:val="center"/>
          </w:tcPr>
          <w:p>
            <w:pPr>
              <w:spacing w:after="0" w:line="264"/>
            </w:pPr>
            <w:r>
              <w:rPr>
                <w:b/>
                <w:bCs/>
                <w:color w:val="0A3F4B"/>
                <w:sz w:val="20"/>
                <w:szCs w:val="20"/>
              </w:rPr>
              <w:t xml:space="preserve">Lead measure</w:t>
            </w:r>
          </w:p>
        </w:tc>
        <w:tc>
          <w:tcPr>
            <w:tcW w:type="dxa" w:w="666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Discovery calls held with qualified hotels — target ~22 across the campaign.</w:t>
            </w:r>
          </w:p>
        </w:tc>
      </w:tr>
    </w:tbl>
    <w:p>
      <w:r>
        <w:br w:type="page"/>
      </w:r>
    </w:p>
    <w:p>
      <w:pPr>
        <w:pStyle w:val="Heading1"/>
      </w:pPr>
      <w:r>
        <w:t xml:space="preserve">2.  Background &amp; Why Now</w:t>
      </w:r>
    </w:p>
    <w:p>
      <w:pPr>
        <w:pStyle w:val="Heading2"/>
      </w:pPr>
      <w:r>
        <w:t xml:space="preserve">The product</w:t>
      </w:r>
    </w:p>
    <w:p>
      <w:pPr>
        <w:spacing w:after="140" w:line="288"/>
      </w:pPr>
      <w:r>
        <w:rPr>
          <w:color w:val="1A2630"/>
          <w:sz w:val="21"/>
          <w:szCs w:val="21"/>
        </w:rPr>
        <w:t xml:space="preserve">Voxtera is a real-time multilingual voice concierge for the tourism industry. A guest speaks in any language; Voxtera detects that language automatically from the first utterance, replies out loud in the same language, and holds a natural spoken conversation — including handling interruptions. It answers hotel and destination questions (rooms, amenities, dining, attractions, transport, local tips) and turns any guest request into a categorised ticket routed to the right staff member, translated into the staff’s working language.</w:t>
      </w:r>
    </w:p>
    <w:p>
      <w:pPr>
        <w:spacing w:after="140" w:line="288"/>
      </w:pPr>
      <w:r>
        <w:rPr>
          <w:color w:val="1A2630"/>
          <w:sz w:val="21"/>
          <w:szCs w:val="21"/>
        </w:rPr>
        <w:t xml:space="preserve">The build is well past concept stage. There is a working hotel demo modelled on a five-star Paris property, a retrieval layer that grounds answers in each hotel’s own policies and FAQs, an admin dashboard for monitoring live calls and languages, and staff ticketing with instant notifications. Language coverage spans 99+ languages for understanding, with high-definition speech output across a wide range of voices. What the product needs now is real properties using it.</w:t>
      </w:r>
    </w:p>
    <w:p>
      <w:pPr>
        <w:pStyle w:val="Heading2"/>
      </w:pPr>
      <w:r>
        <w:t xml:space="preserve">Why the timing is right</w:t>
      </w:r>
    </w:p>
    <w:p>
      <w:pPr>
        <w:pStyle w:val="ListParagraph"/>
        <w:numPr>
          <w:ilvl w:val="0"/>
          <w:numId w:val="2"/>
        </w:numPr>
        <w:spacing w:after="70" w:line="288"/>
      </w:pPr>
      <w:r>
        <w:rPr>
          <w:b/>
          <w:bCs/>
          <w:color w:val="1A2630"/>
          <w:sz w:val="21"/>
          <w:szCs w:val="21"/>
        </w:rPr>
        <w:t xml:space="preserve">Demand is at record highs. </w:t>
      </w:r>
      <w:r>
        <w:rPr>
          <w:color w:val="1A2630"/>
          <w:sz w:val="21"/>
          <w:szCs w:val="21"/>
        </w:rPr>
        <w:t xml:space="preserve">International arrivals keep climbing — Europe alone recorded roughly 4% growth in 2025 — so the share of guests who do not speak the local language is rising at every property.</w:t>
      </w:r>
    </w:p>
    <w:p>
      <w:pPr>
        <w:pStyle w:val="ListParagraph"/>
        <w:numPr>
          <w:ilvl w:val="0"/>
          <w:numId w:val="2"/>
        </w:numPr>
        <w:spacing w:after="70" w:line="288"/>
      </w:pPr>
      <w:r>
        <w:rPr>
          <w:b/>
          <w:bCs/>
          <w:color w:val="1A2630"/>
          <w:sz w:val="21"/>
          <w:szCs w:val="21"/>
        </w:rPr>
        <w:t xml:space="preserve">The service bar is higher than ever. </w:t>
      </w:r>
      <w:r>
        <w:rPr>
          <w:color w:val="1A2630"/>
          <w:sz w:val="21"/>
          <w:szCs w:val="21"/>
        </w:rPr>
        <w:t xml:space="preserve">Global hotel guest-satisfaction scores hit record levels in 2025 (the industry review index reached roughly 86.9%). Guests reward properties that make them feel understood and punish those that do not.</w:t>
      </w:r>
    </w:p>
    <w:p>
      <w:pPr>
        <w:pStyle w:val="ListParagraph"/>
        <w:numPr>
          <w:ilvl w:val="0"/>
          <w:numId w:val="2"/>
        </w:numPr>
        <w:spacing w:after="70" w:line="288"/>
      </w:pPr>
      <w:r>
        <w:rPr>
          <w:b/>
          <w:bCs/>
          <w:color w:val="1A2630"/>
          <w:sz w:val="21"/>
          <w:szCs w:val="21"/>
        </w:rPr>
        <w:t xml:space="preserve">The gap is real and unsolved. </w:t>
      </w:r>
      <w:r>
        <w:rPr>
          <w:color w:val="1A2630"/>
          <w:sz w:val="21"/>
          <w:szCs w:val="21"/>
        </w:rPr>
        <w:t xml:space="preserve">Front desks are understaffed, and a bilingual — let alone multilingual — hire is hard to find when major cities host 350+ spoken languages. A guest the front desk cannot understand is a booking, a review, or a repeat stay at risk.</w:t>
      </w:r>
    </w:p>
    <w:p>
      <w:pPr>
        <w:pStyle w:val="ListParagraph"/>
        <w:numPr>
          <w:ilvl w:val="0"/>
          <w:numId w:val="2"/>
        </w:numPr>
        <w:spacing w:after="70" w:line="288"/>
      </w:pPr>
      <w:r>
        <w:rPr>
          <w:b/>
          <w:bCs/>
          <w:color w:val="1A2630"/>
          <w:sz w:val="21"/>
          <w:szCs w:val="21"/>
        </w:rPr>
        <w:t xml:space="preserve">The category is open where Voxtera plays. </w:t>
      </w:r>
      <w:r>
        <w:rPr>
          <w:color w:val="1A2630"/>
          <w:sz w:val="21"/>
          <w:szCs w:val="21"/>
        </w:rPr>
        <w:t xml:space="preserve">AI guest tools are multiplying, but almost all of them are text- and messaging-first (chat widgets, WhatsApp, SMS). A voice-native concierge that detects the guest’s language automatically is still uncontested space — there is a window to plant the flag.</w:t>
      </w:r>
    </w:p>
    <w:p>
      <w:pPr>
        <w:pStyle w:val="Heading2"/>
      </w:pPr>
      <w:r>
        <w:t xml:space="preserve">Why a pilot campaign, and why now</w:t>
      </w:r>
    </w:p>
    <w:p>
      <w:pPr>
        <w:spacing w:after="140" w:line="288"/>
      </w:pPr>
      <w:r>
        <w:rPr>
          <w:color w:val="1A2630"/>
          <w:sz w:val="21"/>
          <w:szCs w:val="21"/>
        </w:rPr>
        <w:t xml:space="preserve">Voxtera is at the stage where the next unlock is not more features — it is real hotels. Pilot properties harden the product against messy real-world conditions, generate the proof a wider launch needs (named case studies, deflection numbers, guest-satisfaction lift), and surface what hotels will actually pay for before pricing is set. This campaign exists to put Voxtera into 8–10 well-chosen hotels quickly, with a deliberately low-risk offer.</w:t>
      </w:r>
    </w:p>
    <w:p>
      <w:pPr>
        <w:spacing w:after="120"/>
      </w:pPr>
      <w:r>
        <w:rPr>
          <w:sz w:val="8"/>
          <w:szCs w:val="8"/>
        </w:rPr>
        <w:t xml:space="preserve"/>
      </w:r>
    </w:p>
    <w:p>
      <w:pPr>
        <w:pStyle w:val="Heading1"/>
      </w:pPr>
      <w:r>
        <w:t xml:space="preserve">3.  Campaign Objective</w:t>
      </w:r>
    </w:p>
    <w:p>
      <w:pPr>
        <w:pBdr>
          <w:top w:val="single" w:color="EEF5F6" w:sz="2" w:space="10"/>
          <w:left w:val="single" w:color="0E5A6B" w:sz="18" w:space="14"/>
          <w:bottom w:val="single" w:color="EEF5F6" w:sz="2" w:space="10"/>
          <w:right w:val="single" w:color="EEF5F6" w:sz="2" w:space="10"/>
        </w:pBdr>
        <w:shd w:fill="EEF5F6" w:val="clear"/>
        <w:spacing w:after="160" w:before="80" w:line="300"/>
      </w:pPr>
      <w:r>
        <w:rPr>
          <w:b/>
          <w:bCs/>
          <w:color w:val="0A3F4B"/>
          <w:sz w:val="22"/>
          <w:szCs w:val="22"/>
        </w:rPr>
        <w:t xml:space="preserve">Objective:  </w:t>
      </w:r>
      <w:r>
        <w:rPr>
          <w:color w:val="0A3F4B"/>
          <w:sz w:val="22"/>
          <w:szCs w:val="22"/>
        </w:rPr>
        <w:t xml:space="preserve">Sign 8 pilot hotels into the Voxtera Founding Hotels program within the 8-week campaign window (1 June – 26 July 2026), with a stretch goal of filling all 10 program spots.</w:t>
      </w:r>
    </w:p>
    <w:p>
      <w:pPr>
        <w:spacing w:after="140" w:line="288"/>
      </w:pPr>
      <w:r>
        <w:rPr>
          <w:b/>
          <w:bCs/>
          <w:color w:val="1A2630"/>
          <w:sz w:val="21"/>
          <w:szCs w:val="21"/>
        </w:rPr>
        <w:t xml:space="preserve">This is a conversion objective. </w:t>
      </w:r>
      <w:r>
        <w:rPr>
          <w:color w:val="1A2630"/>
          <w:sz w:val="21"/>
          <w:szCs w:val="21"/>
        </w:rPr>
        <w:t xml:space="preserve">Success is measured in signed pilots, not impressions or followers — those are tracked as leading indicators (Section 10), but they are not the goal. Eight is the commit; ten is the cap, because the founder personally onboards every pilot and quality of onboarding matters more than raw count.</w:t>
      </w:r>
    </w:p>
    <w:p>
      <w:pPr>
        <w:spacing w:after="140" w:line="288"/>
      </w:pPr>
      <w:r>
        <w:rPr>
          <w:b/>
          <w:bCs/>
          <w:color w:val="1A2630"/>
          <w:sz w:val="21"/>
          <w:szCs w:val="21"/>
        </w:rPr>
        <w:t xml:space="preserve">The single lead measure </w:t>
      </w:r>
      <w:r>
        <w:rPr>
          <w:color w:val="1A2630"/>
          <w:sz w:val="21"/>
          <w:szCs w:val="21"/>
        </w:rPr>
        <w:t xml:space="preserve">is discovery calls held with qualified hotels. A campaign on track will hold roughly 22 such calls; at a healthy ~36% call-to-pilot conversion on a free, low-risk offer, that produces 8 signed pilots. If calls are tracking low by Week 3, that is the early-warning signal to act on — well before the pilot count itself can move.</w:t>
      </w:r>
    </w:p>
    <w:p>
      <w:pPr>
        <w:spacing w:after="140" w:line="288"/>
      </w:pPr>
      <w:r>
        <w:rPr>
          <w:color w:val="1A2630"/>
          <w:sz w:val="21"/>
          <w:szCs w:val="21"/>
        </w:rPr>
        <w:t xml:space="preserve">A “qualified hotel” — the campaign’s definition of a marketing-qualified lead — is a property that books and attends a discovery call and meets the fit criteria in Section 6.</w:t>
      </w:r>
    </w:p>
    <w:p>
      <w:pPr>
        <w:pStyle w:val="Heading1"/>
      </w:pPr>
      <w:r>
        <w:t xml:space="preserve">4.  Target Audience</w:t>
      </w:r>
    </w:p>
    <w:p>
      <w:pPr>
        <w:spacing w:after="140" w:line="288"/>
      </w:pPr>
      <w:r>
        <w:rPr>
          <w:color w:val="1A2630"/>
          <w:sz w:val="21"/>
          <w:szCs w:val="21"/>
        </w:rPr>
        <w:t xml:space="preserve">The campaign enters through the general manager and warms the technology buyer in parallel, so that when the GM loops IT into the conversation, the answers are already in hand.</w:t>
      </w:r>
    </w:p>
    <w:p>
      <w:pPr>
        <w:pStyle w:val="Heading2"/>
      </w:pPr>
      <w:r>
        <w:t xml:space="preserve">4.1  Primary — Hotel GM / guest-experience director</w:t>
      </w:r>
    </w:p>
    <w:p>
      <w:pPr>
        <w:spacing w:after="140" w:line="288"/>
      </w:pPr>
      <w:r>
        <w:rPr>
          <w:b/>
          <w:bCs/>
          <w:color w:val="1A2630"/>
          <w:sz w:val="21"/>
          <w:szCs w:val="21"/>
        </w:rPr>
        <w:t xml:space="preserve">Profile.  </w:t>
      </w:r>
      <w:r>
        <w:rPr>
          <w:color w:val="1A2630"/>
          <w:sz w:val="21"/>
          <w:szCs w:val="21"/>
        </w:rPr>
        <w:t xml:space="preserve">A general manager, front-office manager, or guest-experience / guest-relations director at an independent or small-group hotel — 4–5 star or upscale boutique, roughly 40–200 rooms — in an international, multilingual destination (think Paris, Barcelona, Rome, Amsterdam, Lisbon, Dubai). They own the guest experience and feel staffing pressure personally.</w:t>
      </w:r>
    </w:p>
    <w:p>
      <w:pPr>
        <w:pStyle w:val="ListParagraph"/>
        <w:numPr>
          <w:ilvl w:val="0"/>
          <w:numId w:val="2"/>
        </w:numPr>
        <w:spacing w:after="70" w:line="288"/>
      </w:pPr>
      <w:r>
        <w:rPr>
          <w:b/>
          <w:bCs/>
          <w:color w:val="1A2630"/>
          <w:sz w:val="21"/>
          <w:szCs w:val="21"/>
        </w:rPr>
        <w:t xml:space="preserve">Pain points: </w:t>
      </w:r>
      <w:r>
        <w:rPr>
          <w:color w:val="1A2630"/>
          <w:sz w:val="21"/>
          <w:szCs w:val="21"/>
        </w:rPr>
        <w:t xml:space="preserve">international guests they cannot fully serve; a front desk stretched thin and impossible to staff for every language; no coverage after hours; the same routine questions consuming staff time.</w:t>
      </w:r>
    </w:p>
    <w:p>
      <w:pPr>
        <w:pStyle w:val="ListParagraph"/>
        <w:numPr>
          <w:ilvl w:val="0"/>
          <w:numId w:val="2"/>
        </w:numPr>
        <w:spacing w:after="70" w:line="288"/>
      </w:pPr>
      <w:r>
        <w:rPr>
          <w:b/>
          <w:bCs/>
          <w:color w:val="1A2630"/>
          <w:sz w:val="21"/>
          <w:szCs w:val="21"/>
        </w:rPr>
        <w:t xml:space="preserve">Goals: </w:t>
      </w:r>
      <w:r>
        <w:rPr>
          <w:color w:val="1A2630"/>
          <w:sz w:val="21"/>
          <w:szCs w:val="21"/>
        </w:rPr>
        <w:t xml:space="preserve">higher guest-satisfaction scores and review ratings, lighter load on the front desk, a service edge over comparable properties, and a calmer team.</w:t>
      </w:r>
    </w:p>
    <w:p>
      <w:pPr>
        <w:pStyle w:val="ListParagraph"/>
        <w:numPr>
          <w:ilvl w:val="0"/>
          <w:numId w:val="2"/>
        </w:numPr>
        <w:spacing w:after="70" w:line="288"/>
      </w:pPr>
      <w:r>
        <w:rPr>
          <w:b/>
          <w:bCs/>
          <w:color w:val="1A2630"/>
          <w:sz w:val="21"/>
          <w:szCs w:val="21"/>
        </w:rPr>
        <w:t xml:space="preserve">Objections: </w:t>
      </w:r>
      <w:r>
        <w:rPr>
          <w:color w:val="1A2630"/>
          <w:sz w:val="21"/>
          <w:szCs w:val="21"/>
        </w:rPr>
        <w:t xml:space="preserve">“will it sound robotic to my guests?”, “is this one more system to manage?”, “my team is already busy — who sets this up?”, “what does it cost me to find out?”</w:t>
      </w:r>
    </w:p>
    <w:p>
      <w:pPr>
        <w:pStyle w:val="ListParagraph"/>
        <w:numPr>
          <w:ilvl w:val="0"/>
          <w:numId w:val="2"/>
        </w:numPr>
        <w:spacing w:after="70" w:line="288"/>
      </w:pPr>
      <w:r>
        <w:rPr>
          <w:b/>
          <w:bCs/>
          <w:color w:val="1A2630"/>
          <w:sz w:val="21"/>
          <w:szCs w:val="21"/>
        </w:rPr>
        <w:t xml:space="preserve">Where they pay attention: </w:t>
      </w:r>
      <w:r>
        <w:rPr>
          <w:color w:val="1A2630"/>
          <w:sz w:val="21"/>
          <w:szCs w:val="21"/>
        </w:rPr>
        <w:t xml:space="preserve">LinkedIn, hospitality peer networks and trade press, and a well-targeted, personal email from a founder who clearly understands their property.</w:t>
      </w:r>
    </w:p>
    <w:p>
      <w:pPr>
        <w:pStyle w:val="Heading2"/>
      </w:pPr>
      <w:r>
        <w:t xml:space="preserve">4.2  Secondary — Hospitality technology buyer</w:t>
      </w:r>
    </w:p>
    <w:p>
      <w:pPr>
        <w:spacing w:after="140" w:line="288"/>
      </w:pPr>
      <w:r>
        <w:rPr>
          <w:b/>
          <w:bCs/>
          <w:color w:val="1A2630"/>
          <w:sz w:val="21"/>
          <w:szCs w:val="21"/>
        </w:rPr>
        <w:t xml:space="preserve">Profile.  </w:t>
      </w:r>
      <w:r>
        <w:rPr>
          <w:color w:val="1A2630"/>
          <w:sz w:val="21"/>
          <w:szCs w:val="21"/>
        </w:rPr>
        <w:t xml:space="preserve">An IT director, digital or innovation manager, or whoever owns the hotel’s technology stack and the decision about what connects to it (the property-management system, booking engine, guest-messaging tools). They are rarely the first contact, but they are usually the second person in the room — the validator who can stall or unblock a deal.</w:t>
      </w:r>
    </w:p>
    <w:p>
      <w:pPr>
        <w:pStyle w:val="ListParagraph"/>
        <w:numPr>
          <w:ilvl w:val="0"/>
          <w:numId w:val="2"/>
        </w:numPr>
        <w:spacing w:after="70" w:line="288"/>
      </w:pPr>
      <w:r>
        <w:rPr>
          <w:b/>
          <w:bCs/>
          <w:color w:val="1A2630"/>
          <w:sz w:val="21"/>
          <w:szCs w:val="21"/>
        </w:rPr>
        <w:t xml:space="preserve">What they care about: </w:t>
      </w:r>
      <w:r>
        <w:rPr>
          <w:color w:val="1A2630"/>
          <w:sz w:val="21"/>
          <w:szCs w:val="21"/>
        </w:rPr>
        <w:t xml:space="preserve">integration effort, data security and privacy compliance, measurable ROI, and not adding yet another disconnected vendor.</w:t>
      </w:r>
    </w:p>
    <w:p>
      <w:pPr>
        <w:pStyle w:val="ListParagraph"/>
        <w:numPr>
          <w:ilvl w:val="0"/>
          <w:numId w:val="2"/>
        </w:numPr>
        <w:spacing w:after="70" w:line="288"/>
      </w:pPr>
      <w:r>
        <w:rPr>
          <w:b/>
          <w:bCs/>
          <w:color w:val="1A2630"/>
          <w:sz w:val="21"/>
          <w:szCs w:val="21"/>
        </w:rPr>
        <w:t xml:space="preserve">How the campaign serves them: </w:t>
      </w:r>
      <w:r>
        <w:rPr>
          <w:color w:val="1A2630"/>
          <w:sz w:val="21"/>
          <w:szCs w:val="21"/>
        </w:rPr>
        <w:t xml:space="preserve">a dedicated security-and-integration one-pager, content addressed to their concerns in Weeks 5–6, and an offer to speak to them directly. The pilot is framed as additive and low-touch — not a rip-and-replace of the PMS.</w:t>
      </w:r>
    </w:p>
    <w:p>
      <w:r>
        <w:br w:type="page"/>
      </w:r>
    </w:p>
    <w:p>
      <w:pPr>
        <w:pStyle w:val="Heading1"/>
      </w:pPr>
      <w:r>
        <w:t xml:space="preserve">5.  Positioning &amp; Messaging</w:t>
      </w:r>
    </w:p>
    <w:p>
      <w:pPr>
        <w:pStyle w:val="Heading2"/>
      </w:pPr>
      <w:r>
        <w:t xml:space="preserve">5.1  Core message</w:t>
      </w:r>
    </w:p>
    <w:p>
      <w:pPr>
        <w:pBdr>
          <w:top w:val="single" w:color="EEF5F6" w:sz="2" w:space="10"/>
          <w:left w:val="single" w:color="0E5A6B" w:sz="18" w:space="14"/>
          <w:bottom w:val="single" w:color="EEF5F6" w:sz="2" w:space="10"/>
          <w:right w:val="single" w:color="EEF5F6" w:sz="2" w:space="10"/>
        </w:pBdr>
        <w:shd w:fill="EEF5F6" w:val="clear"/>
        <w:spacing w:after="160" w:before="80" w:line="300"/>
      </w:pPr>
      <w:r>
        <w:rPr>
          <w:color w:val="0A3F4B"/>
          <w:sz w:val="22"/>
          <w:szCs w:val="22"/>
        </w:rPr>
        <w:t xml:space="preserve">Voxtera is a real-time voice concierge that greets and serves every guest in their own language — across 99+ languages — so a hotel delivers five-star, multilingual service around the clock without adding front-desk staff.</w:t>
      </w:r>
    </w:p>
    <w:p>
      <w:pPr>
        <w:pStyle w:val="Heading2"/>
      </w:pPr>
      <w:r>
        <w:t xml:space="preserve">5.2  Message hierarchy</w:t>
      </w:r>
    </w:p>
    <w:p>
      <w:pPr>
        <w:spacing w:after="140" w:line="288"/>
      </w:pPr>
      <w:r>
        <w:rPr>
          <w:b/>
          <w:bCs/>
          <w:color w:val="0A3F4B"/>
          <w:sz w:val="21"/>
          <w:szCs w:val="21"/>
        </w:rPr>
        <w:t xml:space="preserve">1.  Why should I care?  </w:t>
      </w:r>
      <w:r>
        <w:rPr>
          <w:color w:val="1A2630"/>
          <w:sz w:val="21"/>
          <w:szCs w:val="21"/>
        </w:rPr>
        <w:t xml:space="preserve">International arrivals are at record highs and guests rate hotels harder than ever — yet front desks are understaffed and cannot cover every language or every hour. Every guest a hotel cannot understand is a booking, a review, or a loyal return at risk.</w:t>
      </w:r>
    </w:p>
    <w:p>
      <w:pPr>
        <w:spacing w:after="140" w:line="288"/>
      </w:pPr>
      <w:r>
        <w:rPr>
          <w:b/>
          <w:bCs/>
          <w:color w:val="0A3F4B"/>
          <w:sz w:val="21"/>
          <w:szCs w:val="21"/>
        </w:rPr>
        <w:t xml:space="preserve">2.  What is the solution?  </w:t>
      </w:r>
      <w:r>
        <w:rPr>
          <w:color w:val="1A2630"/>
          <w:sz w:val="21"/>
          <w:szCs w:val="21"/>
        </w:rPr>
        <w:t xml:space="preserve">Voxtera is a real-time voice concierge. A guest speaks in any language; Voxtera detects it instantly, answers in that same language, handles hotel and destination questions, and turns any request into a ticket routed to the right staff member.</w:t>
      </w:r>
    </w:p>
    <w:p>
      <w:pPr>
        <w:spacing w:after="140" w:line="288"/>
      </w:pPr>
      <w:r>
        <w:rPr>
          <w:b/>
          <w:bCs/>
          <w:color w:val="0A3F4B"/>
          <w:sz w:val="21"/>
          <w:szCs w:val="21"/>
        </w:rPr>
        <w:t xml:space="preserve">3.  Why Voxtera?  </w:t>
      </w:r>
      <w:r>
        <w:rPr>
          <w:color w:val="1A2630"/>
          <w:sz w:val="21"/>
          <w:szCs w:val="21"/>
        </w:rPr>
        <w:t xml:space="preserve">It is voice-native, not a retrofitted chatbot. Automatic detection across 99+ languages means no menu and no friction — it works the way a great human concierge does, and it never goes off shift.</w:t>
      </w:r>
    </w:p>
    <w:p>
      <w:pPr>
        <w:spacing w:after="140" w:line="288"/>
      </w:pPr>
      <w:r>
        <w:rPr>
          <w:b/>
          <w:bCs/>
          <w:color w:val="0A3F4B"/>
          <w:sz w:val="21"/>
          <w:szCs w:val="21"/>
        </w:rPr>
        <w:t xml:space="preserve">4.  What should I do?  </w:t>
      </w:r>
      <w:r>
        <w:rPr>
          <w:color w:val="1A2630"/>
          <w:sz w:val="21"/>
          <w:szCs w:val="21"/>
        </w:rPr>
        <w:t xml:space="preserve">Join the Founding Hotels program: a free 60-day pilot with white-glove setup and founding pricing locked in. Only 10 properties will be accepted.</w:t>
      </w:r>
    </w:p>
    <w:p>
      <w:pPr>
        <w:pStyle w:val="Heading2"/>
      </w:pPr>
      <w:r>
        <w:t xml:space="preserve">5.3  Supporting messages &amp; proof points</w:t>
      </w:r>
    </w:p>
    <w:p>
      <w:pPr>
        <w:spacing w:after="3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C9D4D8" w:sz="1"/>
              <w:left w:val="single" w:color="C9D4D8" w:sz="1"/>
              <w:bottom w:val="single" w:color="C9D4D8" w:sz="1"/>
              <w:right w:val="single" w:color="C9D4D8" w:sz="1"/>
            </w:tcBorders>
            <w:shd w:fill="0E5A6B" w:val="clear"/>
            <w:tcMar>
              <w:top w:type="dxa" w:w="90"/>
              <w:left w:type="dxa" w:w="130"/>
              <w:bottom w:type="dxa" w:w="90"/>
              <w:right w:type="dxa" w:w="130"/>
            </w:tcMar>
            <w:vAlign w:val="center"/>
          </w:tcPr>
          <w:p>
            <w:pPr>
              <w:spacing w:after="0" w:line="264"/>
            </w:pPr>
            <w:r>
              <w:rPr>
                <w:b/>
                <w:bCs/>
                <w:color w:val="FFFFFF"/>
                <w:sz w:val="20"/>
                <w:szCs w:val="20"/>
              </w:rPr>
              <w:t xml:space="preserve">Supporting message</w:t>
            </w:r>
          </w:p>
        </w:tc>
        <w:tc>
          <w:tcPr>
            <w:tcW w:type="dxa" w:w="6060"/>
            <w:tcBorders>
              <w:top w:val="single" w:color="C9D4D8" w:sz="1"/>
              <w:left w:val="single" w:color="C9D4D8" w:sz="1"/>
              <w:bottom w:val="single" w:color="C9D4D8" w:sz="1"/>
              <w:right w:val="single" w:color="C9D4D8" w:sz="1"/>
            </w:tcBorders>
            <w:shd w:fill="0E5A6B" w:val="clear"/>
            <w:tcMar>
              <w:top w:type="dxa" w:w="90"/>
              <w:left w:type="dxa" w:w="130"/>
              <w:bottom w:type="dxa" w:w="90"/>
              <w:right w:type="dxa" w:w="130"/>
            </w:tcMar>
            <w:vAlign w:val="center"/>
          </w:tcPr>
          <w:p>
            <w:pPr>
              <w:spacing w:after="0" w:line="264"/>
            </w:pPr>
            <w:r>
              <w:rPr>
                <w:b/>
                <w:bCs/>
                <w:color w:val="FFFFFF"/>
                <w:sz w:val="20"/>
                <w:szCs w:val="20"/>
              </w:rPr>
              <w:t xml:space="preserve">Proof point</w:t>
            </w:r>
          </w:p>
        </w:tc>
      </w:tr>
      <w:tr>
        <w:trPr>
          <w:cantSplit/>
        </w:trPr>
        <w:tc>
          <w:tcPr>
            <w:tcW w:type="dxa" w:w="33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Serve every guest, 24/7, in their own language</w:t>
            </w:r>
          </w:p>
        </w:tc>
        <w:tc>
          <w:tcPr>
            <w:tcW w:type="dxa" w:w="606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Auto-detects 99+ languages from the guest’s first sentence and replies in that language — no app, no language menu, no waiting for a bilingual staff member to be free.</w:t>
            </w:r>
          </w:p>
        </w:tc>
      </w:tr>
      <w:tr>
        <w:trPr>
          <w:cantSplit/>
        </w:trPr>
        <w:tc>
          <w:tcPr>
            <w:tcW w:type="dxa" w:w="33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Take repetitive load off the front desk</w:t>
            </w:r>
          </w:p>
        </w:tc>
        <w:tc>
          <w:tcPr>
            <w:tcW w:type="dxa" w:w="606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Hotels using AI guest tools report 25–35% fewer repetitive front-desk inquiries; a well-trained AI concierge deflects 60–70% of inbound guest messages by month three.</w:t>
            </w:r>
          </w:p>
        </w:tc>
      </w:tr>
      <w:tr>
        <w:trPr>
          <w:cantSplit/>
        </w:trPr>
        <w:tc>
          <w:tcPr>
            <w:tcW w:type="dxa" w:w="33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Voice-native, not another chat widget</w:t>
            </w:r>
          </w:p>
        </w:tc>
        <w:tc>
          <w:tcPr>
            <w:tcW w:type="dxa" w:w="606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Real-time spoken conversation with natural interruption handling — built for in-room, lobby and phone moments where typing simply does not fit.</w:t>
            </w:r>
          </w:p>
        </w:tc>
      </w:tr>
      <w:tr>
        <w:trPr>
          <w:cantSplit/>
        </w:trPr>
        <w:tc>
          <w:tcPr>
            <w:tcW w:type="dxa" w:w="33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Low-risk to try, easy to run</w:t>
            </w:r>
          </w:p>
        </w:tc>
        <w:tc>
          <w:tcPr>
            <w:tcW w:type="dxa" w:w="606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Free 60-day pilot, white-glove setup, no PMS rip-and-replace; every guest request becomes a categorised ticket routed to staff in their working language.</w:t>
            </w:r>
          </w:p>
        </w:tc>
      </w:tr>
    </w:tbl>
    <w:p>
      <w:pPr>
        <w:spacing w:after="80"/>
      </w:pPr>
      <w:r>
        <w:rPr>
          <w:sz w:val="8"/>
          <w:szCs w:val="8"/>
        </w:rPr>
        <w:t xml:space="preserve"/>
      </w:r>
    </w:p>
    <w:p>
      <w:pPr>
        <w:pStyle w:val="Heading2"/>
      </w:pPr>
      <w:r>
        <w:t xml:space="preserve">5.4  How Voxtera is different</w:t>
      </w:r>
    </w:p>
    <w:p>
      <w:pPr>
        <w:spacing w:after="140" w:line="288"/>
      </w:pPr>
      <w:r>
        <w:rPr>
          <w:color w:val="1A2630"/>
          <w:sz w:val="21"/>
          <w:szCs w:val="21"/>
        </w:rPr>
        <w:t xml:space="preserve">Most AI guest tools on the market today are text- and messaging-first. This is the contrast to lean on in every channel.</w:t>
      </w:r>
    </w:p>
    <w:p>
      <w:pPr>
        <w:spacing w:after="3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cantSplit/>
          <w:tblHeader/>
        </w:trPr>
        <w:tc>
          <w:tcPr>
            <w:tcW w:type="dxa" w:w="2200"/>
            <w:tcBorders>
              <w:top w:val="single" w:color="C9D4D8" w:sz="1"/>
              <w:left w:val="single" w:color="C9D4D8" w:sz="1"/>
              <w:bottom w:val="single" w:color="C9D4D8" w:sz="1"/>
              <w:right w:val="single" w:color="C9D4D8" w:sz="1"/>
            </w:tcBorders>
            <w:shd w:fill="0E5A6B" w:val="clear"/>
            <w:tcMar>
              <w:top w:type="dxa" w:w="90"/>
              <w:left w:type="dxa" w:w="130"/>
              <w:bottom w:type="dxa" w:w="90"/>
              <w:right w:type="dxa" w:w="130"/>
            </w:tcMar>
            <w:vAlign w:val="center"/>
          </w:tcPr>
          <w:p>
            <w:pPr>
              <w:spacing w:after="0" w:line="264"/>
            </w:pPr>
            <w:r>
              <w:rPr>
                <w:b/>
                <w:bCs/>
                <w:color w:val="FFFFFF"/>
                <w:sz w:val="20"/>
                <w:szCs w:val="20"/>
              </w:rPr>
              <w:t xml:space="preserve">Dimension</w:t>
            </w:r>
          </w:p>
        </w:tc>
        <w:tc>
          <w:tcPr>
            <w:tcW w:type="dxa" w:w="3580"/>
            <w:tcBorders>
              <w:top w:val="single" w:color="C9D4D8" w:sz="1"/>
              <w:left w:val="single" w:color="C9D4D8" w:sz="1"/>
              <w:bottom w:val="single" w:color="C9D4D8" w:sz="1"/>
              <w:right w:val="single" w:color="C9D4D8" w:sz="1"/>
            </w:tcBorders>
            <w:shd w:fill="0E5A6B" w:val="clear"/>
            <w:tcMar>
              <w:top w:type="dxa" w:w="90"/>
              <w:left w:type="dxa" w:w="130"/>
              <w:bottom w:type="dxa" w:w="90"/>
              <w:right w:type="dxa" w:w="130"/>
            </w:tcMar>
            <w:vAlign w:val="center"/>
          </w:tcPr>
          <w:p>
            <w:pPr>
              <w:spacing w:after="0" w:line="264"/>
            </w:pPr>
            <w:r>
              <w:rPr>
                <w:b/>
                <w:bCs/>
                <w:color w:val="FFFFFF"/>
                <w:sz w:val="20"/>
                <w:szCs w:val="20"/>
              </w:rPr>
              <w:t xml:space="preserve">Most AI guest tools today</w:t>
            </w:r>
          </w:p>
        </w:tc>
        <w:tc>
          <w:tcPr>
            <w:tcW w:type="dxa" w:w="3580"/>
            <w:tcBorders>
              <w:top w:val="single" w:color="C9D4D8" w:sz="1"/>
              <w:left w:val="single" w:color="C9D4D8" w:sz="1"/>
              <w:bottom w:val="single" w:color="C9D4D8" w:sz="1"/>
              <w:right w:val="single" w:color="C9D4D8" w:sz="1"/>
            </w:tcBorders>
            <w:shd w:fill="0E5A6B" w:val="clear"/>
            <w:tcMar>
              <w:top w:type="dxa" w:w="90"/>
              <w:left w:type="dxa" w:w="130"/>
              <w:bottom w:type="dxa" w:w="90"/>
              <w:right w:type="dxa" w:w="130"/>
            </w:tcMar>
            <w:vAlign w:val="center"/>
          </w:tcPr>
          <w:p>
            <w:pPr>
              <w:spacing w:after="0" w:line="264"/>
            </w:pPr>
            <w:r>
              <w:rPr>
                <w:b/>
                <w:bCs/>
                <w:color w:val="FFFFFF"/>
                <w:sz w:val="20"/>
                <w:szCs w:val="20"/>
              </w:rPr>
              <w:t xml:space="preserve">Voxtera</w:t>
            </w:r>
          </w:p>
        </w:tc>
      </w:tr>
      <w:tr>
        <w:trPr>
          <w:cantSplit/>
        </w:trPr>
        <w:tc>
          <w:tcPr>
            <w:tcW w:type="dxa" w:w="22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Interface</w:t>
            </w:r>
          </w:p>
        </w:tc>
        <w:tc>
          <w:tcPr>
            <w:tcW w:type="dxa" w:w="358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Text chat — WhatsApp, SMS, web widget; the guest types</w:t>
            </w:r>
          </w:p>
        </w:tc>
        <w:tc>
          <w:tcPr>
            <w:tcW w:type="dxa" w:w="358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Real-time voice — the guest simply speaks, hands-free</w:t>
            </w:r>
          </w:p>
        </w:tc>
      </w:tr>
      <w:tr>
        <w:trPr>
          <w:cantSplit/>
        </w:trPr>
        <w:tc>
          <w:tcPr>
            <w:tcW w:type="dxa" w:w="22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Languages</w:t>
            </w:r>
          </w:p>
        </w:tc>
        <w:tc>
          <w:tcPr>
            <w:tcW w:type="dxa" w:w="358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Guest picks from a menu; coverage delivered via text</w:t>
            </w:r>
          </w:p>
        </w:tc>
        <w:tc>
          <w:tcPr>
            <w:tcW w:type="dxa" w:w="358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99+ languages, auto-detected from the first utterance</w:t>
            </w:r>
          </w:p>
        </w:tc>
      </w:tr>
      <w:tr>
        <w:trPr>
          <w:cantSplit/>
        </w:trPr>
        <w:tc>
          <w:tcPr>
            <w:tcW w:type="dxa" w:w="22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Conversation</w:t>
            </w:r>
          </w:p>
        </w:tc>
        <w:tc>
          <w:tcPr>
            <w:tcW w:type="dxa" w:w="358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Turn-by-turn messaging</w:t>
            </w:r>
          </w:p>
        </w:tc>
        <w:tc>
          <w:tcPr>
            <w:tcW w:type="dxa" w:w="358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Natural speech with interruption handling</w:t>
            </w:r>
          </w:p>
        </w:tc>
      </w:tr>
      <w:tr>
        <w:trPr>
          <w:cantSplit/>
        </w:trPr>
        <w:tc>
          <w:tcPr>
            <w:tcW w:type="dxa" w:w="22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Best moment</w:t>
            </w:r>
          </w:p>
        </w:tc>
        <w:tc>
          <w:tcPr>
            <w:tcW w:type="dxa" w:w="358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Pre-stay and booking messaging</w:t>
            </w:r>
          </w:p>
        </w:tc>
        <w:tc>
          <w:tcPr>
            <w:tcW w:type="dxa" w:w="358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In-the-moment concierge: in-room, lobby and phone</w:t>
            </w:r>
          </w:p>
        </w:tc>
      </w:tr>
      <w:tr>
        <w:trPr>
          <w:cantSplit/>
        </w:trPr>
        <w:tc>
          <w:tcPr>
            <w:tcW w:type="dxa" w:w="22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Staff hand-off</w:t>
            </w:r>
          </w:p>
        </w:tc>
        <w:tc>
          <w:tcPr>
            <w:tcW w:type="dxa" w:w="358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Varies by tool</w:t>
            </w:r>
          </w:p>
        </w:tc>
        <w:tc>
          <w:tcPr>
            <w:tcW w:type="dxa" w:w="358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Every request becomes a categorised ticket, routed to staff in their language</w:t>
            </w:r>
          </w:p>
        </w:tc>
      </w:tr>
    </w:tbl>
    <w:p>
      <w:pPr>
        <w:spacing w:after="120"/>
      </w:pPr>
      <w:r>
        <w:rPr>
          <w:sz w:val="8"/>
          <w:szCs w:val="8"/>
        </w:rPr>
        <w:t xml:space="preserve"/>
      </w:r>
    </w:p>
    <w:p>
      <w:pPr>
        <w:pStyle w:val="Heading1"/>
      </w:pPr>
      <w:r>
        <w:t xml:space="preserve">6.  The Offer — Founding Hotels Program</w:t>
      </w:r>
    </w:p>
    <w:p>
      <w:pPr>
        <w:spacing w:after="140" w:line="288"/>
      </w:pPr>
      <w:r>
        <w:rPr>
          <w:color w:val="1A2630"/>
          <w:sz w:val="21"/>
          <w:szCs w:val="21"/>
        </w:rPr>
        <w:t xml:space="preserve">The offer is the campaign’s centre of gravity. It is engineered to remove every reason to say “not now”: no cost, no long commitment, no setup burden on the hotel’s team, and a hard cap that creates genuine scarcity.</w:t>
      </w:r>
    </w:p>
    <w:p>
      <w:pPr>
        <w:pStyle w:val="Heading2"/>
      </w:pPr>
      <w:r>
        <w:t xml:space="preserve">What the hotel gets</w:t>
      </w:r>
    </w:p>
    <w:p>
      <w:pPr>
        <w:pStyle w:val="ListParagraph"/>
        <w:numPr>
          <w:ilvl w:val="0"/>
          <w:numId w:val="2"/>
        </w:numPr>
        <w:spacing w:after="70" w:line="288"/>
      </w:pPr>
      <w:r>
        <w:rPr>
          <w:color w:val="1A2630"/>
          <w:sz w:val="21"/>
          <w:szCs w:val="21"/>
        </w:rPr>
        <w:t xml:space="preserve">A fully set-up Voxtera voice concierge for one property, free for 60 days.</w:t>
      </w:r>
    </w:p>
    <w:p>
      <w:pPr>
        <w:pStyle w:val="ListParagraph"/>
        <w:numPr>
          <w:ilvl w:val="0"/>
          <w:numId w:val="2"/>
        </w:numPr>
        <w:spacing w:after="70" w:line="288"/>
      </w:pPr>
      <w:r>
        <w:rPr>
          <w:color w:val="1A2630"/>
          <w:sz w:val="21"/>
          <w:szCs w:val="21"/>
        </w:rPr>
        <w:t xml:space="preserve">White-glove onboarding led personally by the founder — tuned to the property’s amenities, policies and FAQs.</w:t>
      </w:r>
    </w:p>
    <w:p>
      <w:pPr>
        <w:pStyle w:val="ListParagraph"/>
        <w:numPr>
          <w:ilvl w:val="0"/>
          <w:numId w:val="2"/>
        </w:numPr>
        <w:spacing w:after="70" w:line="288"/>
      </w:pPr>
      <w:r>
        <w:rPr>
          <w:color w:val="1A2630"/>
          <w:sz w:val="21"/>
          <w:szCs w:val="21"/>
        </w:rPr>
        <w:t xml:space="preserve">Founding-partner pricing locked in for 12 months after the pilot.</w:t>
      </w:r>
    </w:p>
    <w:p>
      <w:pPr>
        <w:pStyle w:val="ListParagraph"/>
        <w:numPr>
          <w:ilvl w:val="0"/>
          <w:numId w:val="2"/>
        </w:numPr>
        <w:spacing w:after="70" w:line="288"/>
      </w:pPr>
      <w:r>
        <w:rPr>
          <w:color w:val="1A2630"/>
          <w:sz w:val="21"/>
          <w:szCs w:val="21"/>
        </w:rPr>
        <w:t xml:space="preserve">A direct line to the product team and real influence over the roadmap.</w:t>
      </w:r>
    </w:p>
    <w:p>
      <w:pPr>
        <w:pStyle w:val="ListParagraph"/>
        <w:numPr>
          <w:ilvl w:val="0"/>
          <w:numId w:val="2"/>
        </w:numPr>
        <w:spacing w:after="70" w:line="288"/>
      </w:pPr>
      <w:r>
        <w:rPr>
          <w:color w:val="1A2630"/>
          <w:sz w:val="21"/>
          <w:szCs w:val="21"/>
        </w:rPr>
        <w:t xml:space="preserve">A co-branded case study and joint announcement — optional, entirely the hotel’s choice.</w:t>
      </w:r>
    </w:p>
    <w:p>
      <w:pPr>
        <w:pStyle w:val="Heading2"/>
      </w:pPr>
      <w:r>
        <w:t xml:space="preserve">What we ask in return</w:t>
      </w:r>
    </w:p>
    <w:p>
      <w:pPr>
        <w:pStyle w:val="ListParagraph"/>
        <w:numPr>
          <w:ilvl w:val="0"/>
          <w:numId w:val="2"/>
        </w:numPr>
        <w:spacing w:after="70" w:line="288"/>
      </w:pPr>
      <w:r>
        <w:rPr>
          <w:color w:val="1A2630"/>
          <w:sz w:val="21"/>
          <w:szCs w:val="21"/>
        </w:rPr>
        <w:t xml:space="preserve">Honest, regular feedback across the 60 days.</w:t>
      </w:r>
    </w:p>
    <w:p>
      <w:pPr>
        <w:pStyle w:val="ListParagraph"/>
        <w:numPr>
          <w:ilvl w:val="0"/>
          <w:numId w:val="2"/>
        </w:numPr>
        <w:spacing w:after="70" w:line="288"/>
      </w:pPr>
      <w:r>
        <w:rPr>
          <w:color w:val="1A2630"/>
          <w:sz w:val="21"/>
          <w:szCs w:val="21"/>
        </w:rPr>
        <w:t xml:space="preserve">A 30-minute mid-pilot review and a 30-minute end-of-pilot review.</w:t>
      </w:r>
    </w:p>
    <w:p>
      <w:pPr>
        <w:pStyle w:val="ListParagraph"/>
        <w:numPr>
          <w:ilvl w:val="0"/>
          <w:numId w:val="2"/>
        </w:numPr>
        <w:spacing w:after="70" w:line="288"/>
      </w:pPr>
      <w:r>
        <w:rPr>
          <w:color w:val="1A2630"/>
          <w:sz w:val="21"/>
          <w:szCs w:val="21"/>
        </w:rPr>
        <w:t xml:space="preserve">If the results are good: a short testimonial and, ideally, one warm introduction to a peer property.</w:t>
      </w:r>
    </w:p>
    <w:p>
      <w:pPr>
        <w:pStyle w:val="Heading2"/>
      </w:pPr>
      <w:r>
        <w:t xml:space="preserve">Why it is framed this way</w:t>
      </w:r>
    </w:p>
    <w:p>
      <w:pPr>
        <w:spacing w:after="140" w:line="288"/>
      </w:pPr>
      <w:r>
        <w:rPr>
          <w:b/>
          <w:bCs/>
          <w:color w:val="1A2630"/>
          <w:sz w:val="21"/>
          <w:szCs w:val="21"/>
        </w:rPr>
        <w:t xml:space="preserve">Scarcity — </w:t>
      </w:r>
      <w:r>
        <w:rPr>
          <w:color w:val="1A2630"/>
          <w:sz w:val="21"/>
          <w:szCs w:val="21"/>
        </w:rPr>
        <w:t xml:space="preserve">“only 10 spots” makes the program a selective opportunity, not a free trial of unknown software, and gives every outreach message a built-in reason to reply now.</w:t>
      </w:r>
    </w:p>
    <w:p>
      <w:pPr>
        <w:spacing w:after="140" w:line="288"/>
      </w:pPr>
      <w:r>
        <w:rPr>
          <w:b/>
          <w:bCs/>
          <w:color w:val="1A2630"/>
          <w:sz w:val="21"/>
          <w:szCs w:val="21"/>
        </w:rPr>
        <w:t xml:space="preserve">Low risk — </w:t>
      </w:r>
      <w:r>
        <w:rPr>
          <w:color w:val="1A2630"/>
          <w:sz w:val="21"/>
          <w:szCs w:val="21"/>
        </w:rPr>
        <w:t xml:space="preserve">free, time-boxed, and set up for them. The hotel is never asked to gamble budget or staff hours to find out if it works.</w:t>
      </w:r>
    </w:p>
    <w:p>
      <w:pPr>
        <w:spacing w:after="140" w:line="288"/>
      </w:pPr>
      <w:r>
        <w:rPr>
          <w:b/>
          <w:bCs/>
          <w:color w:val="1A2630"/>
          <w:sz w:val="21"/>
          <w:szCs w:val="21"/>
        </w:rPr>
        <w:t xml:space="preserve">Reciprocity — </w:t>
      </w:r>
      <w:r>
        <w:rPr>
          <w:color w:val="1A2630"/>
          <w:sz w:val="21"/>
          <w:szCs w:val="21"/>
        </w:rPr>
        <w:t xml:space="preserve">naming them a “founding partner” with locked-in pricing and roadmap influence invites a genuine partnership, which is what produces strong feedback, testimonials and referrals.</w:t>
      </w:r>
    </w:p>
    <w:p>
      <w:pPr>
        <w:pStyle w:val="Heading2"/>
      </w:pPr>
      <w:r>
        <w:t xml:space="preserve">Who is a good-fit pilot</w:t>
      </w:r>
    </w:p>
    <w:p>
      <w:pPr>
        <w:spacing w:after="140" w:line="288"/>
      </w:pPr>
      <w:r>
        <w:rPr>
          <w:color w:val="1A2630"/>
          <w:sz w:val="21"/>
          <w:szCs w:val="21"/>
        </w:rPr>
        <w:t xml:space="preserve">Apply these criteria before signing a hotel — wrong-fit properties dilute the learnings the campaign exists to produce.</w:t>
      </w:r>
    </w:p>
    <w:p>
      <w:pPr>
        <w:pStyle w:val="ListParagraph"/>
        <w:numPr>
          <w:ilvl w:val="0"/>
          <w:numId w:val="2"/>
        </w:numPr>
        <w:spacing w:after="70" w:line="288"/>
      </w:pPr>
      <w:r>
        <w:rPr>
          <w:color w:val="1A2630"/>
          <w:sz w:val="21"/>
          <w:szCs w:val="21"/>
        </w:rPr>
        <w:t xml:space="preserve">4–5 star or upscale boutique, roughly 40–200 rooms.</w:t>
      </w:r>
    </w:p>
    <w:p>
      <w:pPr>
        <w:pStyle w:val="ListParagraph"/>
        <w:numPr>
          <w:ilvl w:val="0"/>
          <w:numId w:val="2"/>
        </w:numPr>
        <w:spacing w:after="70" w:line="288"/>
      </w:pPr>
      <w:r>
        <w:rPr>
          <w:color w:val="1A2630"/>
          <w:sz w:val="21"/>
          <w:szCs w:val="21"/>
        </w:rPr>
        <w:t xml:space="preserve">A genuinely international guest mix, or located in a multilingual destination.</w:t>
      </w:r>
    </w:p>
    <w:p>
      <w:pPr>
        <w:pStyle w:val="ListParagraph"/>
        <w:numPr>
          <w:ilvl w:val="0"/>
          <w:numId w:val="2"/>
        </w:numPr>
        <w:spacing w:after="70" w:line="288"/>
      </w:pPr>
      <w:r>
        <w:rPr>
          <w:color w:val="1A2630"/>
          <w:sz w:val="21"/>
          <w:szCs w:val="21"/>
        </w:rPr>
        <w:t xml:space="preserve">An engaged decision-maker (GM or guest-experience director) willing to champion it internally.</w:t>
      </w:r>
    </w:p>
    <w:p>
      <w:pPr>
        <w:pStyle w:val="ListParagraph"/>
        <w:numPr>
          <w:ilvl w:val="0"/>
          <w:numId w:val="2"/>
        </w:numPr>
        <w:spacing w:after="70" w:line="288"/>
      </w:pPr>
      <w:r>
        <w:rPr>
          <w:color w:val="1A2630"/>
          <w:sz w:val="21"/>
          <w:szCs w:val="21"/>
        </w:rPr>
        <w:t xml:space="preserve">Willing to give candid feedback and, ideally, be referenceable afterwards.</w:t>
      </w:r>
    </w:p>
    <w:p>
      <w:pPr>
        <w:spacing w:after="120"/>
      </w:pPr>
      <w:r>
        <w:rPr>
          <w:sz w:val="8"/>
          <w:szCs w:val="8"/>
        </w:rPr>
        <w:t xml:space="preserve"/>
      </w:r>
    </w:p>
    <w:p>
      <w:pPr>
        <w:pStyle w:val="Heading1"/>
      </w:pPr>
      <w:r>
        <w:t xml:space="preserve">7.  Channel Strategy</w:t>
      </w:r>
    </w:p>
    <w:p>
      <w:pPr>
        <w:spacing w:after="140" w:line="288"/>
      </w:pPr>
      <w:r>
        <w:rPr>
          <w:color w:val="1A2630"/>
          <w:sz w:val="21"/>
          <w:szCs w:val="21"/>
        </w:rPr>
        <w:t xml:space="preserve">Two channels, both low-cost and founder-led: organic LinkedIn builds credibility and warm inbound; direct email drives the targeted, measurable outreach that produces booked calls. They are run together so each makes the other work harder.</w:t>
      </w:r>
    </w:p>
    <w:p>
      <w:pPr>
        <w:pStyle w:val="Heading2"/>
      </w:pPr>
      <w:r>
        <w:t xml:space="preserve">7.1  Organic LinkedIn (founder-led)</w:t>
      </w:r>
    </w:p>
    <w:p>
      <w:pPr>
        <w:spacing w:after="140" w:line="288"/>
      </w:pPr>
      <w:r>
        <w:rPr>
          <w:b/>
          <w:bCs/>
          <w:color w:val="1A2630"/>
          <w:sz w:val="21"/>
          <w:szCs w:val="21"/>
        </w:rPr>
        <w:t xml:space="preserve">Rationale.  </w:t>
      </w:r>
      <w:r>
        <w:rPr>
          <w:color w:val="1A2630"/>
          <w:sz w:val="21"/>
          <w:szCs w:val="21"/>
        </w:rPr>
        <w:t xml:space="preserve">At this stage buyers trust a founder more than a brand. The founder’s personal profile is the primary channel; the Voxtera company page is secondary, used to repost and to give cold prospects a credible page to land on. LinkedIn’s job is to build authority in the hospitality niche, generate warm inbound, and make every cold email land softer because the recipient has already seen the name.</w:t>
      </w:r>
    </w:p>
    <w:p>
      <w:pPr>
        <w:spacing w:after="140" w:line="288"/>
      </w:pPr>
      <w:r>
        <w:rPr>
          <w:b/>
          <w:bCs/>
          <w:color w:val="1A2630"/>
          <w:sz w:val="21"/>
          <w:szCs w:val="21"/>
        </w:rPr>
        <w:t xml:space="preserve">Cadence.  </w:t>
      </w:r>
      <w:r>
        <w:rPr>
          <w:color w:val="1A2630"/>
          <w:sz w:val="21"/>
          <w:szCs w:val="21"/>
        </w:rPr>
        <w:t xml:space="preserve">5 posts per week — 3 from the founder, 2 from the company page — for 8 weeks (~40 posts). Plus daily engagement: comment on hotel-tech and hospitality voices, and reply to every comment within a few hours.</w:t>
      </w:r>
    </w:p>
    <w:p>
      <w:pPr>
        <w:spacing w:after="140" w:line="288"/>
      </w:pPr>
      <w:r>
        <w:rPr>
          <w:b/>
          <w:bCs/>
          <w:color w:val="1A2630"/>
          <w:sz w:val="21"/>
          <w:szCs w:val="21"/>
        </w:rPr>
        <w:t xml:space="preserve">Content pillars.</w:t>
      </w:r>
    </w:p>
    <w:p>
      <w:pPr>
        <w:pStyle w:val="ListParagraph"/>
        <w:numPr>
          <w:ilvl w:val="0"/>
          <w:numId w:val="2"/>
        </w:numPr>
        <w:spacing w:after="70" w:line="288"/>
      </w:pPr>
      <w:r>
        <w:rPr>
          <w:b/>
          <w:bCs/>
          <w:color w:val="1A2630"/>
          <w:sz w:val="21"/>
          <w:szCs w:val="21"/>
        </w:rPr>
        <w:t xml:space="preserve">Founder story / build-in-public — </w:t>
      </w:r>
      <w:r>
        <w:rPr>
          <w:color w:val="1A2630"/>
          <w:sz w:val="21"/>
          <w:szCs w:val="21"/>
        </w:rPr>
        <w:t xml:space="preserve">why Voxtera exists, what is being learned, honest progress. Builds trust and relatability.</w:t>
      </w:r>
    </w:p>
    <w:p>
      <w:pPr>
        <w:pStyle w:val="ListParagraph"/>
        <w:numPr>
          <w:ilvl w:val="0"/>
          <w:numId w:val="2"/>
        </w:numPr>
        <w:spacing w:after="70" w:line="288"/>
      </w:pPr>
      <w:r>
        <w:rPr>
          <w:b/>
          <w:bCs/>
          <w:color w:val="1A2630"/>
          <w:sz w:val="21"/>
          <w:szCs w:val="21"/>
        </w:rPr>
        <w:t xml:space="preserve">Hospitality insight — </w:t>
      </w:r>
      <w:r>
        <w:rPr>
          <w:color w:val="1A2630"/>
          <w:sz w:val="21"/>
          <w:szCs w:val="21"/>
        </w:rPr>
        <w:t xml:space="preserve">the language-barrier and front-desk-staffing problem, framed around the guest and the GM, not the product.</w:t>
      </w:r>
    </w:p>
    <w:p>
      <w:pPr>
        <w:pStyle w:val="ListParagraph"/>
        <w:numPr>
          <w:ilvl w:val="0"/>
          <w:numId w:val="2"/>
        </w:numPr>
        <w:spacing w:after="70" w:line="288"/>
      </w:pPr>
      <w:r>
        <w:rPr>
          <w:b/>
          <w:bCs/>
          <w:color w:val="1A2630"/>
          <w:sz w:val="21"/>
          <w:szCs w:val="21"/>
        </w:rPr>
        <w:t xml:space="preserve">Product demo clips — </w:t>
      </w:r>
      <w:r>
        <w:rPr>
          <w:color w:val="1A2630"/>
          <w:sz w:val="21"/>
          <w:szCs w:val="21"/>
        </w:rPr>
        <w:t xml:space="preserve">short videos showing live language detection and ticket routing. This is the campaign’s single strongest asset — seeing it switch languages mid-conversation is the moment people understand it.</w:t>
      </w:r>
    </w:p>
    <w:p>
      <w:pPr>
        <w:pStyle w:val="ListParagraph"/>
        <w:numPr>
          <w:ilvl w:val="0"/>
          <w:numId w:val="2"/>
        </w:numPr>
        <w:spacing w:after="70" w:line="288"/>
      </w:pPr>
      <w:r>
        <w:rPr>
          <w:b/>
          <w:bCs/>
          <w:color w:val="1A2630"/>
          <w:sz w:val="21"/>
          <w:szCs w:val="21"/>
        </w:rPr>
        <w:t xml:space="preserve">Social proof — </w:t>
      </w:r>
      <w:r>
        <w:rPr>
          <w:color w:val="1A2630"/>
          <w:sz w:val="21"/>
          <w:szCs w:val="21"/>
        </w:rPr>
        <w:t xml:space="preserve">Founding Hotels announcements, pilot behind-the-scenes and early results, published as they happen.</w:t>
      </w:r>
    </w:p>
    <w:p>
      <w:pPr>
        <w:spacing w:after="140" w:line="288"/>
      </w:pPr>
      <w:r>
        <w:rPr>
          <w:b/>
          <w:bCs/>
          <w:color w:val="1A2630"/>
          <w:sz w:val="21"/>
          <w:szCs w:val="21"/>
        </w:rPr>
        <w:t xml:space="preserve">Example hooks.  </w:t>
      </w:r>
      <w:r>
        <w:rPr>
          <w:color w:val="1A2630"/>
          <w:sz w:val="21"/>
          <w:szCs w:val="21"/>
        </w:rPr>
        <w:t xml:space="preserve">“A guest walked up to the front desk and spoke Romanian. Nobody on shift understood a word. Here is what that costs a hotel.”  /  “We pointed our voice agent at a five-star Paris hotel and asked it questions in 12 languages. Watch.”  /  “Our first Founding Hotel just went live. Here is what week one looked like.”</w:t>
      </w:r>
    </w:p>
    <w:p>
      <w:pPr>
        <w:pStyle w:val="Heading2"/>
      </w:pPr>
      <w:r>
        <w:t xml:space="preserve">7.2  Direct email outreach</w:t>
      </w:r>
    </w:p>
    <w:p>
      <w:pPr>
        <w:spacing w:after="140" w:line="288"/>
      </w:pPr>
      <w:r>
        <w:rPr>
          <w:b/>
          <w:bCs/>
          <w:color w:val="1A2630"/>
          <w:sz w:val="21"/>
          <w:szCs w:val="21"/>
        </w:rPr>
        <w:t xml:space="preserve">Rationale.  </w:t>
      </w:r>
      <w:r>
        <w:rPr>
          <w:color w:val="1A2630"/>
          <w:sz w:val="21"/>
          <w:szCs w:val="21"/>
        </w:rPr>
        <w:t xml:space="preserve">Email is the channel that produces booked calls on a schedule. It is targeted, personal, measurable, and — sent founder-to-GM — entirely appropriate for this audience. Target ~600 verified decision-makers across the campaign, ~85 per week, segmented by destination so each batch can be personalised at the city and property-type level.</w:t>
      </w:r>
    </w:p>
    <w:p>
      <w:pPr>
        <w:spacing w:after="140" w:line="288"/>
      </w:pPr>
      <w:r>
        <w:rPr>
          <w:b/>
          <w:bCs/>
          <w:color w:val="1A2630"/>
          <w:sz w:val="21"/>
          <w:szCs w:val="21"/>
        </w:rPr>
        <w:t xml:space="preserve">Sequence.  </w:t>
      </w:r>
      <w:r>
        <w:rPr>
          <w:color w:val="1A2630"/>
          <w:sz w:val="21"/>
          <w:szCs w:val="21"/>
        </w:rPr>
        <w:t xml:space="preserve">A 4-touch sequence per prospect over ~12 days. Touch 1 leads with the guest-experience pain and carries no link, to protect deliverability. Later touches add the demo, the offer and a gentle close.</w:t>
      </w:r>
    </w:p>
    <w:p>
      <w:pPr>
        <w:spacing w:after="3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850"/>
        <w:gridCol w:w="3560"/>
        <w:gridCol w:w="3900"/>
      </w:tblGrid>
      <w:tr>
        <w:trPr>
          <w:cantSplit/>
          <w:tblHeader/>
        </w:trPr>
        <w:tc>
          <w:tcPr>
            <w:tcW w:type="dxa" w:w="1050"/>
            <w:tcBorders>
              <w:top w:val="single" w:color="C9D4D8" w:sz="1"/>
              <w:left w:val="single" w:color="C9D4D8" w:sz="1"/>
              <w:bottom w:val="single" w:color="C9D4D8" w:sz="1"/>
              <w:right w:val="single" w:color="C9D4D8" w:sz="1"/>
            </w:tcBorders>
            <w:shd w:fill="0E5A6B" w:val="clear"/>
            <w:tcMar>
              <w:top w:type="dxa" w:w="90"/>
              <w:left w:type="dxa" w:w="130"/>
              <w:bottom w:type="dxa" w:w="90"/>
              <w:right w:type="dxa" w:w="130"/>
            </w:tcMar>
            <w:vAlign w:val="center"/>
          </w:tcPr>
          <w:p>
            <w:pPr>
              <w:spacing w:after="0" w:line="264"/>
            </w:pPr>
            <w:r>
              <w:rPr>
                <w:b/>
                <w:bCs/>
                <w:color w:val="FFFFFF"/>
                <w:sz w:val="20"/>
                <w:szCs w:val="20"/>
              </w:rPr>
              <w:t xml:space="preserve">Touch</w:t>
            </w:r>
          </w:p>
        </w:tc>
        <w:tc>
          <w:tcPr>
            <w:tcW w:type="dxa" w:w="850"/>
            <w:tcBorders>
              <w:top w:val="single" w:color="C9D4D8" w:sz="1"/>
              <w:left w:val="single" w:color="C9D4D8" w:sz="1"/>
              <w:bottom w:val="single" w:color="C9D4D8" w:sz="1"/>
              <w:right w:val="single" w:color="C9D4D8" w:sz="1"/>
            </w:tcBorders>
            <w:shd w:fill="0E5A6B" w:val="clear"/>
            <w:tcMar>
              <w:top w:type="dxa" w:w="90"/>
              <w:left w:type="dxa" w:w="130"/>
              <w:bottom w:type="dxa" w:w="90"/>
              <w:right w:type="dxa" w:w="130"/>
            </w:tcMar>
            <w:vAlign w:val="center"/>
          </w:tcPr>
          <w:p>
            <w:pPr>
              <w:spacing w:after="0" w:line="264"/>
              <w:jc w:val="left"/>
            </w:pPr>
            <w:r>
              <w:rPr>
                <w:b/>
                <w:bCs/>
                <w:color w:val="FFFFFF"/>
                <w:sz w:val="20"/>
                <w:szCs w:val="20"/>
              </w:rPr>
              <w:t xml:space="preserve">Day</w:t>
            </w:r>
          </w:p>
        </w:tc>
        <w:tc>
          <w:tcPr>
            <w:tcW w:type="dxa" w:w="3560"/>
            <w:tcBorders>
              <w:top w:val="single" w:color="C9D4D8" w:sz="1"/>
              <w:left w:val="single" w:color="C9D4D8" w:sz="1"/>
              <w:bottom w:val="single" w:color="C9D4D8" w:sz="1"/>
              <w:right w:val="single" w:color="C9D4D8" w:sz="1"/>
            </w:tcBorders>
            <w:shd w:fill="0E5A6B" w:val="clear"/>
            <w:tcMar>
              <w:top w:type="dxa" w:w="90"/>
              <w:left w:type="dxa" w:w="130"/>
              <w:bottom w:type="dxa" w:w="90"/>
              <w:right w:type="dxa" w:w="130"/>
            </w:tcMar>
            <w:vAlign w:val="center"/>
          </w:tcPr>
          <w:p>
            <w:pPr>
              <w:spacing w:after="0" w:line="264"/>
              <w:jc w:val="left"/>
            </w:pPr>
            <w:r>
              <w:rPr>
                <w:b/>
                <w:bCs/>
                <w:color w:val="FFFFFF"/>
                <w:sz w:val="20"/>
                <w:szCs w:val="20"/>
              </w:rPr>
              <w:t xml:space="preserve">Purpose</w:t>
            </w:r>
          </w:p>
        </w:tc>
        <w:tc>
          <w:tcPr>
            <w:tcW w:type="dxa" w:w="3900"/>
            <w:tcBorders>
              <w:top w:val="single" w:color="C9D4D8" w:sz="1"/>
              <w:left w:val="single" w:color="C9D4D8" w:sz="1"/>
              <w:bottom w:val="single" w:color="C9D4D8" w:sz="1"/>
              <w:right w:val="single" w:color="C9D4D8" w:sz="1"/>
            </w:tcBorders>
            <w:shd w:fill="0E5A6B" w:val="clear"/>
            <w:tcMar>
              <w:top w:type="dxa" w:w="90"/>
              <w:left w:type="dxa" w:w="130"/>
              <w:bottom w:type="dxa" w:w="90"/>
              <w:right w:type="dxa" w:w="130"/>
            </w:tcMar>
            <w:vAlign w:val="center"/>
          </w:tcPr>
          <w:p>
            <w:pPr>
              <w:spacing w:after="0" w:line="264"/>
              <w:jc w:val="left"/>
            </w:pPr>
            <w:r>
              <w:rPr>
                <w:b/>
                <w:bCs/>
                <w:color w:val="FFFFFF"/>
                <w:sz w:val="20"/>
                <w:szCs w:val="20"/>
              </w:rPr>
              <w:t xml:space="preserve">Example subject line</w:t>
            </w:r>
          </w:p>
        </w:tc>
      </w:tr>
      <w:tr>
        <w:trPr>
          <w:cantSplit/>
        </w:trPr>
        <w:tc>
          <w:tcPr>
            <w:tcW w:type="dxa" w:w="105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1</w:t>
            </w:r>
          </w:p>
        </w:tc>
        <w:tc>
          <w:tcPr>
            <w:tcW w:type="dxa" w:w="85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Day 1</w:t>
            </w:r>
          </w:p>
        </w:tc>
        <w:tc>
          <w:tcPr>
            <w:tcW w:type="dxa" w:w="356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Personalised opener — name the property, lead with the language-barrier pain, no link, no pitch.</w:t>
            </w:r>
          </w:p>
        </w:tc>
        <w:tc>
          <w:tcPr>
            <w:tcW w:type="dxa" w:w="39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a question about your international guests</w:t>
            </w:r>
          </w:p>
        </w:tc>
      </w:tr>
      <w:tr>
        <w:trPr>
          <w:cantSplit/>
        </w:trPr>
        <w:tc>
          <w:tcPr>
            <w:tcW w:type="dxa" w:w="105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2</w:t>
            </w:r>
          </w:p>
        </w:tc>
        <w:tc>
          <w:tcPr>
            <w:tcW w:type="dxa" w:w="85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Day 4</w:t>
            </w:r>
          </w:p>
        </w:tc>
        <w:tc>
          <w:tcPr>
            <w:tcW w:type="dxa" w:w="356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Share the 60-second demo clip; show, do not tell.</w:t>
            </w:r>
          </w:p>
        </w:tc>
        <w:tc>
          <w:tcPr>
            <w:tcW w:type="dxa" w:w="39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60 seconds — 12 languages, one concierge</w:t>
            </w:r>
          </w:p>
        </w:tc>
      </w:tr>
      <w:tr>
        <w:trPr>
          <w:cantSplit/>
        </w:trPr>
        <w:tc>
          <w:tcPr>
            <w:tcW w:type="dxa" w:w="105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3</w:t>
            </w:r>
          </w:p>
        </w:tc>
        <w:tc>
          <w:tcPr>
            <w:tcW w:type="dxa" w:w="85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Day 8</w:t>
            </w:r>
          </w:p>
        </w:tc>
        <w:tc>
          <w:tcPr>
            <w:tcW w:type="dxa" w:w="356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Introduce the Founding Hotels offer and the 10-spot cap.</w:t>
            </w:r>
          </w:p>
        </w:tc>
        <w:tc>
          <w:tcPr>
            <w:tcW w:type="dxa" w:w="39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10 hotels — free 60-day pilot</w:t>
            </w:r>
          </w:p>
        </w:tc>
      </w:tr>
      <w:tr>
        <w:trPr>
          <w:cantSplit/>
        </w:trPr>
        <w:tc>
          <w:tcPr>
            <w:tcW w:type="dxa" w:w="105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4</w:t>
            </w:r>
          </w:p>
        </w:tc>
        <w:tc>
          <w:tcPr>
            <w:tcW w:type="dxa" w:w="85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Day 12</w:t>
            </w:r>
          </w:p>
        </w:tc>
        <w:tc>
          <w:tcPr>
            <w:tcW w:type="dxa" w:w="356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Short, friendly close; offer to step back if the timing is wrong.</w:t>
            </w:r>
          </w:p>
        </w:tc>
        <w:tc>
          <w:tcPr>
            <w:tcW w:type="dxa" w:w="39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should I close your file?</w:t>
            </w:r>
          </w:p>
        </w:tc>
      </w:tr>
    </w:tbl>
    <w:p>
      <w:pPr>
        <w:spacing w:after="50"/>
      </w:pPr>
      <w:r>
        <w:rPr>
          <w:sz w:val="8"/>
          <w:szCs w:val="8"/>
        </w:rPr>
        <w:t xml:space="preserve"/>
      </w:r>
    </w:p>
    <w:p>
      <w:pPr>
        <w:spacing w:after="140" w:line="288"/>
      </w:pPr>
      <w:r>
        <w:rPr>
          <w:b/>
          <w:bCs/>
          <w:color w:val="1A2630"/>
          <w:sz w:val="21"/>
          <w:szCs w:val="21"/>
        </w:rPr>
        <w:t xml:space="preserve">Deliverability.  </w:t>
      </w:r>
      <w:r>
        <w:rPr>
          <w:color w:val="1A2630"/>
          <w:sz w:val="21"/>
          <w:szCs w:val="21"/>
        </w:rPr>
        <w:t xml:space="preserve">Send from a secondary domain, warmed for at least two weeks before launch; keep volume at or below 85 per day; write plain-text, founder-style emails with no images and no link in Touch 1; verify every address before sending.</w:t>
      </w:r>
    </w:p>
    <w:p>
      <w:pPr>
        <w:pStyle w:val="Heading2"/>
      </w:pPr>
      <w:r>
        <w:t xml:space="preserve">7.3  How the two channels compound</w:t>
      </w:r>
    </w:p>
    <w:p>
      <w:pPr>
        <w:pStyle w:val="ListParagraph"/>
        <w:numPr>
          <w:ilvl w:val="0"/>
          <w:numId w:val="2"/>
        </w:numPr>
        <w:spacing w:after="70" w:line="288"/>
      </w:pPr>
      <w:r>
        <w:rPr>
          <w:color w:val="1A2630"/>
          <w:sz w:val="21"/>
          <w:szCs w:val="21"/>
        </w:rPr>
        <w:t xml:space="preserve">Send a LinkedIn connection request to each prospect around the time of the first email — a recognised face lifts reply rates.</w:t>
      </w:r>
    </w:p>
    <w:p>
      <w:pPr>
        <w:pStyle w:val="ListParagraph"/>
        <w:numPr>
          <w:ilvl w:val="0"/>
          <w:numId w:val="2"/>
        </w:numPr>
        <w:spacing w:after="70" w:line="288"/>
      </w:pPr>
      <w:r>
        <w:rPr>
          <w:color w:val="1A2630"/>
          <w:sz w:val="21"/>
          <w:szCs w:val="21"/>
        </w:rPr>
        <w:t xml:space="preserve">Reference a recent LinkedIn post or demo clip inside the email sequence so the outreach feels like a continuation, not a cold start.</w:t>
      </w:r>
    </w:p>
    <w:p>
      <w:pPr>
        <w:pStyle w:val="ListParagraph"/>
        <w:numPr>
          <w:ilvl w:val="0"/>
          <w:numId w:val="2"/>
        </w:numPr>
        <w:spacing w:after="70" w:line="288"/>
      </w:pPr>
      <w:r>
        <w:rPr>
          <w:color w:val="1A2630"/>
          <w:sz w:val="21"/>
          <w:szCs w:val="21"/>
        </w:rPr>
        <w:t xml:space="preserve">Every pilot win is published on LinkedIn and then quoted as fresh social proof in live email threads — momentum feeds itself.</w:t>
      </w:r>
    </w:p>
    <w:p>
      <w:r>
        <w:br w:type="page"/>
      </w:r>
    </w:p>
    <w:p>
      <w:pPr>
        <w:pStyle w:val="Heading1"/>
      </w:pPr>
      <w:r>
        <w:t xml:space="preserve">8.  8-Week Content Calendar</w:t>
      </w:r>
    </w:p>
    <w:p>
      <w:pPr>
        <w:spacing w:after="140" w:line="288"/>
      </w:pPr>
      <w:r>
        <w:rPr>
          <w:color w:val="1A2630"/>
          <w:sz w:val="21"/>
          <w:szCs w:val="21"/>
        </w:rPr>
        <w:t xml:space="preserve">The campaign moves through four phases — Launch, Demonstrate, Prove, Close — after a prep sprint. Roughly 20% of each week is left open for reactive content (a demo that performs well, a pilot reply worth sharing).</w:t>
      </w:r>
    </w:p>
    <w:p>
      <w:pPr>
        <w:spacing w:after="3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1180"/>
        <w:gridCol w:w="2380"/>
        <w:gridCol w:w="2420"/>
        <w:gridCol w:w="2200"/>
      </w:tblGrid>
      <w:tr>
        <w:trPr>
          <w:cantSplit/>
          <w:tblHeader/>
        </w:trPr>
        <w:tc>
          <w:tcPr>
            <w:tcW w:type="dxa" w:w="1180"/>
            <w:tcBorders>
              <w:top w:val="single" w:color="C9D4D8" w:sz="1"/>
              <w:left w:val="single" w:color="C9D4D8" w:sz="1"/>
              <w:bottom w:val="single" w:color="C9D4D8" w:sz="1"/>
              <w:right w:val="single" w:color="C9D4D8" w:sz="1"/>
            </w:tcBorders>
            <w:shd w:fill="0E5A6B" w:val="clear"/>
            <w:tcMar>
              <w:top w:type="dxa" w:w="90"/>
              <w:left w:type="dxa" w:w="130"/>
              <w:bottom w:type="dxa" w:w="90"/>
              <w:right w:type="dxa" w:w="130"/>
            </w:tcMar>
            <w:vAlign w:val="center"/>
          </w:tcPr>
          <w:p>
            <w:pPr>
              <w:spacing w:after="0" w:line="264"/>
            </w:pPr>
            <w:r>
              <w:rPr>
                <w:b/>
                <w:bCs/>
                <w:color w:val="FFFFFF"/>
                <w:sz w:val="20"/>
                <w:szCs w:val="20"/>
              </w:rPr>
              <w:t xml:space="preserve">Week</w:t>
            </w:r>
          </w:p>
        </w:tc>
        <w:tc>
          <w:tcPr>
            <w:tcW w:type="dxa" w:w="1180"/>
            <w:tcBorders>
              <w:top w:val="single" w:color="C9D4D8" w:sz="1"/>
              <w:left w:val="single" w:color="C9D4D8" w:sz="1"/>
              <w:bottom w:val="single" w:color="C9D4D8" w:sz="1"/>
              <w:right w:val="single" w:color="C9D4D8" w:sz="1"/>
            </w:tcBorders>
            <w:shd w:fill="0E5A6B" w:val="clear"/>
            <w:tcMar>
              <w:top w:type="dxa" w:w="90"/>
              <w:left w:type="dxa" w:w="130"/>
              <w:bottom w:type="dxa" w:w="90"/>
              <w:right w:type="dxa" w:w="130"/>
            </w:tcMar>
            <w:vAlign w:val="center"/>
          </w:tcPr>
          <w:p>
            <w:pPr>
              <w:spacing w:after="0" w:line="264"/>
              <w:jc w:val="left"/>
            </w:pPr>
            <w:r>
              <w:rPr>
                <w:b/>
                <w:bCs/>
                <w:color w:val="FFFFFF"/>
                <w:sz w:val="20"/>
                <w:szCs w:val="20"/>
              </w:rPr>
              <w:t xml:space="preserve">Phase</w:t>
            </w:r>
          </w:p>
        </w:tc>
        <w:tc>
          <w:tcPr>
            <w:tcW w:type="dxa" w:w="2380"/>
            <w:tcBorders>
              <w:top w:val="single" w:color="C9D4D8" w:sz="1"/>
              <w:left w:val="single" w:color="C9D4D8" w:sz="1"/>
              <w:bottom w:val="single" w:color="C9D4D8" w:sz="1"/>
              <w:right w:val="single" w:color="C9D4D8" w:sz="1"/>
            </w:tcBorders>
            <w:shd w:fill="0E5A6B" w:val="clear"/>
            <w:tcMar>
              <w:top w:type="dxa" w:w="90"/>
              <w:left w:type="dxa" w:w="130"/>
              <w:bottom w:type="dxa" w:w="90"/>
              <w:right w:type="dxa" w:w="130"/>
            </w:tcMar>
            <w:vAlign w:val="center"/>
          </w:tcPr>
          <w:p>
            <w:pPr>
              <w:spacing w:after="0" w:line="264"/>
              <w:jc w:val="left"/>
            </w:pPr>
            <w:r>
              <w:rPr>
                <w:b/>
                <w:bCs/>
                <w:color w:val="FFFFFF"/>
                <w:sz w:val="20"/>
                <w:szCs w:val="20"/>
              </w:rPr>
              <w:t xml:space="preserve">LinkedIn focus</w:t>
            </w:r>
          </w:p>
        </w:tc>
        <w:tc>
          <w:tcPr>
            <w:tcW w:type="dxa" w:w="2420"/>
            <w:tcBorders>
              <w:top w:val="single" w:color="C9D4D8" w:sz="1"/>
              <w:left w:val="single" w:color="C9D4D8" w:sz="1"/>
              <w:bottom w:val="single" w:color="C9D4D8" w:sz="1"/>
              <w:right w:val="single" w:color="C9D4D8" w:sz="1"/>
            </w:tcBorders>
            <w:shd w:fill="0E5A6B" w:val="clear"/>
            <w:tcMar>
              <w:top w:type="dxa" w:w="90"/>
              <w:left w:type="dxa" w:w="130"/>
              <w:bottom w:type="dxa" w:w="90"/>
              <w:right w:type="dxa" w:w="130"/>
            </w:tcMar>
            <w:vAlign w:val="center"/>
          </w:tcPr>
          <w:p>
            <w:pPr>
              <w:spacing w:after="0" w:line="264"/>
              <w:jc w:val="left"/>
            </w:pPr>
            <w:r>
              <w:rPr>
                <w:b/>
                <w:bCs/>
                <w:color w:val="FFFFFF"/>
                <w:sz w:val="20"/>
                <w:szCs w:val="20"/>
              </w:rPr>
              <w:t xml:space="preserve">Email outreach focus</w:t>
            </w:r>
          </w:p>
        </w:tc>
        <w:tc>
          <w:tcPr>
            <w:tcW w:type="dxa" w:w="2200"/>
            <w:tcBorders>
              <w:top w:val="single" w:color="C9D4D8" w:sz="1"/>
              <w:left w:val="single" w:color="C9D4D8" w:sz="1"/>
              <w:bottom w:val="single" w:color="C9D4D8" w:sz="1"/>
              <w:right w:val="single" w:color="C9D4D8" w:sz="1"/>
            </w:tcBorders>
            <w:shd w:fill="0E5A6B" w:val="clear"/>
            <w:tcMar>
              <w:top w:type="dxa" w:w="90"/>
              <w:left w:type="dxa" w:w="130"/>
              <w:bottom w:type="dxa" w:w="90"/>
              <w:right w:type="dxa" w:w="130"/>
            </w:tcMar>
            <w:vAlign w:val="center"/>
          </w:tcPr>
          <w:p>
            <w:pPr>
              <w:spacing w:after="0" w:line="264"/>
              <w:jc w:val="left"/>
            </w:pPr>
            <w:r>
              <w:rPr>
                <w:b/>
                <w:bCs/>
                <w:color w:val="FFFFFF"/>
                <w:sz w:val="20"/>
                <w:szCs w:val="20"/>
              </w:rPr>
              <w:t xml:space="preserve">Key milestone</w:t>
            </w:r>
          </w:p>
        </w:tc>
      </w:tr>
      <w:tr>
        <w:trPr>
          <w:cantSplit/>
        </w:trPr>
        <w:tc>
          <w:tcPr>
            <w:tcW w:type="dxa" w:w="118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b/>
                <w:bCs/>
                <w:color w:val="1A2630"/>
                <w:sz w:val="19"/>
                <w:szCs w:val="19"/>
              </w:rPr>
              <w:t xml:space="preserve">Week 0</w:t>
            </w:r>
            <w:r>
              <w:rPr>
                <w:color w:val="1A2630"/>
                <w:sz w:val="19"/>
                <w:szCs w:val="19"/>
              </w:rPr>
              <w:t xml:space="preserve">  ·  25–31 May</w:t>
            </w:r>
          </w:p>
        </w:tc>
        <w:tc>
          <w:tcPr>
            <w:tcW w:type="dxa" w:w="118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19"/>
                <w:szCs w:val="19"/>
              </w:rPr>
              <w:t xml:space="preserve">Prep</w:t>
            </w:r>
          </w:p>
        </w:tc>
        <w:tc>
          <w:tcPr>
            <w:tcW w:type="dxa" w:w="238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19"/>
                <w:szCs w:val="19"/>
              </w:rPr>
              <w:t xml:space="preserve">Optimise founder profile + company page; draft Week 1–2 posts; build a list of 50 hospitality voices to engage.</w:t>
            </w:r>
          </w:p>
        </w:tc>
        <w:tc>
          <w:tcPr>
            <w:tcW w:type="dxa" w:w="242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19"/>
                <w:szCs w:val="19"/>
              </w:rPr>
              <w:t xml:space="preserve">Build &amp; verify the ~600-hotel list; set up secondary domain; warm inboxes; write the 4-touch sequence.</w:t>
            </w:r>
          </w:p>
        </w:tc>
        <w:tc>
          <w:tcPr>
            <w:tcW w:type="dxa" w:w="22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19"/>
                <w:szCs w:val="19"/>
              </w:rPr>
              <w:t xml:space="preserve">Demo clip, sell sheet, security one-pager and landing page all finished.</w:t>
            </w:r>
          </w:p>
        </w:tc>
      </w:tr>
      <w:tr>
        <w:trPr>
          <w:cantSplit/>
        </w:trPr>
        <w:tc>
          <w:tcPr>
            <w:tcW w:type="dxa" w:w="118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b/>
                <w:bCs/>
                <w:color w:val="1A2630"/>
                <w:sz w:val="19"/>
                <w:szCs w:val="19"/>
              </w:rPr>
              <w:t xml:space="preserve">Week 1</w:t>
            </w:r>
            <w:r>
              <w:rPr>
                <w:color w:val="1A2630"/>
                <w:sz w:val="19"/>
                <w:szCs w:val="19"/>
              </w:rPr>
              <w:t xml:space="preserve">  ·  1–7 Jun</w:t>
            </w:r>
          </w:p>
        </w:tc>
        <w:tc>
          <w:tcPr>
            <w:tcW w:type="dxa" w:w="118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19"/>
                <w:szCs w:val="19"/>
              </w:rPr>
              <w:t xml:space="preserve">Launch</w:t>
            </w:r>
          </w:p>
        </w:tc>
        <w:tc>
          <w:tcPr>
            <w:tcW w:type="dxa" w:w="238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19"/>
                <w:szCs w:val="19"/>
              </w:rPr>
              <w:t xml:space="preserve">Founder announcement post; language-barrier problem post.</w:t>
            </w:r>
          </w:p>
        </w:tc>
        <w:tc>
          <w:tcPr>
            <w:tcW w:type="dxa" w:w="242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19"/>
                <w:szCs w:val="19"/>
              </w:rPr>
              <w:t xml:space="preserve">Send batch 1 (~85), segmented Paris / Barcelona / Rome.</w:t>
            </w:r>
          </w:p>
        </w:tc>
        <w:tc>
          <w:tcPr>
            <w:tcW w:type="dxa" w:w="22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19"/>
                <w:szCs w:val="19"/>
              </w:rPr>
              <w:t xml:space="preserve">Campaign live; first outreach out the door.</w:t>
            </w:r>
          </w:p>
        </w:tc>
      </w:tr>
      <w:tr>
        <w:trPr>
          <w:cantSplit/>
        </w:trPr>
        <w:tc>
          <w:tcPr>
            <w:tcW w:type="dxa" w:w="118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b/>
                <w:bCs/>
                <w:color w:val="1A2630"/>
                <w:sz w:val="19"/>
                <w:szCs w:val="19"/>
              </w:rPr>
              <w:t xml:space="preserve">Week 2</w:t>
            </w:r>
            <w:r>
              <w:rPr>
                <w:color w:val="1A2630"/>
                <w:sz w:val="19"/>
                <w:szCs w:val="19"/>
              </w:rPr>
              <w:t xml:space="preserve">  ·  8–14 Jun</w:t>
            </w:r>
          </w:p>
        </w:tc>
        <w:tc>
          <w:tcPr>
            <w:tcW w:type="dxa" w:w="118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19"/>
                <w:szCs w:val="19"/>
              </w:rPr>
              <w:t xml:space="preserve">Launch</w:t>
            </w:r>
          </w:p>
        </w:tc>
        <w:tc>
          <w:tcPr>
            <w:tcW w:type="dxa" w:w="238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19"/>
                <w:szCs w:val="19"/>
              </w:rPr>
              <w:t xml:space="preserve">Demo clip #1 (live language detection); front-desk staffing insight post.</w:t>
            </w:r>
          </w:p>
        </w:tc>
        <w:tc>
          <w:tcPr>
            <w:tcW w:type="dxa" w:w="242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19"/>
                <w:szCs w:val="19"/>
              </w:rPr>
              <w:t xml:space="preserve">Send batch 2 (~85); Touch 2 follow-ups on batch 1.</w:t>
            </w:r>
          </w:p>
        </w:tc>
        <w:tc>
          <w:tcPr>
            <w:tcW w:type="dxa" w:w="22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19"/>
                <w:szCs w:val="19"/>
              </w:rPr>
              <w:t xml:space="preserve">First discovery calls booked.</w:t>
            </w:r>
          </w:p>
        </w:tc>
      </w:tr>
      <w:tr>
        <w:trPr>
          <w:cantSplit/>
        </w:trPr>
        <w:tc>
          <w:tcPr>
            <w:tcW w:type="dxa" w:w="118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b/>
                <w:bCs/>
                <w:color w:val="1A2630"/>
                <w:sz w:val="19"/>
                <w:szCs w:val="19"/>
              </w:rPr>
              <w:t xml:space="preserve">Week 3</w:t>
            </w:r>
            <w:r>
              <w:rPr>
                <w:color w:val="1A2630"/>
                <w:sz w:val="19"/>
                <w:szCs w:val="19"/>
              </w:rPr>
              <w:t xml:space="preserve">  ·  15–21 Jun</w:t>
            </w:r>
          </w:p>
        </w:tc>
        <w:tc>
          <w:tcPr>
            <w:tcW w:type="dxa" w:w="118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19"/>
                <w:szCs w:val="19"/>
              </w:rPr>
              <w:t xml:space="preserve">Demonstrate</w:t>
            </w:r>
          </w:p>
        </w:tc>
        <w:tc>
          <w:tcPr>
            <w:tcW w:type="dxa" w:w="238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19"/>
                <w:szCs w:val="19"/>
              </w:rPr>
              <w:t xml:space="preserve">Demo clip #2 (ticket routing to staff); engagement poll.</w:t>
            </w:r>
          </w:p>
        </w:tc>
        <w:tc>
          <w:tcPr>
            <w:tcW w:type="dxa" w:w="242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19"/>
                <w:szCs w:val="19"/>
              </w:rPr>
              <w:t xml:space="preserve">Send batch 3 (~85); discovery calls running.</w:t>
            </w:r>
          </w:p>
        </w:tc>
        <w:tc>
          <w:tcPr>
            <w:tcW w:type="dxa" w:w="22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19"/>
                <w:szCs w:val="19"/>
              </w:rPr>
              <w:t xml:space="preserve">5+ discovery calls held.</w:t>
            </w:r>
          </w:p>
        </w:tc>
      </w:tr>
      <w:tr>
        <w:trPr>
          <w:cantSplit/>
        </w:trPr>
        <w:tc>
          <w:tcPr>
            <w:tcW w:type="dxa" w:w="118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b/>
                <w:bCs/>
                <w:color w:val="1A2630"/>
                <w:sz w:val="19"/>
                <w:szCs w:val="19"/>
              </w:rPr>
              <w:t xml:space="preserve">Week 4</w:t>
            </w:r>
            <w:r>
              <w:rPr>
                <w:color w:val="1A2630"/>
                <w:sz w:val="19"/>
                <w:szCs w:val="19"/>
              </w:rPr>
              <w:t xml:space="preserve">  ·  22–28 Jun</w:t>
            </w:r>
          </w:p>
        </w:tc>
        <w:tc>
          <w:tcPr>
            <w:tcW w:type="dxa" w:w="118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19"/>
                <w:szCs w:val="19"/>
              </w:rPr>
              <w:t xml:space="preserve">Demonstrate</w:t>
            </w:r>
          </w:p>
        </w:tc>
        <w:tc>
          <w:tcPr>
            <w:tcW w:type="dxa" w:w="238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19"/>
                <w:szCs w:val="19"/>
              </w:rPr>
              <w:t xml:space="preserve">“How it works” carousel; build-in-public behind-the-scenes post.</w:t>
            </w:r>
          </w:p>
        </w:tc>
        <w:tc>
          <w:tcPr>
            <w:tcW w:type="dxa" w:w="242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19"/>
                <w:szCs w:val="19"/>
              </w:rPr>
              <w:t xml:space="preserve">Send batch 4 (~85); send the security one-pager to engaged IT contacts.</w:t>
            </w:r>
          </w:p>
        </w:tc>
        <w:tc>
          <w:tcPr>
            <w:tcW w:type="dxa" w:w="22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19"/>
                <w:szCs w:val="19"/>
              </w:rPr>
              <w:t xml:space="preserve">First 1–2 pilots verbally committed.</w:t>
            </w:r>
          </w:p>
        </w:tc>
      </w:tr>
      <w:tr>
        <w:trPr>
          <w:cantSplit/>
        </w:trPr>
        <w:tc>
          <w:tcPr>
            <w:tcW w:type="dxa" w:w="118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b/>
                <w:bCs/>
                <w:color w:val="1A2630"/>
                <w:sz w:val="19"/>
                <w:szCs w:val="19"/>
              </w:rPr>
              <w:t xml:space="preserve">Week 5</w:t>
            </w:r>
            <w:r>
              <w:rPr>
                <w:color w:val="1A2630"/>
                <w:sz w:val="19"/>
                <w:szCs w:val="19"/>
              </w:rPr>
              <w:t xml:space="preserve">  ·  29 Jun–5 Jul</w:t>
            </w:r>
          </w:p>
        </w:tc>
        <w:tc>
          <w:tcPr>
            <w:tcW w:type="dxa" w:w="118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19"/>
                <w:szCs w:val="19"/>
              </w:rPr>
              <w:t xml:space="preserve">Prove</w:t>
            </w:r>
          </w:p>
        </w:tc>
        <w:tc>
          <w:tcPr>
            <w:tcW w:type="dxa" w:w="238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19"/>
                <w:szCs w:val="19"/>
              </w:rPr>
              <w:t xml:space="preserve">Announce the first Founding Hotel; demo clip #3.</w:t>
            </w:r>
          </w:p>
        </w:tc>
        <w:tc>
          <w:tcPr>
            <w:tcW w:type="dxa" w:w="242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19"/>
                <w:szCs w:val="19"/>
              </w:rPr>
              <w:t xml:space="preserve">Send batch 5 (~85); quote the signed pilot as social proof in follow-ups.</w:t>
            </w:r>
          </w:p>
        </w:tc>
        <w:tc>
          <w:tcPr>
            <w:tcW w:type="dxa" w:w="22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19"/>
                <w:szCs w:val="19"/>
              </w:rPr>
              <w:t xml:space="preserve">2–3 pilots signed; mid-campaign review.</w:t>
            </w:r>
          </w:p>
        </w:tc>
      </w:tr>
      <w:tr>
        <w:trPr>
          <w:cantSplit/>
        </w:trPr>
        <w:tc>
          <w:tcPr>
            <w:tcW w:type="dxa" w:w="118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b/>
                <w:bCs/>
                <w:color w:val="1A2630"/>
                <w:sz w:val="19"/>
                <w:szCs w:val="19"/>
              </w:rPr>
              <w:t xml:space="preserve">Week 6</w:t>
            </w:r>
            <w:r>
              <w:rPr>
                <w:color w:val="1A2630"/>
                <w:sz w:val="19"/>
                <w:szCs w:val="19"/>
              </w:rPr>
              <w:t xml:space="preserve">  ·  6–12 Jul</w:t>
            </w:r>
          </w:p>
        </w:tc>
        <w:tc>
          <w:tcPr>
            <w:tcW w:type="dxa" w:w="118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19"/>
                <w:szCs w:val="19"/>
              </w:rPr>
              <w:t xml:space="preserve">Prove</w:t>
            </w:r>
          </w:p>
        </w:tc>
        <w:tc>
          <w:tcPr>
            <w:tcW w:type="dxa" w:w="238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19"/>
                <w:szCs w:val="19"/>
              </w:rPr>
              <w:t xml:space="preserve">Security &amp; integration post for tech buyers; pilot behind-the-scenes.</w:t>
            </w:r>
          </w:p>
        </w:tc>
        <w:tc>
          <w:tcPr>
            <w:tcW w:type="dxa" w:w="242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19"/>
                <w:szCs w:val="19"/>
              </w:rPr>
              <w:t xml:space="preserve">Send batch 6 (~85); re-engage warm non-responders.</w:t>
            </w:r>
          </w:p>
        </w:tc>
        <w:tc>
          <w:tcPr>
            <w:tcW w:type="dxa" w:w="22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19"/>
                <w:szCs w:val="19"/>
              </w:rPr>
              <w:t xml:space="preserve">4–5 pilots signed.</w:t>
            </w:r>
          </w:p>
        </w:tc>
      </w:tr>
      <w:tr>
        <w:trPr>
          <w:cantSplit/>
        </w:trPr>
        <w:tc>
          <w:tcPr>
            <w:tcW w:type="dxa" w:w="118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b/>
                <w:bCs/>
                <w:color w:val="1A2630"/>
                <w:sz w:val="19"/>
                <w:szCs w:val="19"/>
              </w:rPr>
              <w:t xml:space="preserve">Week 7</w:t>
            </w:r>
            <w:r>
              <w:rPr>
                <w:color w:val="1A2630"/>
                <w:sz w:val="19"/>
                <w:szCs w:val="19"/>
              </w:rPr>
              <w:t xml:space="preserve">  ·  13–19 Jul</w:t>
            </w:r>
          </w:p>
        </w:tc>
        <w:tc>
          <w:tcPr>
            <w:tcW w:type="dxa" w:w="118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19"/>
                <w:szCs w:val="19"/>
              </w:rPr>
              <w:t xml:space="preserve">Close</w:t>
            </w:r>
          </w:p>
        </w:tc>
        <w:tc>
          <w:tcPr>
            <w:tcW w:type="dxa" w:w="238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19"/>
                <w:szCs w:val="19"/>
              </w:rPr>
              <w:t xml:space="preserve">“Spots filling — X of 10 left”; founder reflection post.</w:t>
            </w:r>
          </w:p>
        </w:tc>
        <w:tc>
          <w:tcPr>
            <w:tcW w:type="dxa" w:w="242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19"/>
                <w:szCs w:val="19"/>
              </w:rPr>
              <w:t xml:space="preserve">Send final batch (~75); urgency follow-ups on every open thread.</w:t>
            </w:r>
          </w:p>
        </w:tc>
        <w:tc>
          <w:tcPr>
            <w:tcW w:type="dxa" w:w="22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19"/>
                <w:szCs w:val="19"/>
              </w:rPr>
              <w:t xml:space="preserve">6–7 pilots signed.</w:t>
            </w:r>
          </w:p>
        </w:tc>
      </w:tr>
      <w:tr>
        <w:trPr>
          <w:cantSplit/>
        </w:trPr>
        <w:tc>
          <w:tcPr>
            <w:tcW w:type="dxa" w:w="118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b/>
                <w:bCs/>
                <w:color w:val="1A2630"/>
                <w:sz w:val="19"/>
                <w:szCs w:val="19"/>
              </w:rPr>
              <w:t xml:space="preserve">Week 8</w:t>
            </w:r>
            <w:r>
              <w:rPr>
                <w:color w:val="1A2630"/>
                <w:sz w:val="19"/>
                <w:szCs w:val="19"/>
              </w:rPr>
              <w:t xml:space="preserve">  ·  20–26 Jul</w:t>
            </w:r>
          </w:p>
        </w:tc>
        <w:tc>
          <w:tcPr>
            <w:tcW w:type="dxa" w:w="118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19"/>
                <w:szCs w:val="19"/>
              </w:rPr>
              <w:t xml:space="preserve">Close</w:t>
            </w:r>
          </w:p>
        </w:tc>
        <w:tc>
          <w:tcPr>
            <w:tcW w:type="dxa" w:w="238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19"/>
                <w:szCs w:val="19"/>
              </w:rPr>
              <w:t xml:space="preserve">Final-call post; campaign recap with early learnings.</w:t>
            </w:r>
          </w:p>
        </w:tc>
        <w:tc>
          <w:tcPr>
            <w:tcW w:type="dxa" w:w="242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19"/>
                <w:szCs w:val="19"/>
              </w:rPr>
              <w:t xml:space="preserve">Final follow-up sweep; close remaining discovery calls.</w:t>
            </w:r>
          </w:p>
        </w:tc>
        <w:tc>
          <w:tcPr>
            <w:tcW w:type="dxa" w:w="22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19"/>
                <w:szCs w:val="19"/>
              </w:rPr>
              <w:t xml:space="preserve">8 pilots signed (stretch: 10); campaign retro.</w:t>
            </w:r>
          </w:p>
        </w:tc>
      </w:tr>
    </w:tbl>
    <w:p>
      <w:pPr>
        <w:spacing w:after="120"/>
      </w:pPr>
      <w:r>
        <w:rPr>
          <w:sz w:val="8"/>
          <w:szCs w:val="8"/>
        </w:rPr>
        <w:t xml:space="preserve"/>
      </w:r>
    </w:p>
    <w:p>
      <w:pPr>
        <w:pStyle w:val="Heading1"/>
      </w:pPr>
      <w:r>
        <w:t xml:space="preserve">9.  Budget</w:t>
      </w:r>
    </w:p>
    <w:p>
      <w:pPr>
        <w:spacing w:after="140" w:line="288"/>
      </w:pPr>
      <w:r>
        <w:rPr>
          <w:color w:val="1A2630"/>
          <w:sz w:val="21"/>
          <w:szCs w:val="21"/>
        </w:rPr>
        <w:t xml:space="preserve">This is a time-rich, cash-light campaign by design — organic LinkedIn and founder-sent email need almost no media spend. The figures below cover the full 8-week window plus the prep sprint.</w:t>
      </w:r>
    </w:p>
    <w:p>
      <w:pPr>
        <w:spacing w:after="3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50"/>
        <w:gridCol w:w="4410"/>
        <w:gridCol w:w="2000"/>
      </w:tblGrid>
      <w:tr>
        <w:trPr>
          <w:cantSplit/>
          <w:tblHeader/>
        </w:trPr>
        <w:tc>
          <w:tcPr>
            <w:tcW w:type="dxa" w:w="2950"/>
            <w:tcBorders>
              <w:top w:val="single" w:color="C9D4D8" w:sz="1"/>
              <w:left w:val="single" w:color="C9D4D8" w:sz="1"/>
              <w:bottom w:val="single" w:color="C9D4D8" w:sz="1"/>
              <w:right w:val="single" w:color="C9D4D8" w:sz="1"/>
            </w:tcBorders>
            <w:shd w:fill="0E5A6B" w:val="clear"/>
            <w:tcMar>
              <w:top w:type="dxa" w:w="90"/>
              <w:left w:type="dxa" w:w="130"/>
              <w:bottom w:type="dxa" w:w="90"/>
              <w:right w:type="dxa" w:w="130"/>
            </w:tcMar>
            <w:vAlign w:val="center"/>
          </w:tcPr>
          <w:p>
            <w:pPr>
              <w:spacing w:after="0" w:line="264"/>
            </w:pPr>
            <w:r>
              <w:rPr>
                <w:b/>
                <w:bCs/>
                <w:color w:val="FFFFFF"/>
                <w:sz w:val="20"/>
                <w:szCs w:val="20"/>
              </w:rPr>
              <w:t xml:space="preserve">Item</w:t>
            </w:r>
          </w:p>
        </w:tc>
        <w:tc>
          <w:tcPr>
            <w:tcW w:type="dxa" w:w="4410"/>
            <w:tcBorders>
              <w:top w:val="single" w:color="C9D4D8" w:sz="1"/>
              <w:left w:val="single" w:color="C9D4D8" w:sz="1"/>
              <w:bottom w:val="single" w:color="C9D4D8" w:sz="1"/>
              <w:right w:val="single" w:color="C9D4D8" w:sz="1"/>
            </w:tcBorders>
            <w:shd w:fill="0E5A6B" w:val="clear"/>
            <w:tcMar>
              <w:top w:type="dxa" w:w="90"/>
              <w:left w:type="dxa" w:w="130"/>
              <w:bottom w:type="dxa" w:w="90"/>
              <w:right w:type="dxa" w:w="130"/>
            </w:tcMar>
            <w:vAlign w:val="center"/>
          </w:tcPr>
          <w:p>
            <w:pPr>
              <w:spacing w:after="0" w:line="264"/>
              <w:jc w:val="left"/>
            </w:pPr>
            <w:r>
              <w:rPr>
                <w:b/>
                <w:bCs/>
                <w:color w:val="FFFFFF"/>
                <w:sz w:val="20"/>
                <w:szCs w:val="20"/>
              </w:rPr>
              <w:t xml:space="preserve">Detail</w:t>
            </w:r>
          </w:p>
        </w:tc>
        <w:tc>
          <w:tcPr>
            <w:tcW w:type="dxa" w:w="2000"/>
            <w:tcBorders>
              <w:top w:val="single" w:color="C9D4D8" w:sz="1"/>
              <w:left w:val="single" w:color="C9D4D8" w:sz="1"/>
              <w:bottom w:val="single" w:color="C9D4D8" w:sz="1"/>
              <w:right w:val="single" w:color="C9D4D8" w:sz="1"/>
            </w:tcBorders>
            <w:shd w:fill="0E5A6B" w:val="clear"/>
            <w:tcMar>
              <w:top w:type="dxa" w:w="90"/>
              <w:left w:type="dxa" w:w="130"/>
              <w:bottom w:type="dxa" w:w="90"/>
              <w:right w:type="dxa" w:w="130"/>
            </w:tcMar>
            <w:vAlign w:val="center"/>
          </w:tcPr>
          <w:p>
            <w:pPr>
              <w:spacing w:after="0" w:line="264"/>
              <w:jc w:val="left"/>
            </w:pPr>
            <w:r>
              <w:rPr>
                <w:b/>
                <w:bCs/>
                <w:color w:val="FFFFFF"/>
                <w:sz w:val="20"/>
                <w:szCs w:val="20"/>
              </w:rPr>
              <w:t xml:space="preserve">Cost</w:t>
            </w:r>
          </w:p>
        </w:tc>
      </w:tr>
      <w:tr>
        <w:trPr>
          <w:cantSplit/>
        </w:trPr>
        <w:tc>
          <w:tcPr>
            <w:tcW w:type="dxa" w:w="295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LinkedIn Sales Navigator</w:t>
            </w:r>
          </w:p>
        </w:tc>
        <w:tc>
          <w:tcPr>
            <w:tcW w:type="dxa" w:w="441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1 seat × 2 months — prospecting and profile reach</w:t>
            </w:r>
          </w:p>
        </w:tc>
        <w:tc>
          <w:tcPr>
            <w:tcW w:type="dxa" w:w="20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$200</w:t>
            </w:r>
          </w:p>
        </w:tc>
      </w:tr>
      <w:tr>
        <w:trPr>
          <w:cantSplit/>
        </w:trPr>
        <w:tc>
          <w:tcPr>
            <w:tcW w:type="dxa" w:w="295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Email outreach platform</w:t>
            </w:r>
          </w:p>
        </w:tc>
        <w:tc>
          <w:tcPr>
            <w:tcW w:type="dxa" w:w="441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Sequencing / sending tool, 2 months</w:t>
            </w:r>
          </w:p>
        </w:tc>
        <w:tc>
          <w:tcPr>
            <w:tcW w:type="dxa" w:w="20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$80</w:t>
            </w:r>
          </w:p>
        </w:tc>
      </w:tr>
      <w:tr>
        <w:trPr>
          <w:cantSplit/>
        </w:trPr>
        <w:tc>
          <w:tcPr>
            <w:tcW w:type="dxa" w:w="295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Sending domain + warm-up</w:t>
            </w:r>
          </w:p>
        </w:tc>
        <w:tc>
          <w:tcPr>
            <w:tcW w:type="dxa" w:w="441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Secondary domain and 2–3 warmed inboxes</w:t>
            </w:r>
          </w:p>
        </w:tc>
        <w:tc>
          <w:tcPr>
            <w:tcW w:type="dxa" w:w="20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$50</w:t>
            </w:r>
          </w:p>
        </w:tc>
      </w:tr>
      <w:tr>
        <w:trPr>
          <w:cantSplit/>
        </w:trPr>
        <w:tc>
          <w:tcPr>
            <w:tcW w:type="dxa" w:w="295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Contact data</w:t>
            </w:r>
          </w:p>
        </w:tc>
        <w:tc>
          <w:tcPr>
            <w:tcW w:type="dxa" w:w="441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~600 verified decision-maker emails (enrichment credits)</w:t>
            </w:r>
          </w:p>
        </w:tc>
        <w:tc>
          <w:tcPr>
            <w:tcW w:type="dxa" w:w="20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$120</w:t>
            </w:r>
          </w:p>
        </w:tc>
      </w:tr>
      <w:tr>
        <w:trPr>
          <w:cantSplit/>
        </w:trPr>
        <w:tc>
          <w:tcPr>
            <w:tcW w:type="dxa" w:w="295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Demo video &amp; sell sheet</w:t>
            </w:r>
          </w:p>
        </w:tc>
        <w:tc>
          <w:tcPr>
            <w:tcW w:type="dxa" w:w="441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Editing tool or one-off freelance edit of demo clips</w:t>
            </w:r>
          </w:p>
        </w:tc>
        <w:tc>
          <w:tcPr>
            <w:tcW w:type="dxa" w:w="20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$120</w:t>
            </w:r>
          </w:p>
        </w:tc>
      </w:tr>
      <w:tr>
        <w:trPr>
          <w:cantSplit/>
        </w:trPr>
        <w:tc>
          <w:tcPr>
            <w:tcW w:type="dxa" w:w="295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Design tooling</w:t>
            </w:r>
          </w:p>
        </w:tc>
        <w:tc>
          <w:tcPr>
            <w:tcW w:type="dxa" w:w="441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Canva-class tool, 2 months — carousels and the sell sheet</w:t>
            </w:r>
          </w:p>
        </w:tc>
        <w:tc>
          <w:tcPr>
            <w:tcW w:type="dxa" w:w="20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$30</w:t>
            </w:r>
          </w:p>
        </w:tc>
      </w:tr>
      <w:tr>
        <w:trPr>
          <w:cantSplit/>
        </w:trPr>
        <w:tc>
          <w:tcPr>
            <w:tcW w:type="dxa" w:w="295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Contingency</w:t>
            </w:r>
          </w:p>
        </w:tc>
        <w:tc>
          <w:tcPr>
            <w:tcW w:type="dxa" w:w="441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~15% buffer for tool or data overruns</w:t>
            </w:r>
          </w:p>
        </w:tc>
        <w:tc>
          <w:tcPr>
            <w:tcW w:type="dxa" w:w="20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$90</w:t>
            </w:r>
          </w:p>
        </w:tc>
      </w:tr>
      <w:tr>
        <w:trPr>
          <w:cantSplit/>
        </w:trPr>
        <w:tc>
          <w:tcPr>
            <w:tcW w:type="dxa" w:w="295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b/>
                <w:bCs/>
                <w:color w:val="1A2630"/>
                <w:sz w:val="20"/>
                <w:szCs w:val="20"/>
              </w:rPr>
              <w:t xml:space="preserve">Total (core)</w:t>
            </w:r>
          </w:p>
        </w:tc>
        <w:tc>
          <w:tcPr>
            <w:tcW w:type="dxa" w:w="441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b/>
                <w:bCs/>
                <w:color w:val="1A2630"/>
                <w:sz w:val="20"/>
                <w:szCs w:val="20"/>
              </w:rPr>
              <w:t xml:space="preserve">Everything required to run the campaign</w:t>
            </w:r>
          </w:p>
        </w:tc>
        <w:tc>
          <w:tcPr>
            <w:tcW w:type="dxa" w:w="20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jc w:val="left"/>
            </w:pPr>
            <w:r>
              <w:rPr>
                <w:b/>
                <w:bCs/>
                <w:color w:val="1A2630"/>
                <w:sz w:val="20"/>
                <w:szCs w:val="20"/>
              </w:rPr>
              <w:t xml:space="preserve">~$690</w:t>
            </w:r>
          </w:p>
        </w:tc>
      </w:tr>
      <w:tr>
        <w:trPr>
          <w:cantSplit/>
        </w:trPr>
        <w:tc>
          <w:tcPr>
            <w:tcW w:type="dxa" w:w="295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Optional: paid amplification</w:t>
            </w:r>
          </w:p>
        </w:tc>
        <w:tc>
          <w:tcPr>
            <w:tcW w:type="dxa" w:w="441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Boost one high-performing demo clip on LinkedIn</w:t>
            </w:r>
          </w:p>
        </w:tc>
        <w:tc>
          <w:tcPr>
            <w:tcW w:type="dxa" w:w="20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+$200</w:t>
            </w:r>
          </w:p>
        </w:tc>
      </w:tr>
    </w:tbl>
    <w:p>
      <w:pPr>
        <w:spacing w:after="60"/>
      </w:pPr>
      <w:r>
        <w:rPr>
          <w:sz w:val="8"/>
          <w:szCs w:val="8"/>
        </w:rPr>
        <w:t xml:space="preserve"/>
      </w:r>
    </w:p>
    <w:p>
      <w:pPr>
        <w:spacing w:after="140" w:line="288"/>
      </w:pPr>
      <w:r>
        <w:rPr>
          <w:b/>
          <w:bCs/>
          <w:color w:val="1A2630"/>
          <w:sz w:val="21"/>
          <w:szCs w:val="21"/>
        </w:rPr>
        <w:t xml:space="preserve">Not a cash cost, but plan for it:  </w:t>
      </w:r>
      <w:r>
        <w:rPr>
          <w:color w:val="1A2630"/>
          <w:sz w:val="21"/>
          <w:szCs w:val="21"/>
        </w:rPr>
        <w:t xml:space="preserve">~12 hours/week of founder time across content, outreach and calls. Pilot delivery is absorbed — the pilots are free, and early demo and pilot voice volume sits comfortably inside the speech engine’s free monthly tier.</w:t>
      </w:r>
    </w:p>
    <w:p>
      <w:pPr>
        <w:pStyle w:val="Heading1"/>
      </w:pPr>
      <w:r>
        <w:t xml:space="preserve">10.  Success Metrics &amp; Targets</w:t>
      </w:r>
    </w:p>
    <w:p>
      <w:pPr>
        <w:pStyle w:val="Heading2"/>
      </w:pPr>
      <w:r>
        <w:t xml:space="preserve">10.1  The conversion funnel</w:t>
      </w:r>
    </w:p>
    <w:p>
      <w:pPr>
        <w:spacing w:after="140" w:line="288"/>
      </w:pPr>
      <w:r>
        <w:rPr>
          <w:color w:val="1A2630"/>
          <w:sz w:val="21"/>
          <w:szCs w:val="21"/>
        </w:rPr>
        <w:t xml:space="preserve">These targets describe what an on-track campaign looks like end to end.</w:t>
      </w:r>
    </w:p>
    <w:p>
      <w:pPr>
        <w:spacing w:after="3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760"/>
        <w:gridCol w:w="4100"/>
      </w:tblGrid>
      <w:tr>
        <w:trPr>
          <w:cantSplit/>
          <w:tblHeader/>
        </w:trPr>
        <w:tc>
          <w:tcPr>
            <w:tcW w:type="dxa" w:w="3500"/>
            <w:tcBorders>
              <w:top w:val="single" w:color="C9D4D8" w:sz="1"/>
              <w:left w:val="single" w:color="C9D4D8" w:sz="1"/>
              <w:bottom w:val="single" w:color="C9D4D8" w:sz="1"/>
              <w:right w:val="single" w:color="C9D4D8" w:sz="1"/>
            </w:tcBorders>
            <w:shd w:fill="0E5A6B" w:val="clear"/>
            <w:tcMar>
              <w:top w:type="dxa" w:w="90"/>
              <w:left w:type="dxa" w:w="130"/>
              <w:bottom w:type="dxa" w:w="90"/>
              <w:right w:type="dxa" w:w="130"/>
            </w:tcMar>
            <w:vAlign w:val="center"/>
          </w:tcPr>
          <w:p>
            <w:pPr>
              <w:spacing w:after="0" w:line="264"/>
            </w:pPr>
            <w:r>
              <w:rPr>
                <w:b/>
                <w:bCs/>
                <w:color w:val="FFFFFF"/>
                <w:sz w:val="20"/>
                <w:szCs w:val="20"/>
              </w:rPr>
              <w:t xml:space="preserve">Funnel stage</w:t>
            </w:r>
          </w:p>
        </w:tc>
        <w:tc>
          <w:tcPr>
            <w:tcW w:type="dxa" w:w="1760"/>
            <w:tcBorders>
              <w:top w:val="single" w:color="C9D4D8" w:sz="1"/>
              <w:left w:val="single" w:color="C9D4D8" w:sz="1"/>
              <w:bottom w:val="single" w:color="C9D4D8" w:sz="1"/>
              <w:right w:val="single" w:color="C9D4D8" w:sz="1"/>
            </w:tcBorders>
            <w:shd w:fill="0E5A6B" w:val="clear"/>
            <w:tcMar>
              <w:top w:type="dxa" w:w="90"/>
              <w:left w:type="dxa" w:w="130"/>
              <w:bottom w:type="dxa" w:w="90"/>
              <w:right w:type="dxa" w:w="130"/>
            </w:tcMar>
            <w:vAlign w:val="center"/>
          </w:tcPr>
          <w:p>
            <w:pPr>
              <w:spacing w:after="0" w:line="264"/>
              <w:jc w:val="left"/>
            </w:pPr>
            <w:r>
              <w:rPr>
                <w:b/>
                <w:bCs/>
                <w:color w:val="FFFFFF"/>
                <w:sz w:val="20"/>
                <w:szCs w:val="20"/>
              </w:rPr>
              <w:t xml:space="preserve">Target</w:t>
            </w:r>
          </w:p>
        </w:tc>
        <w:tc>
          <w:tcPr>
            <w:tcW w:type="dxa" w:w="4100"/>
            <w:tcBorders>
              <w:top w:val="single" w:color="C9D4D8" w:sz="1"/>
              <w:left w:val="single" w:color="C9D4D8" w:sz="1"/>
              <w:bottom w:val="single" w:color="C9D4D8" w:sz="1"/>
              <w:right w:val="single" w:color="C9D4D8" w:sz="1"/>
            </w:tcBorders>
            <w:shd w:fill="0E5A6B" w:val="clear"/>
            <w:tcMar>
              <w:top w:type="dxa" w:w="90"/>
              <w:left w:type="dxa" w:w="130"/>
              <w:bottom w:type="dxa" w:w="90"/>
              <w:right w:type="dxa" w:w="130"/>
            </w:tcMar>
            <w:vAlign w:val="center"/>
          </w:tcPr>
          <w:p>
            <w:pPr>
              <w:spacing w:after="0" w:line="264"/>
              <w:jc w:val="left"/>
            </w:pPr>
            <w:r>
              <w:rPr>
                <w:b/>
                <w:bCs/>
                <w:color w:val="FFFFFF"/>
                <w:sz w:val="20"/>
                <w:szCs w:val="20"/>
              </w:rPr>
              <w:t xml:space="preserve">Notes</w:t>
            </w:r>
          </w:p>
        </w:tc>
      </w:tr>
      <w:tr>
        <w:trPr>
          <w:cantSplit/>
        </w:trPr>
        <w:tc>
          <w:tcPr>
            <w:tcW w:type="dxa" w:w="35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Prospects emailed</w:t>
            </w:r>
          </w:p>
        </w:tc>
        <w:tc>
          <w:tcPr>
            <w:tcW w:type="dxa" w:w="176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jc w:val="left"/>
            </w:pPr>
            <w:r>
              <w:rPr>
                <w:color w:val="1A2630"/>
                <w:sz w:val="20"/>
                <w:szCs w:val="20"/>
              </w:rPr>
              <w:t xml:space="preserve">~600</w:t>
            </w:r>
          </w:p>
        </w:tc>
        <w:tc>
          <w:tcPr>
            <w:tcW w:type="dxa" w:w="41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jc w:val="left"/>
            </w:pPr>
            <w:r>
              <w:rPr>
                <w:color w:val="1A2630"/>
                <w:sz w:val="20"/>
                <w:szCs w:val="20"/>
              </w:rPr>
              <w:t xml:space="preserve">Verified hotel decision-makers in multilingual destinations.</w:t>
            </w:r>
          </w:p>
        </w:tc>
      </w:tr>
      <w:tr>
        <w:trPr>
          <w:cantSplit/>
        </w:trPr>
        <w:tc>
          <w:tcPr>
            <w:tcW w:type="dxa" w:w="35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Email open rate</w:t>
            </w:r>
          </w:p>
        </w:tc>
        <w:tc>
          <w:tcPr>
            <w:tcW w:type="dxa" w:w="176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jc w:val="left"/>
            </w:pPr>
            <w:r>
              <w:rPr>
                <w:color w:val="1A2630"/>
                <w:sz w:val="20"/>
                <w:szCs w:val="20"/>
              </w:rPr>
              <w:t xml:space="preserve">~50%</w:t>
            </w:r>
          </w:p>
        </w:tc>
        <w:tc>
          <w:tcPr>
            <w:tcW w:type="dxa" w:w="41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jc w:val="left"/>
            </w:pPr>
            <w:r>
              <w:rPr>
                <w:color w:val="1A2630"/>
                <w:sz w:val="20"/>
                <w:szCs w:val="20"/>
              </w:rPr>
              <w:t xml:space="preserve">Personalised, founder-sent, with tested subject lines.</w:t>
            </w:r>
          </w:p>
        </w:tc>
      </w:tr>
      <w:tr>
        <w:trPr>
          <w:cantSplit/>
        </w:trPr>
        <w:tc>
          <w:tcPr>
            <w:tcW w:type="dxa" w:w="35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Positive replies</w:t>
            </w:r>
          </w:p>
        </w:tc>
        <w:tc>
          <w:tcPr>
            <w:tcW w:type="dxa" w:w="176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jc w:val="left"/>
            </w:pPr>
            <w:r>
              <w:rPr>
                <w:color w:val="1A2630"/>
                <w:sz w:val="20"/>
                <w:szCs w:val="20"/>
              </w:rPr>
              <w:t xml:space="preserve">~30 (5%)</w:t>
            </w:r>
          </w:p>
        </w:tc>
        <w:tc>
          <w:tcPr>
            <w:tcW w:type="dxa" w:w="41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jc w:val="left"/>
            </w:pPr>
            <w:r>
              <w:rPr>
                <w:color w:val="1A2630"/>
                <w:sz w:val="20"/>
                <w:szCs w:val="20"/>
              </w:rPr>
              <w:t xml:space="preserve">Interested enough to have a conversation.</w:t>
            </w:r>
          </w:p>
        </w:tc>
      </w:tr>
      <w:tr>
        <w:trPr>
          <w:cantSplit/>
        </w:trPr>
        <w:tc>
          <w:tcPr>
            <w:tcW w:type="dxa" w:w="35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LinkedIn-sourced conversations</w:t>
            </w:r>
          </w:p>
        </w:tc>
        <w:tc>
          <w:tcPr>
            <w:tcW w:type="dxa" w:w="176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jc w:val="left"/>
            </w:pPr>
            <w:r>
              <w:rPr>
                <w:color w:val="1A2630"/>
                <w:sz w:val="20"/>
                <w:szCs w:val="20"/>
              </w:rPr>
              <w:t xml:space="preserve">~10</w:t>
            </w:r>
          </w:p>
        </w:tc>
        <w:tc>
          <w:tcPr>
            <w:tcW w:type="dxa" w:w="41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jc w:val="left"/>
            </w:pPr>
            <w:r>
              <w:rPr>
                <w:color w:val="1A2630"/>
                <w:sz w:val="20"/>
                <w:szCs w:val="20"/>
              </w:rPr>
              <w:t xml:space="preserve">Warm inbound generated by founder content.</w:t>
            </w:r>
          </w:p>
        </w:tc>
      </w:tr>
      <w:tr>
        <w:trPr>
          <w:cantSplit/>
        </w:trPr>
        <w:tc>
          <w:tcPr>
            <w:tcW w:type="dxa" w:w="35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Discovery calls held</w:t>
            </w:r>
          </w:p>
        </w:tc>
        <w:tc>
          <w:tcPr>
            <w:tcW w:type="dxa" w:w="176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jc w:val="left"/>
            </w:pPr>
            <w:r>
              <w:rPr>
                <w:color w:val="1A2630"/>
                <w:sz w:val="20"/>
                <w:szCs w:val="20"/>
              </w:rPr>
              <w:t xml:space="preserve">~22</w:t>
            </w:r>
          </w:p>
        </w:tc>
        <w:tc>
          <w:tcPr>
            <w:tcW w:type="dxa" w:w="41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jc w:val="left"/>
            </w:pPr>
            <w:r>
              <w:rPr>
                <w:color w:val="1A2630"/>
                <w:sz w:val="20"/>
                <w:szCs w:val="20"/>
              </w:rPr>
              <w:t xml:space="preserve">The campaign’s key lead measure. A held call = one MQL.</w:t>
            </w:r>
          </w:p>
        </w:tc>
      </w:tr>
      <w:tr>
        <w:trPr>
          <w:cantSplit/>
        </w:trPr>
        <w:tc>
          <w:tcPr>
            <w:tcW w:type="dxa" w:w="35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Pilot hotels signed</w:t>
            </w:r>
          </w:p>
        </w:tc>
        <w:tc>
          <w:tcPr>
            <w:tcW w:type="dxa" w:w="176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jc w:val="left"/>
            </w:pPr>
            <w:r>
              <w:rPr>
                <w:color w:val="1A2630"/>
                <w:sz w:val="20"/>
                <w:szCs w:val="20"/>
              </w:rPr>
              <w:t xml:space="preserve">8 (stretch 10)</w:t>
            </w:r>
          </w:p>
        </w:tc>
        <w:tc>
          <w:tcPr>
            <w:tcW w:type="dxa" w:w="41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jc w:val="left"/>
            </w:pPr>
            <w:r>
              <w:rPr>
                <w:color w:val="1A2630"/>
                <w:sz w:val="20"/>
                <w:szCs w:val="20"/>
              </w:rPr>
              <w:t xml:space="preserve">The north-star outcome of the campaign.</w:t>
            </w:r>
          </w:p>
        </w:tc>
      </w:tr>
      <w:tr>
        <w:trPr>
          <w:cantSplit/>
        </w:trPr>
        <w:tc>
          <w:tcPr>
            <w:tcW w:type="dxa" w:w="35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Call-to-pilot conversion</w:t>
            </w:r>
          </w:p>
        </w:tc>
        <w:tc>
          <w:tcPr>
            <w:tcW w:type="dxa" w:w="176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jc w:val="left"/>
            </w:pPr>
            <w:r>
              <w:rPr>
                <w:color w:val="1A2630"/>
                <w:sz w:val="20"/>
                <w:szCs w:val="20"/>
              </w:rPr>
              <w:t xml:space="preserve">~36%</w:t>
            </w:r>
          </w:p>
        </w:tc>
        <w:tc>
          <w:tcPr>
            <w:tcW w:type="dxa" w:w="41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jc w:val="left"/>
            </w:pPr>
            <w:r>
              <w:rPr>
                <w:color w:val="1A2630"/>
                <w:sz w:val="20"/>
                <w:szCs w:val="20"/>
              </w:rPr>
              <w:t xml:space="preserve">Healthy for a free, low-risk, time-boxed offer.</w:t>
            </w:r>
          </w:p>
        </w:tc>
      </w:tr>
    </w:tbl>
    <w:p>
      <w:pPr>
        <w:spacing w:after="80"/>
      </w:pPr>
      <w:r>
        <w:rPr>
          <w:sz w:val="8"/>
          <w:szCs w:val="8"/>
        </w:rPr>
        <w:t xml:space="preserve"/>
      </w:r>
    </w:p>
    <w:p>
      <w:pPr>
        <w:pStyle w:val="Heading2"/>
      </w:pPr>
      <w:r>
        <w:t xml:space="preserve">10.2  Channel KPIs</w:t>
      </w:r>
    </w:p>
    <w:p>
      <w:pPr>
        <w:spacing w:after="3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760"/>
        <w:gridCol w:w="4100"/>
      </w:tblGrid>
      <w:tr>
        <w:trPr>
          <w:cantSplit/>
          <w:tblHeader/>
        </w:trPr>
        <w:tc>
          <w:tcPr>
            <w:tcW w:type="dxa" w:w="3500"/>
            <w:tcBorders>
              <w:top w:val="single" w:color="C9D4D8" w:sz="1"/>
              <w:left w:val="single" w:color="C9D4D8" w:sz="1"/>
              <w:bottom w:val="single" w:color="C9D4D8" w:sz="1"/>
              <w:right w:val="single" w:color="C9D4D8" w:sz="1"/>
            </w:tcBorders>
            <w:shd w:fill="0E5A6B" w:val="clear"/>
            <w:tcMar>
              <w:top w:type="dxa" w:w="90"/>
              <w:left w:type="dxa" w:w="130"/>
              <w:bottom w:type="dxa" w:w="90"/>
              <w:right w:type="dxa" w:w="130"/>
            </w:tcMar>
            <w:vAlign w:val="center"/>
          </w:tcPr>
          <w:p>
            <w:pPr>
              <w:spacing w:after="0" w:line="264"/>
            </w:pPr>
            <w:r>
              <w:rPr>
                <w:b/>
                <w:bCs/>
                <w:color w:val="FFFFFF"/>
                <w:sz w:val="20"/>
                <w:szCs w:val="20"/>
              </w:rPr>
              <w:t xml:space="preserve">Metric</w:t>
            </w:r>
          </w:p>
        </w:tc>
        <w:tc>
          <w:tcPr>
            <w:tcW w:type="dxa" w:w="1760"/>
            <w:tcBorders>
              <w:top w:val="single" w:color="C9D4D8" w:sz="1"/>
              <w:left w:val="single" w:color="C9D4D8" w:sz="1"/>
              <w:bottom w:val="single" w:color="C9D4D8" w:sz="1"/>
              <w:right w:val="single" w:color="C9D4D8" w:sz="1"/>
            </w:tcBorders>
            <w:shd w:fill="0E5A6B" w:val="clear"/>
            <w:tcMar>
              <w:top w:type="dxa" w:w="90"/>
              <w:left w:type="dxa" w:w="130"/>
              <w:bottom w:type="dxa" w:w="90"/>
              <w:right w:type="dxa" w:w="130"/>
            </w:tcMar>
            <w:vAlign w:val="center"/>
          </w:tcPr>
          <w:p>
            <w:pPr>
              <w:spacing w:after="0" w:line="264"/>
              <w:jc w:val="left"/>
            </w:pPr>
            <w:r>
              <w:rPr>
                <w:b/>
                <w:bCs/>
                <w:color w:val="FFFFFF"/>
                <w:sz w:val="20"/>
                <w:szCs w:val="20"/>
              </w:rPr>
              <w:t xml:space="preserve">Target</w:t>
            </w:r>
          </w:p>
        </w:tc>
        <w:tc>
          <w:tcPr>
            <w:tcW w:type="dxa" w:w="4100"/>
            <w:tcBorders>
              <w:top w:val="single" w:color="C9D4D8" w:sz="1"/>
              <w:left w:val="single" w:color="C9D4D8" w:sz="1"/>
              <w:bottom w:val="single" w:color="C9D4D8" w:sz="1"/>
              <w:right w:val="single" w:color="C9D4D8" w:sz="1"/>
            </w:tcBorders>
            <w:shd w:fill="0E5A6B" w:val="clear"/>
            <w:tcMar>
              <w:top w:type="dxa" w:w="90"/>
              <w:left w:type="dxa" w:w="130"/>
              <w:bottom w:type="dxa" w:w="90"/>
              <w:right w:type="dxa" w:w="130"/>
            </w:tcMar>
            <w:vAlign w:val="center"/>
          </w:tcPr>
          <w:p>
            <w:pPr>
              <w:spacing w:after="0" w:line="264"/>
              <w:jc w:val="left"/>
            </w:pPr>
            <w:r>
              <w:rPr>
                <w:b/>
                <w:bCs/>
                <w:color w:val="FFFFFF"/>
                <w:sz w:val="20"/>
                <w:szCs w:val="20"/>
              </w:rPr>
              <w:t xml:space="preserve">Why it matters</w:t>
            </w:r>
          </w:p>
        </w:tc>
      </w:tr>
      <w:tr>
        <w:trPr>
          <w:cantSplit/>
        </w:trPr>
        <w:tc>
          <w:tcPr>
            <w:tcW w:type="dxa" w:w="35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LinkedIn posts published</w:t>
            </w:r>
          </w:p>
        </w:tc>
        <w:tc>
          <w:tcPr>
            <w:tcW w:type="dxa" w:w="176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jc w:val="left"/>
            </w:pPr>
            <w:r>
              <w:rPr>
                <w:color w:val="1A2630"/>
                <w:sz w:val="20"/>
                <w:szCs w:val="20"/>
              </w:rPr>
              <w:t xml:space="preserve">~40</w:t>
            </w:r>
          </w:p>
        </w:tc>
        <w:tc>
          <w:tcPr>
            <w:tcW w:type="dxa" w:w="41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jc w:val="left"/>
            </w:pPr>
            <w:r>
              <w:rPr>
                <w:color w:val="1A2630"/>
                <w:sz w:val="20"/>
                <w:szCs w:val="20"/>
              </w:rPr>
              <w:t xml:space="preserve">Consistency is what drives reach and inbound.</w:t>
            </w:r>
          </w:p>
        </w:tc>
      </w:tr>
      <w:tr>
        <w:trPr>
          <w:cantSplit/>
        </w:trPr>
        <w:tc>
          <w:tcPr>
            <w:tcW w:type="dxa" w:w="35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LinkedIn impressions</w:t>
            </w:r>
          </w:p>
        </w:tc>
        <w:tc>
          <w:tcPr>
            <w:tcW w:type="dxa" w:w="176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jc w:val="left"/>
            </w:pPr>
            <w:r>
              <w:rPr>
                <w:color w:val="1A2630"/>
                <w:sz w:val="20"/>
                <w:szCs w:val="20"/>
              </w:rPr>
              <w:t xml:space="preserve">60,000+</w:t>
            </w:r>
          </w:p>
        </w:tc>
        <w:tc>
          <w:tcPr>
            <w:tcW w:type="dxa" w:w="41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jc w:val="left"/>
            </w:pPr>
            <w:r>
              <w:rPr>
                <w:color w:val="1A2630"/>
                <w:sz w:val="20"/>
                <w:szCs w:val="20"/>
              </w:rPr>
              <w:t xml:space="preserve">Awareness inside the hospitality niche.</w:t>
            </w:r>
          </w:p>
        </w:tc>
      </w:tr>
      <w:tr>
        <w:trPr>
          <w:cantSplit/>
        </w:trPr>
        <w:tc>
          <w:tcPr>
            <w:tcW w:type="dxa" w:w="35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Founder profile views</w:t>
            </w:r>
          </w:p>
        </w:tc>
        <w:tc>
          <w:tcPr>
            <w:tcW w:type="dxa" w:w="176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jc w:val="left"/>
            </w:pPr>
            <w:r>
              <w:rPr>
                <w:color w:val="1A2630"/>
                <w:sz w:val="20"/>
                <w:szCs w:val="20"/>
              </w:rPr>
              <w:t xml:space="preserve">1,500+</w:t>
            </w:r>
          </w:p>
        </w:tc>
        <w:tc>
          <w:tcPr>
            <w:tcW w:type="dxa" w:w="41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jc w:val="left"/>
            </w:pPr>
            <w:r>
              <w:rPr>
                <w:color w:val="1A2630"/>
                <w:sz w:val="20"/>
                <w:szCs w:val="20"/>
              </w:rPr>
              <w:t xml:space="preserve">A proxy for buyer curiosity.</w:t>
            </w:r>
          </w:p>
        </w:tc>
      </w:tr>
      <w:tr>
        <w:trPr>
          <w:cantSplit/>
        </w:trPr>
        <w:tc>
          <w:tcPr>
            <w:tcW w:type="dxa" w:w="35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New relevant followers</w:t>
            </w:r>
          </w:p>
        </w:tc>
        <w:tc>
          <w:tcPr>
            <w:tcW w:type="dxa" w:w="176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jc w:val="left"/>
            </w:pPr>
            <w:r>
              <w:rPr>
                <w:color w:val="1A2630"/>
                <w:sz w:val="20"/>
                <w:szCs w:val="20"/>
              </w:rPr>
              <w:t xml:space="preserve">400+</w:t>
            </w:r>
          </w:p>
        </w:tc>
        <w:tc>
          <w:tcPr>
            <w:tcW w:type="dxa" w:w="41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jc w:val="left"/>
            </w:pPr>
            <w:r>
              <w:rPr>
                <w:color w:val="1A2630"/>
                <w:sz w:val="20"/>
                <w:szCs w:val="20"/>
              </w:rPr>
              <w:t xml:space="preserve">A compounding audience for the eventual launch.</w:t>
            </w:r>
          </w:p>
        </w:tc>
      </w:tr>
      <w:tr>
        <w:trPr>
          <w:cantSplit/>
        </w:trPr>
        <w:tc>
          <w:tcPr>
            <w:tcW w:type="dxa" w:w="35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Emails sent</w:t>
            </w:r>
          </w:p>
        </w:tc>
        <w:tc>
          <w:tcPr>
            <w:tcW w:type="dxa" w:w="176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jc w:val="left"/>
            </w:pPr>
            <w:r>
              <w:rPr>
                <w:color w:val="1A2630"/>
                <w:sz w:val="20"/>
                <w:szCs w:val="20"/>
              </w:rPr>
              <w:t xml:space="preserve">~600</w:t>
            </w:r>
          </w:p>
        </w:tc>
        <w:tc>
          <w:tcPr>
            <w:tcW w:type="dxa" w:w="41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jc w:val="left"/>
            </w:pPr>
            <w:r>
              <w:rPr>
                <w:color w:val="1A2630"/>
                <w:sz w:val="20"/>
                <w:szCs w:val="20"/>
              </w:rPr>
              <w:t xml:space="preserve">Top of the outreach funnel.</w:t>
            </w:r>
          </w:p>
        </w:tc>
      </w:tr>
      <w:tr>
        <w:trPr>
          <w:cantSplit/>
        </w:trPr>
        <w:tc>
          <w:tcPr>
            <w:tcW w:type="dxa" w:w="35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Email open rate</w:t>
            </w:r>
          </w:p>
        </w:tc>
        <w:tc>
          <w:tcPr>
            <w:tcW w:type="dxa" w:w="176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jc w:val="left"/>
            </w:pPr>
            <w:r>
              <w:rPr>
                <w:color w:val="1A2630"/>
                <w:sz w:val="20"/>
                <w:szCs w:val="20"/>
              </w:rPr>
              <w:t xml:space="preserve">≥45%</w:t>
            </w:r>
          </w:p>
        </w:tc>
        <w:tc>
          <w:tcPr>
            <w:tcW w:type="dxa" w:w="41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jc w:val="left"/>
            </w:pPr>
            <w:r>
              <w:rPr>
                <w:color w:val="1A2630"/>
                <w:sz w:val="20"/>
                <w:szCs w:val="20"/>
              </w:rPr>
              <w:t xml:space="preserve">A health check on deliverability and subject lines.</w:t>
            </w:r>
          </w:p>
        </w:tc>
      </w:tr>
      <w:tr>
        <w:trPr>
          <w:cantSplit/>
        </w:trPr>
        <w:tc>
          <w:tcPr>
            <w:tcW w:type="dxa" w:w="35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Positive reply rate</w:t>
            </w:r>
          </w:p>
        </w:tc>
        <w:tc>
          <w:tcPr>
            <w:tcW w:type="dxa" w:w="176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jc w:val="left"/>
            </w:pPr>
            <w:r>
              <w:rPr>
                <w:color w:val="1A2630"/>
                <w:sz w:val="20"/>
                <w:szCs w:val="20"/>
              </w:rPr>
              <w:t xml:space="preserve">≥4%</w:t>
            </w:r>
          </w:p>
        </w:tc>
        <w:tc>
          <w:tcPr>
            <w:tcW w:type="dxa" w:w="41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jc w:val="left"/>
            </w:pPr>
            <w:r>
              <w:rPr>
                <w:color w:val="1A2630"/>
                <w:sz w:val="20"/>
                <w:szCs w:val="20"/>
              </w:rPr>
              <w:t xml:space="preserve">A read on targeting and message resonance.</w:t>
            </w:r>
          </w:p>
        </w:tc>
      </w:tr>
      <w:tr>
        <w:trPr>
          <w:cantSplit/>
        </w:trPr>
        <w:tc>
          <w:tcPr>
            <w:tcW w:type="dxa" w:w="35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Discovery calls booked</w:t>
            </w:r>
          </w:p>
        </w:tc>
        <w:tc>
          <w:tcPr>
            <w:tcW w:type="dxa" w:w="176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jc w:val="left"/>
            </w:pPr>
            <w:r>
              <w:rPr>
                <w:color w:val="1A2630"/>
                <w:sz w:val="20"/>
                <w:szCs w:val="20"/>
              </w:rPr>
              <w:t xml:space="preserve">~22</w:t>
            </w:r>
          </w:p>
        </w:tc>
        <w:tc>
          <w:tcPr>
            <w:tcW w:type="dxa" w:w="41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jc w:val="left"/>
            </w:pPr>
            <w:r>
              <w:rPr>
                <w:color w:val="1A2630"/>
                <w:sz w:val="20"/>
                <w:szCs w:val="20"/>
              </w:rPr>
              <w:t xml:space="preserve">Primary lead measure — watch this weekly.</w:t>
            </w:r>
          </w:p>
        </w:tc>
      </w:tr>
      <w:tr>
        <w:trPr>
          <w:cantSplit/>
        </w:trPr>
        <w:tc>
          <w:tcPr>
            <w:tcW w:type="dxa" w:w="35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Pilot hotels signed</w:t>
            </w:r>
          </w:p>
        </w:tc>
        <w:tc>
          <w:tcPr>
            <w:tcW w:type="dxa" w:w="176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jc w:val="left"/>
            </w:pPr>
            <w:r>
              <w:rPr>
                <w:color w:val="1A2630"/>
                <w:sz w:val="20"/>
                <w:szCs w:val="20"/>
              </w:rPr>
              <w:t xml:space="preserve">8</w:t>
            </w:r>
          </w:p>
        </w:tc>
        <w:tc>
          <w:tcPr>
            <w:tcW w:type="dxa" w:w="41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jc w:val="left"/>
            </w:pPr>
            <w:r>
              <w:rPr>
                <w:color w:val="1A2630"/>
                <w:sz w:val="20"/>
                <w:szCs w:val="20"/>
              </w:rPr>
              <w:t xml:space="preserve">Primary campaign outcome.</w:t>
            </w:r>
          </w:p>
        </w:tc>
      </w:tr>
    </w:tbl>
    <w:p>
      <w:pPr>
        <w:spacing w:after="60"/>
      </w:pPr>
      <w:r>
        <w:rPr>
          <w:sz w:val="8"/>
          <w:szCs w:val="8"/>
        </w:rPr>
        <w:t xml:space="preserve"/>
      </w:r>
    </w:p>
    <w:p>
      <w:pPr>
        <w:spacing w:after="140" w:line="288"/>
      </w:pPr>
      <w:r>
        <w:rPr>
          <w:b/>
          <w:bCs/>
          <w:color w:val="1A2630"/>
          <w:sz w:val="21"/>
          <w:szCs w:val="21"/>
        </w:rPr>
        <w:t xml:space="preserve">Review cadence.  </w:t>
      </w:r>
      <w:r>
        <w:rPr>
          <w:color w:val="1A2630"/>
          <w:sz w:val="21"/>
          <w:szCs w:val="21"/>
        </w:rPr>
        <w:t xml:space="preserve">Check the funnel once a week (see Section 12). Discovery calls booked is the number to act on — if it lags the weekly target two weeks running, change the email opener or tighten targeting before the pilot count can drift.</w:t>
      </w:r>
    </w:p>
    <w:p>
      <w:pPr>
        <w:spacing w:after="120"/>
      </w:pPr>
      <w:r>
        <w:rPr>
          <w:sz w:val="8"/>
          <w:szCs w:val="8"/>
        </w:rPr>
        <w:t xml:space="preserve"/>
      </w:r>
    </w:p>
    <w:p>
      <w:pPr>
        <w:pStyle w:val="Heading1"/>
      </w:pPr>
      <w:r>
        <w:t xml:space="preserve">11.  Risks &amp; Mitigations</w:t>
      </w:r>
    </w:p>
    <w:p>
      <w:pPr>
        <w:spacing w:after="3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cantSplit/>
          <w:tblHeader/>
        </w:trPr>
        <w:tc>
          <w:tcPr>
            <w:tcW w:type="dxa" w:w="3100"/>
            <w:tcBorders>
              <w:top w:val="single" w:color="C9D4D8" w:sz="1"/>
              <w:left w:val="single" w:color="C9D4D8" w:sz="1"/>
              <w:bottom w:val="single" w:color="C9D4D8" w:sz="1"/>
              <w:right w:val="single" w:color="C9D4D8" w:sz="1"/>
            </w:tcBorders>
            <w:shd w:fill="0E5A6B" w:val="clear"/>
            <w:tcMar>
              <w:top w:type="dxa" w:w="90"/>
              <w:left w:type="dxa" w:w="130"/>
              <w:bottom w:type="dxa" w:w="90"/>
              <w:right w:type="dxa" w:w="130"/>
            </w:tcMar>
            <w:vAlign w:val="center"/>
          </w:tcPr>
          <w:p>
            <w:pPr>
              <w:spacing w:after="0" w:line="264"/>
            </w:pPr>
            <w:r>
              <w:rPr>
                <w:b/>
                <w:bCs/>
                <w:color w:val="FFFFFF"/>
                <w:sz w:val="20"/>
                <w:szCs w:val="20"/>
              </w:rPr>
              <w:t xml:space="preserve">Risk</w:t>
            </w:r>
          </w:p>
        </w:tc>
        <w:tc>
          <w:tcPr>
            <w:tcW w:type="dxa" w:w="6260"/>
            <w:tcBorders>
              <w:top w:val="single" w:color="C9D4D8" w:sz="1"/>
              <w:left w:val="single" w:color="C9D4D8" w:sz="1"/>
              <w:bottom w:val="single" w:color="C9D4D8" w:sz="1"/>
              <w:right w:val="single" w:color="C9D4D8" w:sz="1"/>
            </w:tcBorders>
            <w:shd w:fill="0E5A6B" w:val="clear"/>
            <w:tcMar>
              <w:top w:type="dxa" w:w="90"/>
              <w:left w:type="dxa" w:w="130"/>
              <w:bottom w:type="dxa" w:w="90"/>
              <w:right w:type="dxa" w:w="130"/>
            </w:tcMar>
            <w:vAlign w:val="center"/>
          </w:tcPr>
          <w:p>
            <w:pPr>
              <w:spacing w:after="0" w:line="264"/>
              <w:jc w:val="left"/>
            </w:pPr>
            <w:r>
              <w:rPr>
                <w:b/>
                <w:bCs/>
                <w:color w:val="FFFFFF"/>
                <w:sz w:val="20"/>
                <w:szCs w:val="20"/>
              </w:rPr>
              <w:t xml:space="preserve">Mitigation</w:t>
            </w:r>
          </w:p>
        </w:tc>
      </w:tr>
      <w:tr>
        <w:trPr>
          <w:cantSplit/>
        </w:trPr>
        <w:tc>
          <w:tcPr>
            <w:tcW w:type="dxa" w:w="31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Cold emails land in spam</w:t>
            </w:r>
          </w:p>
        </w:tc>
        <w:tc>
          <w:tcPr>
            <w:tcW w:type="dxa" w:w="626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Send from a secondary domain warmed 2+ weeks ahead; cap volume at ~85/day; plain-text, founder-style emails; no link in Touch 1; verify every address.</w:t>
            </w:r>
          </w:p>
        </w:tc>
      </w:tr>
      <w:tr>
        <w:trPr>
          <w:cantSplit/>
        </w:trPr>
        <w:tc>
          <w:tcPr>
            <w:tcW w:type="dxa" w:w="31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Slow reply rate from cold outreach</w:t>
            </w:r>
          </w:p>
        </w:tc>
        <w:tc>
          <w:tcPr>
            <w:tcW w:type="dxa" w:w="626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Hyper-personalise Touch 1 (name the property); lead with the guest-experience pain, not the product; pair every email with a LinkedIn connection and visible content.</w:t>
            </w:r>
          </w:p>
        </w:tc>
      </w:tr>
      <w:tr>
        <w:trPr>
          <w:cantSplit/>
        </w:trPr>
        <w:tc>
          <w:tcPr>
            <w:tcW w:type="dxa" w:w="31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Hotels stall at “interested” without signing</w:t>
            </w:r>
          </w:p>
        </w:tc>
        <w:tc>
          <w:tcPr>
            <w:tcW w:type="dxa" w:w="626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Keep the offer concrete and time-boxed (10 spots, free 60 days); bring a one-page pilot agreement; book the onboarding date on the discovery call itself.</w:t>
            </w:r>
          </w:p>
        </w:tc>
      </w:tr>
      <w:tr>
        <w:trPr>
          <w:cantSplit/>
        </w:trPr>
        <w:tc>
          <w:tcPr>
            <w:tcW w:type="dxa" w:w="31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Tech buyer blocks the deal on security or integration</w:t>
            </w:r>
          </w:p>
        </w:tc>
        <w:tc>
          <w:tcPr>
            <w:tcW w:type="dxa" w:w="626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Publish the security &amp; integration one-pager early; offer to speak to their IT directly; position the pilot as additive, not a PMS replacement.</w:t>
            </w:r>
          </w:p>
        </w:tc>
      </w:tr>
      <w:tr>
        <w:trPr>
          <w:cantSplit/>
        </w:trPr>
        <w:tc>
          <w:tcPr>
            <w:tcW w:type="dxa" w:w="31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Founder bandwidth — campaign, product and onboarding at once</w:t>
            </w:r>
          </w:p>
        </w:tc>
        <w:tc>
          <w:tcPr>
            <w:tcW w:type="dxa" w:w="626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Cap the program at 10; batch all content in the prep week; protect mornings for outreach and afternoons for calls; pause new outreach once 8 calls/week are booked.</w:t>
            </w:r>
          </w:p>
        </w:tc>
      </w:tr>
      <w:tr>
        <w:trPr>
          <w:cantSplit/>
        </w:trPr>
        <w:tc>
          <w:tcPr>
            <w:tcW w:type="dxa" w:w="310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Demo falls flat or the product wobbles mid-pilot</w:t>
            </w:r>
          </w:p>
        </w:tc>
        <w:tc>
          <w:tcPr>
            <w:tcW w:type="dxa" w:w="6260"/>
            <w:tcBorders>
              <w:top w:val="single" w:color="C9D4D8" w:sz="1"/>
              <w:left w:val="single" w:color="C9D4D8" w:sz="1"/>
              <w:bottom w:val="single" w:color="C9D4D8" w:sz="1"/>
              <w:right w:val="single" w:color="C9D4D8" w:sz="1"/>
            </w:tcBorders>
            <w:shd w:fill="EEF5F6" w:val="clear"/>
            <w:tcMar>
              <w:top w:type="dxa" w:w="90"/>
              <w:left w:type="dxa" w:w="130"/>
              <w:bottom w:type="dxa" w:w="90"/>
              <w:right w:type="dxa" w:w="130"/>
            </w:tcMar>
            <w:vAlign w:val="center"/>
          </w:tcPr>
          <w:p>
            <w:pPr>
              <w:spacing w:after="0" w:line="264"/>
            </w:pPr>
            <w:r>
              <w:rPr>
                <w:color w:val="1A2630"/>
                <w:sz w:val="20"/>
                <w:szCs w:val="20"/>
              </w:rPr>
              <w:t xml:space="preserve">Rehearse the demo script; keep a stable demo build separate from active development; set pilot expectations as “early access” with a direct line to the founder.</w:t>
            </w:r>
          </w:p>
        </w:tc>
      </w:tr>
      <w:tr>
        <w:trPr>
          <w:cantSplit/>
        </w:trPr>
        <w:tc>
          <w:tcPr>
            <w:tcW w:type="dxa" w:w="310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Wrong-fit hotels dilute the learnings</w:t>
            </w:r>
          </w:p>
        </w:tc>
        <w:tc>
          <w:tcPr>
            <w:tcW w:type="dxa" w:w="6260"/>
            <w:tcBorders>
              <w:top w:val="single" w:color="C9D4D8" w:sz="1"/>
              <w:left w:val="single" w:color="C9D4D8" w:sz="1"/>
              <w:bottom w:val="single" w:color="C9D4D8" w:sz="1"/>
              <w:right w:val="single" w:color="C9D4D8" w:sz="1"/>
            </w:tcBorders>
            <w:tcMar>
              <w:top w:type="dxa" w:w="90"/>
              <w:left w:type="dxa" w:w="130"/>
              <w:bottom w:type="dxa" w:w="90"/>
              <w:right w:type="dxa" w:w="130"/>
            </w:tcMar>
            <w:vAlign w:val="center"/>
          </w:tcPr>
          <w:p>
            <w:pPr>
              <w:spacing w:after="0" w:line="264"/>
            </w:pPr>
            <w:r>
              <w:rPr>
                <w:color w:val="1A2630"/>
                <w:sz w:val="20"/>
                <w:szCs w:val="20"/>
              </w:rPr>
              <w:t xml:space="preserve">Apply the Section 6 qualification criteria before signing any pilot; it is fine to turn a poor-fit hotel away.</w:t>
            </w:r>
          </w:p>
        </w:tc>
      </w:tr>
    </w:tbl>
    <w:p>
      <w:pPr>
        <w:pStyle w:val="Heading1"/>
      </w:pPr>
      <w:r>
        <w:t xml:space="preserve">12.  Operating Rhythm &amp; Next Steps</w:t>
      </w:r>
    </w:p>
    <w:p>
      <w:pPr>
        <w:pStyle w:val="Heading2"/>
      </w:pPr>
      <w:r>
        <w:t xml:space="preserve">Weekly rhythm</w:t>
      </w:r>
    </w:p>
    <w:p>
      <w:pPr>
        <w:pStyle w:val="ListParagraph"/>
        <w:numPr>
          <w:ilvl w:val="0"/>
          <w:numId w:val="2"/>
        </w:numPr>
        <w:spacing w:after="70" w:line="288"/>
      </w:pPr>
      <w:r>
        <w:rPr>
          <w:b/>
          <w:bCs/>
          <w:color w:val="1A2630"/>
          <w:sz w:val="21"/>
          <w:szCs w:val="21"/>
        </w:rPr>
        <w:t xml:space="preserve">Monday — </w:t>
      </w:r>
      <w:r>
        <w:rPr>
          <w:color w:val="1A2630"/>
          <w:sz w:val="21"/>
          <w:szCs w:val="21"/>
        </w:rPr>
        <w:t xml:space="preserve">review last week’s funnel numbers against target; lock the week’s posts and email batch.</w:t>
      </w:r>
    </w:p>
    <w:p>
      <w:pPr>
        <w:pStyle w:val="ListParagraph"/>
        <w:numPr>
          <w:ilvl w:val="0"/>
          <w:numId w:val="2"/>
        </w:numPr>
        <w:spacing w:after="70" w:line="288"/>
      </w:pPr>
      <w:r>
        <w:rPr>
          <w:b/>
          <w:bCs/>
          <w:color w:val="1A2630"/>
          <w:sz w:val="21"/>
          <w:szCs w:val="21"/>
        </w:rPr>
        <w:t xml:space="preserve">Tuesday–Thursday — </w:t>
      </w:r>
      <w:r>
        <w:rPr>
          <w:color w:val="1A2630"/>
          <w:sz w:val="21"/>
          <w:szCs w:val="21"/>
        </w:rPr>
        <w:t xml:space="preserve">outreach in the mornings, discovery calls in the afternoons; publish and engage on LinkedIn daily.</w:t>
      </w:r>
    </w:p>
    <w:p>
      <w:pPr>
        <w:pStyle w:val="ListParagraph"/>
        <w:numPr>
          <w:ilvl w:val="0"/>
          <w:numId w:val="2"/>
        </w:numPr>
        <w:spacing w:after="70" w:line="288"/>
      </w:pPr>
      <w:r>
        <w:rPr>
          <w:b/>
          <w:bCs/>
          <w:color w:val="1A2630"/>
          <w:sz w:val="21"/>
          <w:szCs w:val="21"/>
        </w:rPr>
        <w:t xml:space="preserve">Friday — </w:t>
      </w:r>
      <w:r>
        <w:rPr>
          <w:color w:val="1A2630"/>
          <w:sz w:val="21"/>
          <w:szCs w:val="21"/>
        </w:rPr>
        <w:t xml:space="preserve">send Touch-4 closes; update the tracker; draft next week’s content.</w:t>
      </w:r>
    </w:p>
    <w:p>
      <w:pPr>
        <w:pStyle w:val="ListParagraph"/>
        <w:numPr>
          <w:ilvl w:val="0"/>
          <w:numId w:val="2"/>
        </w:numPr>
        <w:spacing w:after="70" w:line="288"/>
      </w:pPr>
      <w:r>
        <w:rPr>
          <w:b/>
          <w:bCs/>
          <w:color w:val="1A2630"/>
          <w:sz w:val="21"/>
          <w:szCs w:val="21"/>
        </w:rPr>
        <w:t xml:space="preserve">Mid-campaign (end of Week 4) — </w:t>
      </w:r>
      <w:r>
        <w:rPr>
          <w:color w:val="1A2630"/>
          <w:sz w:val="21"/>
          <w:szCs w:val="21"/>
        </w:rPr>
        <w:t xml:space="preserve">a fuller review: is the call target on pace? does the messaging need a turn?</w:t>
      </w:r>
    </w:p>
    <w:p>
      <w:pPr>
        <w:pStyle w:val="Heading2"/>
      </w:pPr>
      <w:r>
        <w:t xml:space="preserve">Immediate next steps — the prep-week checklist</w:t>
      </w:r>
    </w:p>
    <w:p>
      <w:pPr>
        <w:pStyle w:val="ListParagraph"/>
        <w:numPr>
          <w:ilvl w:val="0"/>
          <w:numId w:val="3"/>
        </w:numPr>
        <w:spacing w:after="70" w:line="288"/>
      </w:pPr>
      <w:r>
        <w:rPr>
          <w:color w:val="1A2630"/>
          <w:sz w:val="21"/>
          <w:szCs w:val="21"/>
        </w:rPr>
        <w:t xml:space="preserve">Lock the Founding Hotels offer terms and write a one-page pilot agreement.</w:t>
      </w:r>
    </w:p>
    <w:p>
      <w:pPr>
        <w:pStyle w:val="ListParagraph"/>
        <w:numPr>
          <w:ilvl w:val="0"/>
          <w:numId w:val="3"/>
        </w:numPr>
        <w:spacing w:after="70" w:line="288"/>
      </w:pPr>
      <w:r>
        <w:rPr>
          <w:color w:val="1A2630"/>
          <w:sz w:val="21"/>
          <w:szCs w:val="21"/>
        </w:rPr>
        <w:t xml:space="preserve">Build and verify the list of ~600 target hotels; segment by destination.</w:t>
      </w:r>
    </w:p>
    <w:p>
      <w:pPr>
        <w:pStyle w:val="ListParagraph"/>
        <w:numPr>
          <w:ilvl w:val="0"/>
          <w:numId w:val="3"/>
        </w:numPr>
        <w:spacing w:after="70" w:line="288"/>
      </w:pPr>
      <w:r>
        <w:rPr>
          <w:color w:val="1A2630"/>
          <w:sz w:val="21"/>
          <w:szCs w:val="21"/>
        </w:rPr>
        <w:t xml:space="preserve">Set up the secondary sending domain and start inbox warm-up (needs ~2 weeks — do this first).</w:t>
      </w:r>
    </w:p>
    <w:p>
      <w:pPr>
        <w:pStyle w:val="ListParagraph"/>
        <w:numPr>
          <w:ilvl w:val="0"/>
          <w:numId w:val="3"/>
        </w:numPr>
        <w:spacing w:after="70" w:line="288"/>
      </w:pPr>
      <w:r>
        <w:rPr>
          <w:color w:val="1A2630"/>
          <w:sz w:val="21"/>
          <w:szCs w:val="21"/>
        </w:rPr>
        <w:t xml:space="preserve">Record and edit the core 60-second demo clip showing live language detection.</w:t>
      </w:r>
    </w:p>
    <w:p>
      <w:pPr>
        <w:pStyle w:val="ListParagraph"/>
        <w:numPr>
          <w:ilvl w:val="0"/>
          <w:numId w:val="3"/>
        </w:numPr>
        <w:spacing w:after="70" w:line="288"/>
      </w:pPr>
      <w:r>
        <w:rPr>
          <w:color w:val="1A2630"/>
          <w:sz w:val="21"/>
          <w:szCs w:val="21"/>
        </w:rPr>
        <w:t xml:space="preserve">Produce the one-page sell sheet and the security &amp; integration one-pager.</w:t>
      </w:r>
    </w:p>
    <w:p>
      <w:pPr>
        <w:pStyle w:val="ListParagraph"/>
        <w:numPr>
          <w:ilvl w:val="0"/>
          <w:numId w:val="3"/>
        </w:numPr>
        <w:spacing w:after="70" w:line="288"/>
      </w:pPr>
      <w:r>
        <w:rPr>
          <w:color w:val="1A2630"/>
          <w:sz w:val="21"/>
          <w:szCs w:val="21"/>
        </w:rPr>
        <w:t xml:space="preserve">Stand up a simple landing page with the offer and a “book a call” link.</w:t>
      </w:r>
    </w:p>
    <w:p>
      <w:pPr>
        <w:pStyle w:val="ListParagraph"/>
        <w:numPr>
          <w:ilvl w:val="0"/>
          <w:numId w:val="3"/>
        </w:numPr>
        <w:spacing w:after="70" w:line="288"/>
      </w:pPr>
      <w:r>
        <w:rPr>
          <w:color w:val="1A2630"/>
          <w:sz w:val="21"/>
          <w:szCs w:val="21"/>
        </w:rPr>
        <w:t xml:space="preserve">Optimise the founder LinkedIn profile and draft the first two weeks of posts.</w:t>
      </w:r>
    </w:p>
    <w:p>
      <w:pPr>
        <w:pStyle w:val="ListParagraph"/>
        <w:numPr>
          <w:ilvl w:val="0"/>
          <w:numId w:val="3"/>
        </w:numPr>
        <w:spacing w:after="70" w:line="288"/>
      </w:pPr>
      <w:r>
        <w:rPr>
          <w:color w:val="1A2630"/>
          <w:sz w:val="21"/>
          <w:szCs w:val="21"/>
        </w:rPr>
        <w:t xml:space="preserve">Write the 4-touch email sequence and load it into the sequencer.</w:t>
      </w:r>
    </w:p>
    <w:p>
      <w:pPr>
        <w:pStyle w:val="ListParagraph"/>
        <w:numPr>
          <w:ilvl w:val="0"/>
          <w:numId w:val="3"/>
        </w:numPr>
        <w:spacing w:after="70" w:line="288"/>
      </w:pPr>
      <w:r>
        <w:rPr>
          <w:color w:val="1A2630"/>
          <w:sz w:val="21"/>
          <w:szCs w:val="21"/>
        </w:rPr>
        <w:t xml:space="preserve">Set up a lightweight tracker — a sheet or simple CRM — for the funnel metrics in Section 10.</w:t>
      </w:r>
    </w:p>
    <w:p>
      <w:pPr>
        <w:spacing w:after="80"/>
      </w:pPr>
      <w:r>
        <w:rPr>
          <w:sz w:val="8"/>
          <w:szCs w:val="8"/>
        </w:rPr>
        <w:t xml:space="preserve"/>
      </w:r>
    </w:p>
    <w:p>
      <w:pPr>
        <w:pBdr>
          <w:top w:val="single" w:color="C9D4D8" w:sz="4" w:space="8"/>
        </w:pBdr>
        <w:spacing w:after="60" w:before="80"/>
      </w:pPr>
      <w:r>
        <w:rPr>
          <w:b/>
          <w:bCs/>
          <w:color w:val="5B6770"/>
          <w:sz w:val="19"/>
          <w:szCs w:val="19"/>
        </w:rPr>
        <w:t xml:space="preserve">Sources &amp; references</w:t>
      </w:r>
    </w:p>
    <w:p>
      <w:pPr>
        <w:spacing w:after="30" w:line="264"/>
      </w:pPr>
      <w:r>
        <w:rPr>
          <w:color w:val="5B6770"/>
          <w:sz w:val="18"/>
          <w:szCs w:val="18"/>
        </w:rPr>
        <w:t xml:space="preserve">Market and benchmark figures are drawn from public 2025–2026 hospitality-industry reporting:</w:t>
      </w:r>
    </w:p>
    <w:p>
      <w:pPr>
        <w:pStyle w:val="ListParagraph"/>
        <w:numPr>
          <w:ilvl w:val="0"/>
          <w:numId w:val="2"/>
        </w:numPr>
        <w:spacing w:after="40" w:line="264"/>
      </w:pPr>
      <w:r>
        <w:rPr>
          <w:color w:val="5B6770"/>
          <w:sz w:val="18"/>
          <w:szCs w:val="18"/>
        </w:rPr>
        <w:t xml:space="preserve">HITEC / Hospitalitynet — Global guest satisfaction and Global Review Index, 2025.</w:t>
      </w:r>
    </w:p>
    <w:p>
      <w:pPr>
        <w:pStyle w:val="ListParagraph"/>
        <w:numPr>
          <w:ilvl w:val="0"/>
          <w:numId w:val="2"/>
        </w:numPr>
        <w:spacing w:after="40" w:line="264"/>
      </w:pPr>
      <w:r>
        <w:rPr>
          <w:color w:val="5B6770"/>
          <w:sz w:val="18"/>
          <w:szCs w:val="18"/>
        </w:rPr>
        <w:t xml:space="preserve">UN Tourism — international arrivals growth, Europe, 2025.</w:t>
      </w:r>
    </w:p>
    <w:p>
      <w:pPr>
        <w:pStyle w:val="ListParagraph"/>
        <w:numPr>
          <w:ilvl w:val="0"/>
          <w:numId w:val="2"/>
        </w:numPr>
        <w:spacing w:after="40" w:line="264"/>
      </w:pPr>
      <w:r>
        <w:rPr>
          <w:color w:val="5B6770"/>
          <w:sz w:val="18"/>
          <w:szCs w:val="18"/>
        </w:rPr>
        <w:t xml:space="preserve">Conduit, Hotel Tech Insight, Hotel Technology News — AI guest-communication platform comparisons and adoption benchmarks, 2026.</w:t>
      </w:r>
    </w:p>
    <w:p>
      <w:pPr>
        <w:pStyle w:val="ListParagraph"/>
        <w:numPr>
          <w:ilvl w:val="0"/>
          <w:numId w:val="2"/>
        </w:numPr>
        <w:spacing w:after="40" w:line="264"/>
      </w:pPr>
      <w:r>
        <w:rPr>
          <w:color w:val="5B6770"/>
          <w:sz w:val="18"/>
          <w:szCs w:val="18"/>
        </w:rPr>
        <w:t xml:space="preserve">Travel Outlook — language barriers in the hospitality industry.</w:t>
      </w:r>
    </w:p>
    <w:p>
      <w:pPr>
        <w:pStyle w:val="ListParagraph"/>
        <w:numPr>
          <w:ilvl w:val="0"/>
          <w:numId w:val="2"/>
        </w:numPr>
        <w:spacing w:after="40" w:line="264"/>
      </w:pPr>
      <w:r>
        <w:rPr>
          <w:color w:val="5B6770"/>
          <w:sz w:val="18"/>
          <w:szCs w:val="18"/>
        </w:rPr>
        <w:t xml:space="preserve">Voxtera project repository — product capabilities, demo hotel configuration and architecture.</w:t>
      </w:r>
    </w:p>
    <w:sectPr>
      <w:headerReference w:type="default" r:id="rId7"/>
      <w:footerReference w:type="default" r:id="rId8"/>
      <w:pgSz w:w="12240" w:h="15840" w:orient="portrait"/>
      <w:pgMar w:top="1280" w:right="1440" w:bottom="12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D8" w:sz="4" w:space="6"/>
      </w:pBdr>
      <w:tabs>
        <w:tab w:val="right" w:pos="9360"/>
      </w:tabs>
    </w:pPr>
    <w:r>
      <w:rPr>
        <w:color w:val="5B6770"/>
        <w:sz w:val="16"/>
        <w:szCs w:val="16"/>
      </w:rPr>
      <w:t xml:space="preserve">Marketing Campaign Brief  ·  Confidential</w:t>
    </w:r>
    <w:r>
      <w:rPr>
        <w:color w:val="5B6770"/>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b/>
        <w:bCs/>
        <w:color w:val="0E5A6B"/>
        <w:sz w:val="16"/>
        <w:szCs w:val="16"/>
      </w:rPr>
      <w:t xml:space="preserve">VOXTERA</w:t>
    </w:r>
    <w:r>
      <w:rPr>
        <w:color w:val="5B6770"/>
        <w:sz w:val="16"/>
        <w:szCs w:val="16"/>
      </w:rPr>
      <w:t xml:space="preserve">	Founding Hotels — Campaign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0E5A6B"/>
      </w:rPr>
    </w:lvl>
    <w:lvl w:ilvl="1" w15:tentative="1">
      <w:start w:val="1"/>
      <w:numFmt w:val="bullet"/>
      <w:lvlText w:val="–"/>
      <w:lvlJc w:val="left"/>
      <w:pPr>
        <w:ind w:left="720" w:hanging="260"/>
      </w:pPr>
      <w:rPr>
        <w:color w:val="0E5A6B"/>
      </w:rPr>
    </w:lvl>
  </w:abstractNum>
  <w:abstractNum w:abstractNumId="3" w15:restartNumberingAfterBreak="0">
    <w:multiLevelType w:val="hybridMultilevel"/>
    <w:lvl w:ilvl="0" w15:tentative="1">
      <w:start w:val="1"/>
      <w:numFmt w:val="decimal"/>
      <w:lvlText w:val="%1."/>
      <w:lvlJc w:val="left"/>
      <w:pPr>
        <w:ind w:left="420" w:hanging="320"/>
      </w:pPr>
      <w:rPr>
        <w:b/>
        <w:bCs/>
        <w:color w:val="0E5A6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6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7E7EB" w:sz="4" w:space="6"/>
      </w:pBdr>
      <w:spacing w:after="180" w:before="320"/>
      <w:outlineLvl w:val="0"/>
    </w:pPr>
    <w:rPr>
      <w:rFonts w:ascii="Arial" w:cs="Arial" w:eastAsia="Arial" w:hAnsi="Arial"/>
      <w:b/>
      <w:bCs/>
      <w:color w:val="0E5A6B"/>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0A3F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Voxtera — Founding Hotels Pilot Recruitment Campaign Brief</dc:title>
  <dc:creator>Voxtera</dc:creator>
  <cp:lastModifiedBy>Un-named</cp:lastModifiedBy>
  <cp:revision>1</cp:revision>
  <dcterms:created xsi:type="dcterms:W3CDTF">2026-05-21T10:52:43.473Z</dcterms:created>
  <dcterms:modified xsi:type="dcterms:W3CDTF">2026-05-21T10:52:43.473Z</dcterms:modified>
</cp:coreProperties>
</file>

<file path=docProps/custom.xml><?xml version="1.0" encoding="utf-8"?>
<Properties xmlns="http://schemas.openxmlformats.org/officeDocument/2006/custom-properties" xmlns:vt="http://schemas.openxmlformats.org/officeDocument/2006/docPropsVTypes"/>
</file>