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after="60"/>
      </w:pPr>
      <w:r>
        <w:rPr>
          <w:rFonts w:ascii="Calibri" w:hAnsi="Calibri" w:cs="Calibri"/>
          <w:b/>
          <w:color w:val="B90646"/>
          <w:sz w:val="22"/>
          <w:szCs w:val="22"/>
        </w:rPr>
        <w:t xml:space="preserve">DAVY</w:t>
      </w:r>
    </w:p>
    <w:p>
      <w:pPr>
        <w:spacing w:after="80"/>
      </w:pPr>
      <w:r>
        <w:rPr>
          <w:rFonts w:ascii="Georgia" w:hAnsi="Georgia" w:cs="Georgia"/>
          <w:b/>
          <w:color w:val="1A1712"/>
          <w:sz w:val="48"/>
          <w:szCs w:val="48"/>
        </w:rPr>
        <w:t xml:space="preserve">Weekly Market Update — your script</w:t>
      </w:r>
    </w:p>
    <w:p>
      <w:pPr>
        <w:pBdr>
          <w:bottom w:val="single" w:sz="6" w:space="4" w:color="B90646"/>
        </w:pBdr>
        <w:spacing w:after="240"/>
      </w:pPr>
      <w:r>
        <w:rPr>
          <w:rFonts w:ascii="Calibri" w:hAnsi="Calibri" w:cs="Calibri"/>
          <w:color w:val="6B6557"/>
          <w:sz w:val="22"/>
          <w:szCs w:val="22"/>
        </w:rPr>
        <w:t xml:space="preserve">Week of 21-25 Sep 2026  ·  Presented by Catalin Bondari</w:t>
      </w:r>
    </w:p>
    <w:p>
      <w:pPr>
        <w:shd w:val="clear" w:color="auto" w:fill="F7F3EA"/>
        <w:spacing w:after="60"/>
      </w:pPr>
      <w:r>
        <w:rPr>
          <w:rFonts w:ascii="Calibri" w:hAnsi="Calibri" w:cs="Calibri"/>
          <w:b/>
          <w:color w:val="B90646"/>
          <w:sz w:val="22"/>
          <w:szCs w:val="22"/>
        </w:rPr>
        <w:t xml:space="preserve">How to use this</w:t>
      </w:r>
    </w:p>
    <w:p>
      <w:pPr>
        <w:shd w:val="clear" w:color="auto" w:fill="F7F3EA"/>
        <w:spacing w:after="240" w:line="300" w:lineRule="auto"/>
      </w:pPr>
      <w:r>
        <w:rPr>
          <w:rFonts w:ascii="Calibri" w:hAnsi="Calibri" w:cs="Calibri"/>
          <w:sz w:val="22"/>
          <w:szCs w:val="22"/>
        </w:rPr>
        <w:t xml:space="preserve">About 4:22 of talking at a conversational pace, which leaves room for clicks inside the five-minute clock. Each slide shows three numbers and a chart; the words are all here, not on screen. Read the numbers the room can see, then say why they matter. Cues in grey tell you when to click. Press N in the deck to see this script on your own screen.</w:t>
      </w:r>
    </w:p>
    <w:p>
      <w:pPr>
        <w:keepNext/>
        <w:spacing w:after="100"/>
      </w:pPr>
      <w:r>
        <w:rPr>
          <w:rFonts w:ascii="Georgia" w:hAnsi="Georgia" w:cs="Georgia"/>
          <w:b/>
          <w:color w:val="B90646"/>
          <w:sz w:val="26"/>
          <w:szCs w:val="26"/>
        </w:rPr>
        <w:t xml:space="preserve">Running order</w:t>
      </w:r>
    </w:p>
    <w:tbl>
      <w:tblPr>
        <w:tblW w:w="9000" w:type="dxa"/>
        <w:tblBorders>
          <w:top w:val="single" w:sz="4" w:space="0" w:color="D8D1C2"/>
          <w:left w:val="single" w:sz="4" w:space="0" w:color="D8D1C2"/>
          <w:bottom w:val="single" w:sz="4" w:space="0" w:color="D8D1C2"/>
          <w:right w:val="single" w:sz="4" w:space="0" w:color="D8D1C2"/>
          <w:insideH w:val="single" w:sz="4" w:space="0" w:color="D8D1C2"/>
          <w:insideV w:val="single" w:sz="4" w:space="0" w:color="D8D1C2"/>
        </w:tblBorders>
        <w:tblCellMar>
          <w:left w:w="100" w:type="dxa"/>
          <w:right w:w="100" w:type="dxa"/>
        </w:tblCellMar>
      </w:tblPr>
      <w:tblGrid>
        <w:gridCol w:w="1900"/>
        <w:gridCol w:w="5800"/>
        <w:gridCol w:w="1300"/>
      </w:tblGrid>
      <w:tr>
        <w:tc>
          <w:tcPr>
            <w:tcW w:w="1900" w:type="dxa"/>
            <w:shd w:val="clear" w:color="auto" w:fill="F3EFE6"/>
          </w:tcPr>
          <w:p>
            <w:pPr>
              <w:spacing w:before="40" w:after="40"/>
            </w:pPr>
            <w:r>
              <w:rPr>
                <w:rFonts w:ascii="Calibri" w:hAnsi="Calibri" w:cs="Calibri"/>
                <w:b/>
                <w:sz w:val="20"/>
                <w:szCs w:val="20"/>
              </w:rPr>
              <w:t xml:space="preserve">Slide</w:t>
            </w:r>
          </w:p>
        </w:tc>
        <w:tc>
          <w:tcPr>
            <w:tcW w:w="5800" w:type="dxa"/>
            <w:shd w:val="clear" w:color="auto" w:fill="F3EFE6"/>
          </w:tcPr>
          <w:p>
            <w:pPr>
              <w:spacing w:before="40" w:after="40"/>
            </w:pPr>
            <w:r>
              <w:rPr>
                <w:rFonts w:ascii="Calibri" w:hAnsi="Calibri" w:cs="Calibri"/>
                <w:b/>
                <w:sz w:val="20"/>
                <w:szCs w:val="20"/>
              </w:rPr>
              <w:t xml:space="preserve">What the room sees</w:t>
            </w:r>
          </w:p>
        </w:tc>
        <w:tc>
          <w:tcPr>
            <w:tcW w:w="1300" w:type="dxa"/>
            <w:shd w:val="clear" w:color="auto" w:fill="F3EFE6"/>
          </w:tcPr>
          <w:p>
            <w:pPr>
              <w:spacing w:before="40" w:after="40"/>
            </w:pPr>
            <w:r>
              <w:rPr>
                <w:rFonts w:ascii="Calibri" w:hAnsi="Calibri" w:cs="Calibri"/>
                <w:b/>
                <w:sz w:val="20"/>
                <w:szCs w:val="20"/>
              </w:rPr>
              <w:t xml:space="preserve">Time</w:t>
            </w:r>
          </w:p>
        </w:tc>
      </w:tr>
      <w:tr>
        <w:tc>
          <w:tcPr>
            <w:tcW w:w="1900" w:type="dxa"/>
          </w:tcPr>
          <w:p>
            <w:pPr>
              <w:spacing w:before="40" w:after="40"/>
            </w:pPr>
            <w:r>
              <w:rPr>
                <w:rFonts w:ascii="Calibri" w:hAnsi="Calibri" w:cs="Calibri"/>
                <w:b/>
                <w:sz w:val="20"/>
                <w:szCs w:val="20"/>
              </w:rPr>
              <w:t xml:space="preserve">1  The set-up</w:t>
            </w:r>
          </w:p>
        </w:tc>
        <w:tc>
          <w:tcPr>
            <w:tcW w:w="5800" w:type="dxa"/>
          </w:tcPr>
          <w:p>
            <w:pPr>
              <w:spacing w:before="40" w:after="40"/>
            </w:pPr>
            <w:r>
              <w:rPr>
                <w:rFonts w:ascii="Calibri" w:hAnsi="Calibri" w:cs="Calibri"/>
                <w:sz w:val="20"/>
                <w:szCs w:val="20"/>
              </w:rPr>
              <w:t xml:space="preserve">US 10-year yield 5.18%, Brent crude $106.60, US–China truce 10 Jan</w:t>
            </w:r>
          </w:p>
        </w:tc>
        <w:tc>
          <w:tcPr>
            <w:tcW w:w="1300" w:type="dxa"/>
          </w:tcPr>
          <w:p>
            <w:pPr>
              <w:spacing w:before="40" w:after="40"/>
            </w:pPr>
            <w:r>
              <w:rPr>
                <w:rFonts w:ascii="Calibri" w:hAnsi="Calibri" w:cs="Calibri"/>
                <w:sz w:val="20"/>
                <w:szCs w:val="20"/>
              </w:rPr>
              <w:t xml:space="preserve">0:43</w:t>
            </w:r>
          </w:p>
        </w:tc>
      </w:tr>
      <w:tr>
        <w:tc>
          <w:tcPr>
            <w:tcW w:w="1900" w:type="dxa"/>
          </w:tcPr>
          <w:p>
            <w:pPr>
              <w:spacing w:before="40" w:after="40"/>
            </w:pPr>
            <w:r>
              <w:rPr>
                <w:rFonts w:ascii="Calibri" w:hAnsi="Calibri" w:cs="Calibri"/>
                <w:b/>
                <w:sz w:val="20"/>
                <w:szCs w:val="20"/>
              </w:rPr>
              <w:t xml:space="preserve">2  The 10-year</w:t>
            </w:r>
          </w:p>
        </w:tc>
        <w:tc>
          <w:tcPr>
            <w:tcW w:w="5800" w:type="dxa"/>
          </w:tcPr>
          <w:p>
            <w:pPr>
              <w:spacing w:before="40" w:after="40"/>
            </w:pPr>
            <w:r>
              <w:rPr>
                <w:rFonts w:ascii="Calibri" w:hAnsi="Calibri" w:cs="Calibri"/>
                <w:sz w:val="20"/>
                <w:szCs w:val="20"/>
              </w:rPr>
              <w:t xml:space="preserve">US 10-year yield 5.18%, 10-year real yield 2.76%, 5-year auction 3.1bp tail</w:t>
            </w:r>
          </w:p>
        </w:tc>
        <w:tc>
          <w:tcPr>
            <w:tcW w:w="1300" w:type="dxa"/>
          </w:tcPr>
          <w:p>
            <w:pPr>
              <w:spacing w:before="40" w:after="40"/>
            </w:pPr>
            <w:r>
              <w:rPr>
                <w:rFonts w:ascii="Calibri" w:hAnsi="Calibri" w:cs="Calibri"/>
                <w:sz w:val="20"/>
                <w:szCs w:val="20"/>
              </w:rPr>
              <w:t xml:space="preserve">0:41</w:t>
            </w:r>
          </w:p>
        </w:tc>
      </w:tr>
      <w:tr>
        <w:tc>
          <w:tcPr>
            <w:tcW w:w="1900" w:type="dxa"/>
          </w:tcPr>
          <w:p>
            <w:pPr>
              <w:spacing w:before="40" w:after="40"/>
            </w:pPr>
            <w:r>
              <w:rPr>
                <w:rFonts w:ascii="Calibri" w:hAnsi="Calibri" w:cs="Calibri"/>
                <w:b/>
                <w:sz w:val="20"/>
                <w:szCs w:val="20"/>
              </w:rPr>
              <w:t xml:space="preserve">3  The war</w:t>
            </w:r>
          </w:p>
        </w:tc>
        <w:tc>
          <w:tcPr>
            <w:tcW w:w="5800" w:type="dxa"/>
          </w:tcPr>
          <w:p>
            <w:pPr>
              <w:spacing w:before="40" w:after="40"/>
            </w:pPr>
            <w:r>
              <w:rPr>
                <w:rFonts w:ascii="Calibri" w:hAnsi="Calibri" w:cs="Calibri"/>
                <w:sz w:val="20"/>
                <w:szCs w:val="20"/>
              </w:rPr>
              <w:t xml:space="preserve">Brent crude $106.60, Gulf crude exports ~8–9m b/d, US diesel $6.50/gal</w:t>
            </w:r>
          </w:p>
        </w:tc>
        <w:tc>
          <w:tcPr>
            <w:tcW w:w="1300" w:type="dxa"/>
          </w:tcPr>
          <w:p>
            <w:pPr>
              <w:spacing w:before="40" w:after="40"/>
            </w:pPr>
            <w:r>
              <w:rPr>
                <w:rFonts w:ascii="Calibri" w:hAnsi="Calibri" w:cs="Calibri"/>
                <w:sz w:val="20"/>
                <w:szCs w:val="20"/>
              </w:rPr>
              <w:t xml:space="preserve">0:39</w:t>
            </w:r>
          </w:p>
        </w:tc>
      </w:tr>
      <w:tr>
        <w:tc>
          <w:tcPr>
            <w:tcW w:w="1900" w:type="dxa"/>
          </w:tcPr>
          <w:p>
            <w:pPr>
              <w:spacing w:before="40" w:after="40"/>
            </w:pPr>
            <w:r>
              <w:rPr>
                <w:rFonts w:ascii="Calibri" w:hAnsi="Calibri" w:cs="Calibri"/>
                <w:b/>
                <w:sz w:val="20"/>
                <w:szCs w:val="20"/>
              </w:rPr>
              <w:t xml:space="preserve">4  Oil to rates</w:t>
            </w:r>
          </w:p>
        </w:tc>
        <w:tc>
          <w:tcPr>
            <w:tcW w:w="5800" w:type="dxa"/>
          </w:tcPr>
          <w:p>
            <w:pPr>
              <w:spacing w:before="40" w:after="40"/>
            </w:pPr>
            <w:r>
              <w:rPr>
                <w:rFonts w:ascii="Calibri" w:hAnsi="Calibri" w:cs="Calibri"/>
                <w:sz w:val="20"/>
                <w:szCs w:val="20"/>
              </w:rPr>
              <w:t xml:space="preserve">US energy prices +16.3%, Euro-area inflation 3.2%, October hike odds 69%</w:t>
            </w:r>
          </w:p>
        </w:tc>
        <w:tc>
          <w:tcPr>
            <w:tcW w:w="1300" w:type="dxa"/>
          </w:tcPr>
          <w:p>
            <w:pPr>
              <w:spacing w:before="40" w:after="40"/>
            </w:pPr>
            <w:r>
              <w:rPr>
                <w:rFonts w:ascii="Calibri" w:hAnsi="Calibri" w:cs="Calibri"/>
                <w:sz w:val="20"/>
                <w:szCs w:val="20"/>
              </w:rPr>
              <w:t xml:space="preserve">0:31</w:t>
            </w:r>
          </w:p>
        </w:tc>
      </w:tr>
      <w:tr>
        <w:tc>
          <w:tcPr>
            <w:tcW w:w="1900" w:type="dxa"/>
          </w:tcPr>
          <w:p>
            <w:pPr>
              <w:spacing w:before="40" w:after="40"/>
            </w:pPr>
            <w:r>
              <w:rPr>
                <w:rFonts w:ascii="Calibri" w:hAnsi="Calibri" w:cs="Calibri"/>
                <w:b/>
                <w:sz w:val="20"/>
                <w:szCs w:val="20"/>
              </w:rPr>
              <w:t xml:space="preserve">5  Xi and Trump</w:t>
            </w:r>
          </w:p>
        </w:tc>
        <w:tc>
          <w:tcPr>
            <w:tcW w:w="5800" w:type="dxa"/>
          </w:tcPr>
          <w:p>
            <w:pPr>
              <w:spacing w:before="40" w:after="40"/>
            </w:pPr>
            <w:r>
              <w:rPr>
                <w:rFonts w:ascii="Calibri" w:hAnsi="Calibri" w:cs="Calibri"/>
                <w:sz w:val="20"/>
                <w:szCs w:val="20"/>
              </w:rPr>
              <w:t xml:space="preserve">Truce now ends 10 Jan, CSI 300 4,439, Yuan fixing 6.7459</w:t>
            </w:r>
          </w:p>
        </w:tc>
        <w:tc>
          <w:tcPr>
            <w:tcW w:w="1300" w:type="dxa"/>
          </w:tcPr>
          <w:p>
            <w:pPr>
              <w:spacing w:before="40" w:after="40"/>
            </w:pPr>
            <w:r>
              <w:rPr>
                <w:rFonts w:ascii="Calibri" w:hAnsi="Calibri" w:cs="Calibri"/>
                <w:sz w:val="20"/>
                <w:szCs w:val="20"/>
              </w:rPr>
              <w:t xml:space="preserve">0:34</w:t>
            </w:r>
          </w:p>
        </w:tc>
      </w:tr>
      <w:tr>
        <w:tc>
          <w:tcPr>
            <w:tcW w:w="1900" w:type="dxa"/>
          </w:tcPr>
          <w:p>
            <w:pPr>
              <w:spacing w:before="40" w:after="40"/>
            </w:pPr>
            <w:r>
              <w:rPr>
                <w:rFonts w:ascii="Calibri" w:hAnsi="Calibri" w:cs="Calibri"/>
                <w:b/>
                <w:sz w:val="20"/>
                <w:szCs w:val="20"/>
              </w:rPr>
              <w:t xml:space="preserve">6  Portfolios</w:t>
            </w:r>
          </w:p>
        </w:tc>
        <w:tc>
          <w:tcPr>
            <w:tcW w:w="5800" w:type="dxa"/>
          </w:tcPr>
          <w:p>
            <w:pPr>
              <w:spacing w:before="40" w:after="40"/>
            </w:pPr>
            <w:r>
              <w:rPr>
                <w:rFonts w:ascii="Calibri" w:hAnsi="Calibri" w:cs="Calibri"/>
                <w:sz w:val="20"/>
                <w:szCs w:val="20"/>
              </w:rPr>
              <w:t xml:space="preserve">A 60/40 fund, Wednesday −0.97%, Long Treasuries (TLT) $79.42, Bond volatility (MOVE) 104.58</w:t>
            </w:r>
          </w:p>
        </w:tc>
        <w:tc>
          <w:tcPr>
            <w:tcW w:w="1300" w:type="dxa"/>
          </w:tcPr>
          <w:p>
            <w:pPr>
              <w:spacing w:before="40" w:after="40"/>
            </w:pPr>
            <w:r>
              <w:rPr>
                <w:rFonts w:ascii="Calibri" w:hAnsi="Calibri" w:cs="Calibri"/>
                <w:sz w:val="20"/>
                <w:szCs w:val="20"/>
              </w:rPr>
              <w:t xml:space="preserve">0:38</w:t>
            </w:r>
          </w:p>
        </w:tc>
      </w:tr>
      <w:tr>
        <w:tc>
          <w:tcPr>
            <w:tcW w:w="1900" w:type="dxa"/>
          </w:tcPr>
          <w:p>
            <w:pPr>
              <w:spacing w:before="40" w:after="40"/>
            </w:pPr>
            <w:r>
              <w:rPr>
                <w:rFonts w:ascii="Calibri" w:hAnsi="Calibri" w:cs="Calibri"/>
                <w:b/>
                <w:sz w:val="20"/>
                <w:szCs w:val="20"/>
              </w:rPr>
              <w:t xml:space="preserve">7  The Close</w:t>
            </w:r>
          </w:p>
        </w:tc>
        <w:tc>
          <w:tcPr>
            <w:tcW w:w="5800" w:type="dxa"/>
          </w:tcPr>
          <w:p>
            <w:pPr>
              <w:spacing w:before="40" w:after="40"/>
            </w:pPr>
            <w:r>
              <w:rPr>
                <w:rFonts w:ascii="Calibri" w:hAnsi="Calibri" w:cs="Calibri"/>
                <w:sz w:val="20"/>
                <w:szCs w:val="20"/>
              </w:rPr>
              <w:t xml:space="preserve">The week’s scoreboard</w:t>
            </w:r>
          </w:p>
        </w:tc>
        <w:tc>
          <w:tcPr>
            <w:tcW w:w="1300" w:type="dxa"/>
          </w:tcPr>
          <w:p>
            <w:pPr>
              <w:spacing w:before="40" w:after="40"/>
            </w:pPr>
            <w:r>
              <w:rPr>
                <w:rFonts w:ascii="Calibri" w:hAnsi="Calibri" w:cs="Calibri"/>
                <w:sz w:val="20"/>
                <w:szCs w:val="20"/>
              </w:rPr>
              <w:t xml:space="preserve">0:35</w:t>
            </w:r>
          </w:p>
        </w:tc>
      </w:tr>
      <w:tr>
        <w:tc>
          <w:tcPr>
            <w:tcW w:w="1900" w:type="dxa"/>
          </w:tcPr>
          <w:p>
            <w:pPr>
              <w:spacing w:before="40" w:after="40"/>
            </w:pPr>
            <w:r>
              <w:rPr>
                <w:rFonts w:ascii="Calibri" w:hAnsi="Calibri" w:cs="Calibri"/>
                <w:b/>
                <w:sz w:val="20"/>
                <w:szCs w:val="20"/>
              </w:rPr>
              <w:t xml:space="preserve">8  Q&amp;A</w:t>
            </w:r>
          </w:p>
        </w:tc>
        <w:tc>
          <w:tcPr>
            <w:tcW w:w="5800" w:type="dxa"/>
          </w:tcPr>
          <w:p>
            <w:pPr>
              <w:spacing w:before="40" w:after="40"/>
            </w:pPr>
            <w:r>
              <w:rPr>
                <w:rFonts w:ascii="Calibri" w:hAnsi="Calibri" w:cs="Calibri"/>
                <w:sz w:val="20"/>
                <w:szCs w:val="20"/>
              </w:rPr>
              <w:t xml:space="preserve">Questions? — the clock stops here</w:t>
            </w:r>
          </w:p>
        </w:tc>
        <w:tc>
          <w:tcPr>
            <w:tcW w:w="1300" w:type="dxa"/>
          </w:tcPr>
          <w:p>
            <w:pPr>
              <w:spacing w:before="40" w:after="40"/>
            </w:pPr>
            <w:r>
              <w:rPr>
                <w:rFonts w:ascii="Calibri" w:hAnsi="Calibri" w:cs="Calibri"/>
                <w:sz w:val="20"/>
                <w:szCs w:val="20"/>
              </w:rPr>
              <w:t xml:space="preserve">—</w:t>
            </w:r>
          </w:p>
        </w:tc>
      </w:tr>
    </w:tbl>
    <w:p>
      <w:r>
        <w:br w:type="page"/>
      </w:r>
    </w:p>
    <w:p>
      <w:pPr>
        <w:keepNext/>
        <w:spacing w:after="60"/>
      </w:pPr>
      <w:r>
        <w:rPr>
          <w:rFonts w:ascii="Georgia" w:hAnsi="Georgia" w:cs="Georgia"/>
          <w:b/>
          <w:color w:val="B90646"/>
          <w:sz w:val="36"/>
          <w:szCs w:val="36"/>
        </w:rPr>
        <w:t xml:space="preserve">1.  The set-up</w:t>
      </w:r>
      <w:r>
        <w:rPr>
          <w:rFonts w:ascii="Georgia" w:hAnsi="Georgia" w:cs="Georgia"/>
          <w:color w:val="1A1712"/>
          <w:sz w:val="28"/>
          <w:szCs w:val="28"/>
        </w:rPr>
        <w:t xml:space="preserve">  —  Three pressures</w:t>
      </w:r>
    </w:p>
    <w:p>
      <w:pPr>
        <w:pBdr>
          <w:bottom w:val="single" w:sz="6" w:space="4" w:color="D8D1C2"/>
        </w:pBdr>
        <w:spacing w:after="120"/>
      </w:pPr>
      <w:r>
        <w:rPr>
          <w:rFonts w:ascii="Calibri" w:hAnsi="Calibri" w:cs="Calibri"/>
          <w:color w:val="6B6557"/>
          <w:sz w:val="20"/>
          <w:szCs w:val="20"/>
        </w:rPr>
        <w:t xml:space="preserve">Week of 21–25 Sep  ·  about 0:43  ·  Bear</w:t>
      </w:r>
    </w:p>
    <w:p>
      <w:pPr>
        <w:spacing w:after="80"/>
      </w:pPr>
      <w:r>
        <w:rPr>
          <w:rFonts w:ascii="Calibri" w:hAnsi="Calibri" w:cs="Calibri"/>
          <w:b/>
          <w:color w:val="6B6557"/>
          <w:sz w:val="20"/>
          <w:szCs w:val="20"/>
        </w:rPr>
        <w:t xml:space="preserve">On screen: </w:t>
      </w:r>
      <w:r>
        <w:rPr>
          <w:rFonts w:ascii="Calibri" w:hAnsi="Calibri" w:cs="Calibri"/>
          <w:i/>
          <w:color w:val="6B6557"/>
          <w:sz w:val="20"/>
          <w:szCs w:val="20"/>
        </w:rPr>
        <w:t xml:space="preserve">A war in the Gulf, a two-month trade truce and a Fed hiking again — all three run through the same pipe: the US 10-year.</w:t>
      </w:r>
    </w:p>
    <w:p>
      <w:pPr>
        <w:spacing w:after="20"/>
      </w:pPr>
      <w:r>
        <w:rPr>
          <w:rFonts w:ascii="Calibri" w:hAnsi="Calibri" w:cs="Calibri"/>
          <w:color w:val="6B6557"/>
          <w:sz w:val="20"/>
          <w:szCs w:val="20"/>
        </w:rPr>
        <w:t xml:space="preserve">•  US 10-year yield  5.18%  +17bp</w:t>
      </w:r>
    </w:p>
    <w:p>
      <w:pPr>
        <w:spacing w:after="20"/>
      </w:pPr>
      <w:r>
        <w:rPr>
          <w:rFonts w:ascii="Calibri" w:hAnsi="Calibri" w:cs="Calibri"/>
          <w:color w:val="6B6557"/>
          <w:sz w:val="20"/>
          <w:szCs w:val="20"/>
        </w:rPr>
        <w:t xml:space="preserve">•  Brent crude  $106.60</w:t>
      </w:r>
    </w:p>
    <w:p>
      <w:pPr>
        <w:spacing w:after="20"/>
      </w:pPr>
      <w:r>
        <w:rPr>
          <w:rFonts w:ascii="Calibri" w:hAnsi="Calibri" w:cs="Calibri"/>
          <w:color w:val="6B6557"/>
          <w:sz w:val="20"/>
          <w:szCs w:val="20"/>
        </w:rPr>
        <w:t xml:space="preserve">•  US–China truce  10 Jan</w:t>
      </w:r>
    </w:p>
    <w:p>
      <w:pPr>
        <w:spacing w:after="20"/>
      </w:pPr>
      <w:r>
        <w:rPr>
          <w:rFonts w:ascii="Calibri" w:hAnsi="Calibri" w:cs="Calibri"/>
          <w:color w:val="6B6557"/>
          <w:sz w:val="20"/>
          <w:szCs w:val="20"/>
        </w:rPr>
        <w:t xml:space="preserve">•  Chart: Stocks held up; the hedges didn't</w:t>
      </w:r>
    </w:p>
    <w:p>
      <w:pPr>
        <w:spacing w:after="100"/>
      </w:pPr>
      <w:r>
        <w:t xml:space="preserve"/>
      </w:r>
    </w:p>
    <w:p>
      <w:pPr>
        <w:spacing w:after="200" w:line="340" w:lineRule="auto"/>
      </w:pPr>
      <w:r>
        <w:rPr>
          <w:rFonts w:ascii="Calibri" w:hAnsi="Calibri" w:cs="Calibri"/>
          <w:sz w:val="26"/>
          <w:szCs w:val="26"/>
        </w:rPr>
        <w:t xml:space="preserve">Morning everyone. This week I want to focus on one number, the US ten-year yield. It hit five point one eight per cent on Thursday, the highest since 2007.</w:t>
      </w:r>
    </w:p>
    <w:p>
      <w:pPr>
        <w:spacing w:after="120"/>
      </w:pPr>
      <w:r>
        <w:rPr>
          <w:rFonts w:ascii="Calibri" w:hAnsi="Calibri" w:cs="Calibri"/>
          <w:i/>
          <w:color w:val="6B6557"/>
          <w:sz w:val="20"/>
          <w:szCs w:val="20"/>
        </w:rPr>
        <w:t xml:space="preserve">▸ Click — the chart draws</w:t>
      </w:r>
    </w:p>
    <w:p>
      <w:pPr>
        <w:spacing w:after="200" w:line="340" w:lineRule="auto"/>
      </w:pPr>
      <w:r>
        <w:rPr>
          <w:rFonts w:ascii="Calibri" w:hAnsi="Calibri" w:cs="Calibri"/>
          <w:sz w:val="26"/>
          <w:szCs w:val="26"/>
        </w:rPr>
        <w:t xml:space="preserve">Three things are pushing it up. The war with Iran, which has oil above a hundred dollars. A trade truce with China that only got pushed out to January. And the Fed, which is raising rates again.</w:t>
      </w:r>
    </w:p>
    <w:p>
      <w:pPr>
        <w:spacing w:after="200" w:line="340" w:lineRule="auto"/>
      </w:pPr>
      <w:r>
        <w:rPr>
          <w:rFonts w:ascii="Calibri" w:hAnsi="Calibri" w:cs="Calibri"/>
          <w:sz w:val="26"/>
          <w:szCs w:val="26"/>
        </w:rPr>
        <w:t xml:space="preserve">Here's the week in one picture. Stocks did fine, the Nasdaq is up one and a half per cent. But the stuff that's meant to protect you went down. Bonds down, gold down almost three.</w:t>
      </w:r>
    </w:p>
    <w:p>
      <w:pPr>
        <w:spacing w:after="120"/>
      </w:pPr>
      <w:r>
        <w:rPr>
          <w:rFonts w:ascii="Calibri" w:hAnsi="Calibri" w:cs="Calibri"/>
          <w:i/>
          <w:color w:val="6B6557"/>
          <w:sz w:val="20"/>
          <w:szCs w:val="20"/>
        </w:rPr>
        <w:t xml:space="preserve">▸ Click — the animal runs you to the next day</w:t>
      </w:r>
    </w:p>
    <w:p>
      <w:r>
        <w:br w:type="page"/>
      </w:r>
    </w:p>
    <w:p>
      <w:pPr>
        <w:keepNext/>
        <w:spacing w:after="60"/>
      </w:pPr>
      <w:r>
        <w:rPr>
          <w:rFonts w:ascii="Georgia" w:hAnsi="Georgia" w:cs="Georgia"/>
          <w:b/>
          <w:color w:val="B90646"/>
          <w:sz w:val="36"/>
          <w:szCs w:val="36"/>
        </w:rPr>
        <w:t xml:space="preserve">2.  The 10-year</w:t>
      </w:r>
      <w:r>
        <w:rPr>
          <w:rFonts w:ascii="Georgia" w:hAnsi="Georgia" w:cs="Georgia"/>
          <w:color w:val="1A1712"/>
          <w:sz w:val="28"/>
          <w:szCs w:val="28"/>
        </w:rPr>
        <w:t xml:space="preserve">  —  Five per cent</w:t>
      </w:r>
    </w:p>
    <w:p>
      <w:pPr>
        <w:pBdr>
          <w:bottom w:val="single" w:sz="6" w:space="4" w:color="D8D1C2"/>
        </w:pBdr>
        <w:spacing w:after="120"/>
      </w:pPr>
      <w:r>
        <w:rPr>
          <w:rFonts w:ascii="Calibri" w:hAnsi="Calibri" w:cs="Calibri"/>
          <w:color w:val="6B6557"/>
          <w:sz w:val="20"/>
          <w:szCs w:val="20"/>
        </w:rPr>
        <w:t xml:space="preserve">Mon 21 – Thu 24 Sep  ·  about 0:41  ·  Bear</w:t>
      </w:r>
    </w:p>
    <w:p>
      <w:pPr>
        <w:spacing w:after="80"/>
      </w:pPr>
      <w:r>
        <w:rPr>
          <w:rFonts w:ascii="Calibri" w:hAnsi="Calibri" w:cs="Calibri"/>
          <w:b/>
          <w:color w:val="6B6557"/>
          <w:sz w:val="20"/>
          <w:szCs w:val="20"/>
        </w:rPr>
        <w:t xml:space="preserve">On screen: </w:t>
      </w:r>
      <w:r>
        <w:rPr>
          <w:rFonts w:ascii="Calibri" w:hAnsi="Calibri" w:cs="Calibri"/>
          <w:i/>
          <w:color w:val="6B6557"/>
          <w:sz w:val="20"/>
          <w:szCs w:val="20"/>
        </w:rPr>
        <w:t xml:space="preserve">The 10-year hit 5.18% on Thursday, its highest since 2007 — and almost all of the rise is real yield, not inflation fear.</w:t>
      </w:r>
    </w:p>
    <w:p>
      <w:pPr>
        <w:spacing w:after="20"/>
      </w:pPr>
      <w:r>
        <w:rPr>
          <w:rFonts w:ascii="Calibri" w:hAnsi="Calibri" w:cs="Calibri"/>
          <w:color w:val="6B6557"/>
          <w:sz w:val="20"/>
          <w:szCs w:val="20"/>
        </w:rPr>
        <w:t xml:space="preserve">•  US 10-year yield  5.18%  +7bp</w:t>
      </w:r>
    </w:p>
    <w:p>
      <w:pPr>
        <w:spacing w:after="20"/>
      </w:pPr>
      <w:r>
        <w:rPr>
          <w:rFonts w:ascii="Calibri" w:hAnsi="Calibri" w:cs="Calibri"/>
          <w:color w:val="6B6557"/>
          <w:sz w:val="20"/>
          <w:szCs w:val="20"/>
        </w:rPr>
        <w:t xml:space="preserve">•  10-year real yield  2.76%</w:t>
      </w:r>
    </w:p>
    <w:p>
      <w:pPr>
        <w:spacing w:after="20"/>
      </w:pPr>
      <w:r>
        <w:rPr>
          <w:rFonts w:ascii="Calibri" w:hAnsi="Calibri" w:cs="Calibri"/>
          <w:color w:val="6B6557"/>
          <w:sz w:val="20"/>
          <w:szCs w:val="20"/>
        </w:rPr>
        <w:t xml:space="preserve">•  5-year auction  3.1bp tail</w:t>
      </w:r>
    </w:p>
    <w:p>
      <w:pPr>
        <w:spacing w:after="20"/>
      </w:pPr>
      <w:r>
        <w:rPr>
          <w:rFonts w:ascii="Calibri" w:hAnsi="Calibri" w:cs="Calibri"/>
          <w:color w:val="6B6557"/>
          <w:sz w:val="20"/>
          <w:szCs w:val="20"/>
        </w:rPr>
        <w:t xml:space="preserve">•  Chart: US 10-year yield, month-end</w:t>
      </w:r>
    </w:p>
    <w:p>
      <w:pPr>
        <w:spacing w:after="20"/>
      </w:pPr>
      <w:r>
        <w:rPr>
          <w:rFonts w:ascii="Calibri" w:hAnsi="Calibri" w:cs="Calibri"/>
          <w:color w:val="6B6557"/>
          <w:sz w:val="20"/>
          <w:szCs w:val="20"/>
        </w:rPr>
        <w:t xml:space="preserve">•  Chart: Where the past year's rise came from</w:t>
      </w:r>
    </w:p>
    <w:p>
      <w:pPr>
        <w:spacing w:after="100"/>
      </w:pPr>
      <w:r>
        <w:t xml:space="preserve"/>
      </w:r>
    </w:p>
    <w:p>
      <w:pPr>
        <w:spacing w:after="200" w:line="340" w:lineRule="auto"/>
      </w:pPr>
      <w:r>
        <w:rPr>
          <w:rFonts w:ascii="Calibri" w:hAnsi="Calibri" w:cs="Calibri"/>
          <w:sz w:val="26"/>
          <w:szCs w:val="26"/>
        </w:rPr>
        <w:t xml:space="preserve">So the ten-year. Five point one eight per cent, up seven basis points on Thursday alone, and a full percentage point this year.</w:t>
      </w:r>
    </w:p>
    <w:p>
      <w:pPr>
        <w:spacing w:after="120"/>
      </w:pPr>
      <w:r>
        <w:rPr>
          <w:rFonts w:ascii="Calibri" w:hAnsi="Calibri" w:cs="Calibri"/>
          <w:i/>
          <w:color w:val="6B6557"/>
          <w:sz w:val="20"/>
          <w:szCs w:val="20"/>
        </w:rPr>
        <w:t xml:space="preserve">▸ Click — the first chart draws</w:t>
      </w:r>
    </w:p>
    <w:p>
      <w:pPr>
        <w:spacing w:after="200" w:line="340" w:lineRule="auto"/>
      </w:pPr>
      <w:r>
        <w:rPr>
          <w:rFonts w:ascii="Calibri" w:hAnsi="Calibri" w:cs="Calibri"/>
          <w:sz w:val="26"/>
          <w:szCs w:val="26"/>
        </w:rPr>
        <w:t xml:space="preserve">The interesting part is why. The real yield, so what you earn after inflation, went from one point seven five to two point seven six per cent in a year. That's basically the whole rise. Inflation expectations haven't moved. People just want more to lend to the US government, and on Wednesday a five-year auction had the weakest demand since 2018.</w:t>
      </w:r>
    </w:p>
    <w:p>
      <w:pPr>
        <w:spacing w:after="120"/>
      </w:pPr>
      <w:r>
        <w:rPr>
          <w:rFonts w:ascii="Calibri" w:hAnsi="Calibri" w:cs="Calibri"/>
          <w:i/>
          <w:color w:val="6B6557"/>
          <w:sz w:val="20"/>
          <w:szCs w:val="20"/>
        </w:rPr>
        <w:t xml:space="preserve">▸ Click — the second chart draws</w:t>
      </w:r>
    </w:p>
    <w:p>
      <w:pPr>
        <w:spacing w:after="200" w:line="340" w:lineRule="auto"/>
      </w:pPr>
      <w:r>
        <w:rPr>
          <w:rFonts w:ascii="Calibri" w:hAnsi="Calibri" w:cs="Calibri"/>
          <w:sz w:val="26"/>
          <w:szCs w:val="26"/>
        </w:rPr>
        <w:t xml:space="preserve">Then on Thursday a Fed official said another hike might be needed.</w:t>
      </w:r>
    </w:p>
    <w:p>
      <w:pPr>
        <w:spacing w:after="120"/>
      </w:pPr>
      <w:r>
        <w:rPr>
          <w:rFonts w:ascii="Calibri" w:hAnsi="Calibri" w:cs="Calibri"/>
          <w:i/>
          <w:color w:val="6B6557"/>
          <w:sz w:val="20"/>
          <w:szCs w:val="20"/>
        </w:rPr>
        <w:t xml:space="preserve">▸ Click — the animal runs you to the next day</w:t>
      </w:r>
    </w:p>
    <w:p>
      <w:r>
        <w:br w:type="page"/>
      </w:r>
    </w:p>
    <w:p>
      <w:pPr>
        <w:keepNext/>
        <w:spacing w:after="60"/>
      </w:pPr>
      <w:r>
        <w:rPr>
          <w:rFonts w:ascii="Georgia" w:hAnsi="Georgia" w:cs="Georgia"/>
          <w:b/>
          <w:color w:val="B90646"/>
          <w:sz w:val="36"/>
          <w:szCs w:val="36"/>
        </w:rPr>
        <w:t xml:space="preserve">3.  The war</w:t>
      </w:r>
      <w:r>
        <w:rPr>
          <w:rFonts w:ascii="Georgia" w:hAnsi="Georgia" w:cs="Georgia"/>
          <w:color w:val="1A1712"/>
          <w:sz w:val="28"/>
          <w:szCs w:val="28"/>
        </w:rPr>
        <w:t xml:space="preserve">  —  Hormuz</w:t>
      </w:r>
    </w:p>
    <w:p>
      <w:pPr>
        <w:pBdr>
          <w:bottom w:val="single" w:sz="6" w:space="4" w:color="D8D1C2"/>
        </w:pBdr>
        <w:spacing w:after="120"/>
      </w:pPr>
      <w:r>
        <w:rPr>
          <w:rFonts w:ascii="Calibri" w:hAnsi="Calibri" w:cs="Calibri"/>
          <w:color w:val="6B6557"/>
          <w:sz w:val="20"/>
          <w:szCs w:val="20"/>
        </w:rPr>
        <w:t xml:space="preserve">Since 28 Feb  ·  about 0:39  ·  Bear</w:t>
      </w:r>
    </w:p>
    <w:p>
      <w:pPr>
        <w:spacing w:after="80"/>
      </w:pPr>
      <w:r>
        <w:rPr>
          <w:rFonts w:ascii="Calibri" w:hAnsi="Calibri" w:cs="Calibri"/>
          <w:b/>
          <w:color w:val="6B6557"/>
          <w:sz w:val="20"/>
          <w:szCs w:val="20"/>
        </w:rPr>
        <w:t xml:space="preserve">On screen: </w:t>
      </w:r>
      <w:r>
        <w:rPr>
          <w:rFonts w:ascii="Calibri" w:hAnsi="Calibri" w:cs="Calibri"/>
          <w:i/>
          <w:color w:val="6B6557"/>
          <w:sz w:val="20"/>
          <w:szCs w:val="20"/>
        </w:rPr>
        <w:t xml:space="preserve">Seven months into the war with Iran, the Gulf ships little more than half its pre-war oil — and every headline from the UN moves Brent by dollars.</w:t>
      </w:r>
    </w:p>
    <w:p>
      <w:pPr>
        <w:spacing w:after="20"/>
      </w:pPr>
      <w:r>
        <w:rPr>
          <w:rFonts w:ascii="Calibri" w:hAnsi="Calibri" w:cs="Calibri"/>
          <w:color w:val="6B6557"/>
          <w:sz w:val="20"/>
          <w:szCs w:val="20"/>
        </w:rPr>
        <w:t xml:space="preserve">•  Brent crude  $106.60  +3.41%</w:t>
      </w:r>
    </w:p>
    <w:p>
      <w:pPr>
        <w:spacing w:after="20"/>
      </w:pPr>
      <w:r>
        <w:rPr>
          <w:rFonts w:ascii="Calibri" w:hAnsi="Calibri" w:cs="Calibri"/>
          <w:color w:val="6B6557"/>
          <w:sz w:val="20"/>
          <w:szCs w:val="20"/>
        </w:rPr>
        <w:t xml:space="preserve">•  Gulf crude exports  ~8–9m b/d</w:t>
      </w:r>
    </w:p>
    <w:p>
      <w:pPr>
        <w:spacing w:after="20"/>
      </w:pPr>
      <w:r>
        <w:rPr>
          <w:rFonts w:ascii="Calibri" w:hAnsi="Calibri" w:cs="Calibri"/>
          <w:color w:val="6B6557"/>
          <w:sz w:val="20"/>
          <w:szCs w:val="20"/>
        </w:rPr>
        <w:t xml:space="preserve">•  US diesel  $6.50/gal</w:t>
      </w:r>
    </w:p>
    <w:p>
      <w:pPr>
        <w:spacing w:after="20"/>
      </w:pPr>
      <w:r>
        <w:rPr>
          <w:rFonts w:ascii="Calibri" w:hAnsi="Calibri" w:cs="Calibri"/>
          <w:color w:val="6B6557"/>
          <w:sz w:val="20"/>
          <w:szCs w:val="20"/>
        </w:rPr>
        <w:t xml:space="preserve">•  Chart: Brent, monthly average</w:t>
      </w:r>
    </w:p>
    <w:p>
      <w:pPr>
        <w:spacing w:after="20"/>
      </w:pPr>
      <w:r>
        <w:rPr>
          <w:rFonts w:ascii="Calibri" w:hAnsi="Calibri" w:cs="Calibri"/>
          <w:color w:val="6B6557"/>
          <w:sz w:val="20"/>
          <w:szCs w:val="20"/>
        </w:rPr>
        <w:t xml:space="preserve">•  Chart: Brent this week</w:t>
      </w:r>
    </w:p>
    <w:p>
      <w:pPr>
        <w:spacing w:after="100"/>
      </w:pPr>
      <w:r>
        <w:t xml:space="preserve"/>
      </w:r>
    </w:p>
    <w:p>
      <w:pPr>
        <w:spacing w:after="200" w:line="340" w:lineRule="auto"/>
      </w:pPr>
      <w:r>
        <w:rPr>
          <w:rFonts w:ascii="Calibri" w:hAnsi="Calibri" w:cs="Calibri"/>
          <w:sz w:val="26"/>
          <w:szCs w:val="26"/>
        </w:rPr>
        <w:t xml:space="preserve">Behind all of this is the war, now seven months in. The Gulf is shipping eight or nine million barrels of oil a day, down from fifteen before the war.</w:t>
      </w:r>
    </w:p>
    <w:p>
      <w:pPr>
        <w:spacing w:after="120"/>
      </w:pPr>
      <w:r>
        <w:rPr>
          <w:rFonts w:ascii="Calibri" w:hAnsi="Calibri" w:cs="Calibri"/>
          <w:i/>
          <w:color w:val="6B6557"/>
          <w:sz w:val="20"/>
          <w:szCs w:val="20"/>
        </w:rPr>
        <w:t xml:space="preserve">▸ Click — the first chart draws</w:t>
      </w:r>
    </w:p>
    <w:p>
      <w:pPr>
        <w:spacing w:after="200" w:line="340" w:lineRule="auto"/>
      </w:pPr>
      <w:r>
        <w:rPr>
          <w:rFonts w:ascii="Calibri" w:hAnsi="Calibri" w:cs="Calibri"/>
          <w:sz w:val="26"/>
          <w:szCs w:val="26"/>
        </w:rPr>
        <w:t xml:space="preserve">This week oil just followed the headlines. It dropped to ninety-nine on hopes for the UN talks, jumped almost four per cent on Wednesday when they went nowhere, and another three on Thursday after attacks on Saudi Arabia. It's now at a hundred and six.</w:t>
      </w:r>
    </w:p>
    <w:p>
      <w:pPr>
        <w:spacing w:after="120"/>
      </w:pPr>
      <w:r>
        <w:rPr>
          <w:rFonts w:ascii="Calibri" w:hAnsi="Calibri" w:cs="Calibri"/>
          <w:i/>
          <w:color w:val="6B6557"/>
          <w:sz w:val="20"/>
          <w:szCs w:val="20"/>
        </w:rPr>
        <w:t xml:space="preserve">▸ Click — the second chart draws</w:t>
      </w:r>
    </w:p>
    <w:p>
      <w:pPr>
        <w:spacing w:after="200" w:line="340" w:lineRule="auto"/>
      </w:pPr>
      <w:r>
        <w:rPr>
          <w:rFonts w:ascii="Calibri" w:hAnsi="Calibri" w:cs="Calibri"/>
          <w:sz w:val="26"/>
          <w:szCs w:val="26"/>
        </w:rPr>
        <w:t xml:space="preserve">Iran has offered a sixty-day ceasefire, and Trump says a deal could come after the midterms.</w:t>
      </w:r>
    </w:p>
    <w:p>
      <w:pPr>
        <w:spacing w:after="120"/>
      </w:pPr>
      <w:r>
        <w:rPr>
          <w:rFonts w:ascii="Calibri" w:hAnsi="Calibri" w:cs="Calibri"/>
          <w:i/>
          <w:color w:val="6B6557"/>
          <w:sz w:val="20"/>
          <w:szCs w:val="20"/>
        </w:rPr>
        <w:t xml:space="preserve">▸ Click — the animal runs you to the next day</w:t>
      </w:r>
    </w:p>
    <w:p>
      <w:r>
        <w:br w:type="page"/>
      </w:r>
    </w:p>
    <w:p>
      <w:pPr>
        <w:keepNext/>
        <w:spacing w:after="60"/>
      </w:pPr>
      <w:r>
        <w:rPr>
          <w:rFonts w:ascii="Georgia" w:hAnsi="Georgia" w:cs="Georgia"/>
          <w:b/>
          <w:color w:val="B90646"/>
          <w:sz w:val="36"/>
          <w:szCs w:val="36"/>
        </w:rPr>
        <w:t xml:space="preserve">4.  Oil to rates</w:t>
      </w:r>
      <w:r>
        <w:rPr>
          <w:rFonts w:ascii="Georgia" w:hAnsi="Georgia" w:cs="Georgia"/>
          <w:color w:val="1A1712"/>
          <w:sz w:val="28"/>
          <w:szCs w:val="28"/>
        </w:rPr>
        <w:t xml:space="preserve">  —  The transmission</w:t>
      </w:r>
    </w:p>
    <w:p>
      <w:pPr>
        <w:pBdr>
          <w:bottom w:val="single" w:sz="6" w:space="4" w:color="D8D1C2"/>
        </w:pBdr>
        <w:spacing w:after="120"/>
      </w:pPr>
      <w:r>
        <w:rPr>
          <w:rFonts w:ascii="Calibri" w:hAnsi="Calibri" w:cs="Calibri"/>
          <w:color w:val="6B6557"/>
          <w:sz w:val="20"/>
          <w:szCs w:val="20"/>
        </w:rPr>
        <w:t xml:space="preserve">Latest prints  ·  about 0:31  ·  Bear</w:t>
      </w:r>
    </w:p>
    <w:p>
      <w:pPr>
        <w:spacing w:after="80"/>
      </w:pPr>
      <w:r>
        <w:rPr>
          <w:rFonts w:ascii="Calibri" w:hAnsi="Calibri" w:cs="Calibri"/>
          <w:b/>
          <w:color w:val="6B6557"/>
          <w:sz w:val="20"/>
          <w:szCs w:val="20"/>
        </w:rPr>
        <w:t xml:space="preserve">On screen: </w:t>
      </w:r>
      <w:r>
        <w:rPr>
          <w:rFonts w:ascii="Calibri" w:hAnsi="Calibri" w:cs="Calibri"/>
          <w:i/>
          <w:color w:val="6B6557"/>
          <w:sz w:val="20"/>
          <w:szCs w:val="20"/>
        </w:rPr>
        <w:t xml:space="preserve">Oil is feeding straight into inflation on both sides of the Atlantic — which is why the Fed hiked, and why markets expect it to go again.</w:t>
      </w:r>
    </w:p>
    <w:p>
      <w:pPr>
        <w:spacing w:after="20"/>
      </w:pPr>
      <w:r>
        <w:rPr>
          <w:rFonts w:ascii="Calibri" w:hAnsi="Calibri" w:cs="Calibri"/>
          <w:color w:val="6B6557"/>
          <w:sz w:val="20"/>
          <w:szCs w:val="20"/>
        </w:rPr>
        <w:t xml:space="preserve">•  US energy prices  +16.3%</w:t>
      </w:r>
    </w:p>
    <w:p>
      <w:pPr>
        <w:spacing w:after="20"/>
      </w:pPr>
      <w:r>
        <w:rPr>
          <w:rFonts w:ascii="Calibri" w:hAnsi="Calibri" w:cs="Calibri"/>
          <w:color w:val="6B6557"/>
          <w:sz w:val="20"/>
          <w:szCs w:val="20"/>
        </w:rPr>
        <w:t xml:space="preserve">•  Euro-area inflation  3.2%</w:t>
      </w:r>
    </w:p>
    <w:p>
      <w:pPr>
        <w:spacing w:after="20"/>
      </w:pPr>
      <w:r>
        <w:rPr>
          <w:rFonts w:ascii="Calibri" w:hAnsi="Calibri" w:cs="Calibri"/>
          <w:color w:val="6B6557"/>
          <w:sz w:val="20"/>
          <w:szCs w:val="20"/>
        </w:rPr>
        <w:t xml:space="preserve">•  October hike odds  69%</w:t>
      </w:r>
    </w:p>
    <w:p>
      <w:pPr>
        <w:spacing w:after="20"/>
      </w:pPr>
      <w:r>
        <w:rPr>
          <w:rFonts w:ascii="Calibri" w:hAnsi="Calibri" w:cs="Calibri"/>
          <w:color w:val="6B6557"/>
          <w:sz w:val="20"/>
          <w:szCs w:val="20"/>
        </w:rPr>
        <w:t xml:space="preserve">•  Chart: Inflation against the 2% target</w:t>
      </w:r>
    </w:p>
    <w:p>
      <w:pPr>
        <w:spacing w:after="100"/>
      </w:pPr>
      <w:r>
        <w:t xml:space="preserve"/>
      </w:r>
    </w:p>
    <w:p>
      <w:pPr>
        <w:spacing w:after="200" w:line="340" w:lineRule="auto"/>
      </w:pPr>
      <w:r>
        <w:rPr>
          <w:rFonts w:ascii="Calibri" w:hAnsi="Calibri" w:cs="Calibri"/>
          <w:sz w:val="26"/>
          <w:szCs w:val="26"/>
        </w:rPr>
        <w:t xml:space="preserve">So how does a war push yields to five per cent? Through inflation. US energy prices are up sixteen per cent on last year, and petrol twenty-seven. Inflation is three point four per cent in the US and three point two in Europe.</w:t>
      </w:r>
    </w:p>
    <w:p>
      <w:pPr>
        <w:spacing w:after="120"/>
      </w:pPr>
      <w:r>
        <w:rPr>
          <w:rFonts w:ascii="Calibri" w:hAnsi="Calibri" w:cs="Calibri"/>
          <w:i/>
          <w:color w:val="6B6557"/>
          <w:sz w:val="20"/>
          <w:szCs w:val="20"/>
        </w:rPr>
        <w:t xml:space="preserve">▸ Click — the chart draws</w:t>
      </w:r>
    </w:p>
    <w:p>
      <w:pPr>
        <w:spacing w:after="200" w:line="340" w:lineRule="auto"/>
      </w:pPr>
      <w:r>
        <w:rPr>
          <w:rFonts w:ascii="Calibri" w:hAnsi="Calibri" w:cs="Calibri"/>
          <w:sz w:val="26"/>
          <w:szCs w:val="26"/>
        </w:rPr>
        <w:t xml:space="preserve">That's well above the two per cent target. So the Fed hiked on the sixteenth, and markets see about a seventy per cent chance of another hike in October.</w:t>
      </w:r>
    </w:p>
    <w:p>
      <w:pPr>
        <w:spacing w:after="120"/>
      </w:pPr>
      <w:r>
        <w:rPr>
          <w:rFonts w:ascii="Calibri" w:hAnsi="Calibri" w:cs="Calibri"/>
          <w:i/>
          <w:color w:val="6B6557"/>
          <w:sz w:val="20"/>
          <w:szCs w:val="20"/>
        </w:rPr>
        <w:t xml:space="preserve">▸ Click — the animal runs you to the next day</w:t>
      </w:r>
    </w:p>
    <w:p>
      <w:r>
        <w:br w:type="page"/>
      </w:r>
    </w:p>
    <w:p>
      <w:pPr>
        <w:keepNext/>
        <w:spacing w:after="60"/>
      </w:pPr>
      <w:r>
        <w:rPr>
          <w:rFonts w:ascii="Georgia" w:hAnsi="Georgia" w:cs="Georgia"/>
          <w:b/>
          <w:color w:val="B90646"/>
          <w:sz w:val="36"/>
          <w:szCs w:val="36"/>
        </w:rPr>
        <w:t xml:space="preserve">5.  Xi and Trump</w:t>
      </w:r>
      <w:r>
        <w:rPr>
          <w:rFonts w:ascii="Georgia" w:hAnsi="Georgia" w:cs="Georgia"/>
          <w:color w:val="1A1712"/>
          <w:sz w:val="28"/>
          <w:szCs w:val="28"/>
        </w:rPr>
        <w:t xml:space="preserve">  —  A short truce</w:t>
      </w:r>
    </w:p>
    <w:p>
      <w:pPr>
        <w:pBdr>
          <w:bottom w:val="single" w:sz="6" w:space="4" w:color="D8D1C2"/>
        </w:pBdr>
        <w:spacing w:after="120"/>
      </w:pPr>
      <w:r>
        <w:rPr>
          <w:rFonts w:ascii="Calibri" w:hAnsi="Calibri" w:cs="Calibri"/>
          <w:color w:val="6B6557"/>
          <w:sz w:val="20"/>
          <w:szCs w:val="20"/>
        </w:rPr>
        <w:t xml:space="preserve">Wed 23 – Fri 25 Sep  ·  about 0:34  ·  Bull lean  ·  Summit readouts due Friday</w:t>
      </w:r>
    </w:p>
    <w:p>
      <w:pPr>
        <w:spacing w:after="80"/>
      </w:pPr>
      <w:r>
        <w:rPr>
          <w:rFonts w:ascii="Calibri" w:hAnsi="Calibri" w:cs="Calibri"/>
          <w:b/>
          <w:color w:val="6B6557"/>
          <w:sz w:val="20"/>
          <w:szCs w:val="20"/>
        </w:rPr>
        <w:t xml:space="preserve">On screen: </w:t>
      </w:r>
      <w:r>
        <w:rPr>
          <w:rFonts w:ascii="Calibri" w:hAnsi="Calibri" w:cs="Calibri"/>
          <w:i/>
          <w:color w:val="6B6557"/>
          <w:sz w:val="20"/>
          <w:szCs w:val="20"/>
        </w:rPr>
        <w:t xml:space="preserve">The summit kept the peace but bought only two months: the truce now runs to 10 January, short of the three to six months markets hoped for.</w:t>
      </w:r>
    </w:p>
    <w:p>
      <w:pPr>
        <w:spacing w:after="20"/>
      </w:pPr>
      <w:r>
        <w:rPr>
          <w:rFonts w:ascii="Calibri" w:hAnsi="Calibri" w:cs="Calibri"/>
          <w:color w:val="6B6557"/>
          <w:sz w:val="20"/>
          <w:szCs w:val="20"/>
        </w:rPr>
        <w:t xml:space="preserve">•  Truce now ends  10 Jan</w:t>
      </w:r>
    </w:p>
    <w:p>
      <w:pPr>
        <w:spacing w:after="20"/>
      </w:pPr>
      <w:r>
        <w:rPr>
          <w:rFonts w:ascii="Calibri" w:hAnsi="Calibri" w:cs="Calibri"/>
          <w:color w:val="6B6557"/>
          <w:sz w:val="20"/>
          <w:szCs w:val="20"/>
        </w:rPr>
        <w:t xml:space="preserve">•  CSI 300  4,439  -1.73%</w:t>
      </w:r>
    </w:p>
    <w:p>
      <w:pPr>
        <w:spacing w:after="20"/>
      </w:pPr>
      <w:r>
        <w:rPr>
          <w:rFonts w:ascii="Calibri" w:hAnsi="Calibri" w:cs="Calibri"/>
          <w:color w:val="6B6557"/>
          <w:sz w:val="20"/>
          <w:szCs w:val="20"/>
        </w:rPr>
        <w:t xml:space="preserve">•  Yuan fixing  6.7459</w:t>
      </w:r>
    </w:p>
    <w:p>
      <w:pPr>
        <w:spacing w:after="20"/>
      </w:pPr>
      <w:r>
        <w:rPr>
          <w:rFonts w:ascii="Calibri" w:hAnsi="Calibri" w:cs="Calibri"/>
          <w:color w:val="6B6557"/>
          <w:sz w:val="20"/>
          <w:szCs w:val="20"/>
        </w:rPr>
        <w:t xml:space="preserve">•  Chart: China and Hong Kong stocks, rebased</w:t>
      </w:r>
    </w:p>
    <w:p>
      <w:pPr>
        <w:spacing w:after="100"/>
      </w:pPr>
      <w:r>
        <w:t xml:space="preserve"/>
      </w:r>
    </w:p>
    <w:p>
      <w:pPr>
        <w:spacing w:after="200" w:line="340" w:lineRule="auto"/>
      </w:pPr>
      <w:r>
        <w:rPr>
          <w:rFonts w:ascii="Calibri" w:hAnsi="Calibri" w:cs="Calibri"/>
          <w:sz w:val="26"/>
          <w:szCs w:val="26"/>
        </w:rPr>
        <w:t xml:space="preserve">China is the one good story this week, so this is where the bull wins. Xi met Trump on Thursday, and the trade truce now runs to the tenth of January instead of November, so it gets past the midterms. The Chinese currency is at its strongest since early 2023.</w:t>
      </w:r>
    </w:p>
    <w:p>
      <w:pPr>
        <w:spacing w:after="120"/>
      </w:pPr>
      <w:r>
        <w:rPr>
          <w:rFonts w:ascii="Calibri" w:hAnsi="Calibri" w:cs="Calibri"/>
          <w:i/>
          <w:color w:val="6B6557"/>
          <w:sz w:val="20"/>
          <w:szCs w:val="20"/>
        </w:rPr>
        <w:t xml:space="preserve">▸ Click — the chart draws</w:t>
      </w:r>
    </w:p>
    <w:p>
      <w:pPr>
        <w:spacing w:after="200" w:line="340" w:lineRule="auto"/>
      </w:pPr>
      <w:r>
        <w:rPr>
          <w:rFonts w:ascii="Calibri" w:hAnsi="Calibri" w:cs="Calibri"/>
          <w:sz w:val="26"/>
          <w:szCs w:val="26"/>
        </w:rPr>
        <w:t xml:space="preserve">The downside is two months is less than markets wanted. Chinese stocks fell almost two per cent on Thursday. China's closed today, so we'll see the real reaction on Monday.</w:t>
      </w:r>
    </w:p>
    <w:p>
      <w:pPr>
        <w:spacing w:after="120"/>
      </w:pPr>
      <w:r>
        <w:rPr>
          <w:rFonts w:ascii="Calibri" w:hAnsi="Calibri" w:cs="Calibri"/>
          <w:i/>
          <w:color w:val="6B6557"/>
          <w:sz w:val="20"/>
          <w:szCs w:val="20"/>
        </w:rPr>
        <w:t xml:space="preserve">▸ Click — the animal runs you to the next day</w:t>
      </w:r>
    </w:p>
    <w:p>
      <w:r>
        <w:br w:type="page"/>
      </w:r>
    </w:p>
    <w:p>
      <w:pPr>
        <w:keepNext/>
        <w:spacing w:after="60"/>
      </w:pPr>
      <w:r>
        <w:rPr>
          <w:rFonts w:ascii="Georgia" w:hAnsi="Georgia" w:cs="Georgia"/>
          <w:b/>
          <w:color w:val="B90646"/>
          <w:sz w:val="36"/>
          <w:szCs w:val="36"/>
        </w:rPr>
        <w:t xml:space="preserve">6.  Portfolios</w:t>
      </w:r>
      <w:r>
        <w:rPr>
          <w:rFonts w:ascii="Georgia" w:hAnsi="Georgia" w:cs="Georgia"/>
          <w:color w:val="1A1712"/>
          <w:sz w:val="28"/>
          <w:szCs w:val="28"/>
        </w:rPr>
        <w:t xml:space="preserve">  —  Nowhere to hide</w:t>
      </w:r>
    </w:p>
    <w:p>
      <w:pPr>
        <w:pBdr>
          <w:bottom w:val="single" w:sz="6" w:space="4" w:color="D8D1C2"/>
        </w:pBdr>
        <w:spacing w:after="120"/>
      </w:pPr>
      <w:r>
        <w:rPr>
          <w:rFonts w:ascii="Calibri" w:hAnsi="Calibri" w:cs="Calibri"/>
          <w:color w:val="6B6557"/>
          <w:sz w:val="20"/>
          <w:szCs w:val="20"/>
        </w:rPr>
        <w:t xml:space="preserve">Wed 23 – Thu 24 Sep  ·  about 0:38  ·  Bear</w:t>
      </w:r>
    </w:p>
    <w:p>
      <w:pPr>
        <w:spacing w:after="80"/>
      </w:pPr>
      <w:r>
        <w:rPr>
          <w:rFonts w:ascii="Calibri" w:hAnsi="Calibri" w:cs="Calibri"/>
          <w:b/>
          <w:color w:val="6B6557"/>
          <w:sz w:val="20"/>
          <w:szCs w:val="20"/>
        </w:rPr>
        <w:t xml:space="preserve">On screen: </w:t>
      </w:r>
      <w:r>
        <w:rPr>
          <w:rFonts w:ascii="Calibri" w:hAnsi="Calibri" w:cs="Calibri"/>
          <w:i/>
          <w:color w:val="6B6557"/>
          <w:sz w:val="20"/>
          <w:szCs w:val="20"/>
        </w:rPr>
        <w:t xml:space="preserve">Wednesday is the day to remember: stocks, bonds and gold all fell together, and the usual hedges did not hedge.</w:t>
      </w:r>
    </w:p>
    <w:p>
      <w:pPr>
        <w:spacing w:after="20"/>
      </w:pPr>
      <w:r>
        <w:rPr>
          <w:rFonts w:ascii="Calibri" w:hAnsi="Calibri" w:cs="Calibri"/>
          <w:color w:val="6B6557"/>
          <w:sz w:val="20"/>
          <w:szCs w:val="20"/>
        </w:rPr>
        <w:t xml:space="preserve">•  A 60/40 fund, Wednesday  −0.97%</w:t>
      </w:r>
    </w:p>
    <w:p>
      <w:pPr>
        <w:spacing w:after="20"/>
      </w:pPr>
      <w:r>
        <w:rPr>
          <w:rFonts w:ascii="Calibri" w:hAnsi="Calibri" w:cs="Calibri"/>
          <w:color w:val="6B6557"/>
          <w:sz w:val="20"/>
          <w:szCs w:val="20"/>
        </w:rPr>
        <w:t xml:space="preserve">•  Long Treasuries (TLT)  $79.42  -1.29%</w:t>
      </w:r>
    </w:p>
    <w:p>
      <w:pPr>
        <w:spacing w:after="20"/>
      </w:pPr>
      <w:r>
        <w:rPr>
          <w:rFonts w:ascii="Calibri" w:hAnsi="Calibri" w:cs="Calibri"/>
          <w:color w:val="6B6557"/>
          <w:sz w:val="20"/>
          <w:szCs w:val="20"/>
        </w:rPr>
        <w:t xml:space="preserve">•  Bond volatility (MOVE)  104.58  +29.7%</w:t>
      </w:r>
    </w:p>
    <w:p>
      <w:pPr>
        <w:spacing w:after="20"/>
      </w:pPr>
      <w:r>
        <w:rPr>
          <w:rFonts w:ascii="Calibri" w:hAnsi="Calibri" w:cs="Calibri"/>
          <w:color w:val="6B6557"/>
          <w:sz w:val="20"/>
          <w:szCs w:val="20"/>
        </w:rPr>
        <w:t xml:space="preserve">•  Chart: Wednesday 23 Sep: everything fell</w:t>
      </w:r>
    </w:p>
    <w:p>
      <w:pPr>
        <w:spacing w:after="20"/>
      </w:pPr>
      <w:r>
        <w:rPr>
          <w:rFonts w:ascii="Calibri" w:hAnsi="Calibri" w:cs="Calibri"/>
          <w:color w:val="6B6557"/>
          <w:sz w:val="20"/>
          <w:szCs w:val="20"/>
        </w:rPr>
        <w:t xml:space="preserve">•  Chart: Sectors this week: AI up, rate-sensitives down</w:t>
      </w:r>
    </w:p>
    <w:p>
      <w:pPr>
        <w:spacing w:after="100"/>
      </w:pPr>
      <w:r>
        <w:t xml:space="preserve"/>
      </w:r>
    </w:p>
    <w:p>
      <w:pPr>
        <w:spacing w:after="200" w:line="340" w:lineRule="auto"/>
      </w:pPr>
      <w:r>
        <w:rPr>
          <w:rFonts w:ascii="Calibri" w:hAnsi="Calibri" w:cs="Calibri"/>
          <w:sz w:val="26"/>
          <w:szCs w:val="26"/>
        </w:rPr>
        <w:t xml:space="preserve">So what does this mean for portfolios? Wednesday was the big day, because everything fell at once. Stocks, gold, and long US bonds, which fell one and a half per cent to a record low. A normal sixty-forty portfolio lost almost one per cent in a day.</w:t>
      </w:r>
    </w:p>
    <w:p>
      <w:pPr>
        <w:spacing w:after="120"/>
      </w:pPr>
      <w:r>
        <w:rPr>
          <w:rFonts w:ascii="Calibri" w:hAnsi="Calibri" w:cs="Calibri"/>
          <w:i/>
          <w:color w:val="6B6557"/>
          <w:sz w:val="20"/>
          <w:szCs w:val="20"/>
        </w:rPr>
        <w:t xml:space="preserve">▸ Click — the first chart draws</w:t>
      </w:r>
    </w:p>
    <w:p>
      <w:pPr>
        <w:spacing w:after="200" w:line="340" w:lineRule="auto"/>
      </w:pPr>
      <w:r>
        <w:rPr>
          <w:rFonts w:ascii="Calibri" w:hAnsi="Calibri" w:cs="Calibri"/>
          <w:sz w:val="26"/>
          <w:szCs w:val="26"/>
        </w:rPr>
        <w:t xml:space="preserve">Utilities are down four per cent this week, and real estate, banks and energy two to three. Tech is the one bright spot, up almost three. So bonds going up when stocks go down, that doesn't work when inflation is the problem.</w:t>
      </w:r>
    </w:p>
    <w:p>
      <w:pPr>
        <w:spacing w:after="120"/>
      </w:pPr>
      <w:r>
        <w:rPr>
          <w:rFonts w:ascii="Calibri" w:hAnsi="Calibri" w:cs="Calibri"/>
          <w:i/>
          <w:color w:val="6B6557"/>
          <w:sz w:val="20"/>
          <w:szCs w:val="20"/>
        </w:rPr>
        <w:t xml:space="preserve">▸ Click — the second chart draws</w:t>
      </w:r>
    </w:p>
    <w:p>
      <w:pPr>
        <w:spacing w:after="120"/>
      </w:pPr>
      <w:r>
        <w:rPr>
          <w:rFonts w:ascii="Calibri" w:hAnsi="Calibri" w:cs="Calibri"/>
          <w:i/>
          <w:color w:val="6B6557"/>
          <w:sz w:val="20"/>
          <w:szCs w:val="20"/>
        </w:rPr>
        <w:t xml:space="preserve">▸ Click — the animal runs you to the next day</w:t>
      </w:r>
    </w:p>
    <w:p>
      <w:r>
        <w:br w:type="page"/>
      </w:r>
    </w:p>
    <w:p>
      <w:pPr>
        <w:keepNext/>
        <w:spacing w:after="60"/>
      </w:pPr>
      <w:r>
        <w:rPr>
          <w:rFonts w:ascii="Georgia" w:hAnsi="Georgia" w:cs="Georgia"/>
          <w:b/>
          <w:color w:val="B90646"/>
          <w:sz w:val="36"/>
          <w:szCs w:val="36"/>
        </w:rPr>
        <w:t xml:space="preserve">7.  The Close</w:t>
      </w:r>
      <w:r>
        <w:rPr>
          <w:rFonts w:ascii="Georgia" w:hAnsi="Georgia" w:cs="Georgia"/>
          <w:color w:val="1A1712"/>
          <w:sz w:val="28"/>
          <w:szCs w:val="28"/>
        </w:rPr>
        <w:t xml:space="preserve">  —  What to watch</w:t>
      </w:r>
    </w:p>
    <w:p>
      <w:pPr>
        <w:pBdr>
          <w:bottom w:val="single" w:sz="6" w:space="4" w:color="D8D1C2"/>
        </w:pBdr>
        <w:spacing w:after="120"/>
      </w:pPr>
      <w:r>
        <w:rPr>
          <w:rFonts w:ascii="Calibri" w:hAnsi="Calibri" w:cs="Calibri"/>
          <w:color w:val="6B6557"/>
          <w:sz w:val="20"/>
          <w:szCs w:val="20"/>
        </w:rPr>
        <w:t xml:space="preserve">Fri 18 Sep → latest close  ·  about 0:35  ·  Bear lean  ·  Closes to Thursday · Friday to come</w:t>
      </w:r>
    </w:p>
    <w:p>
      <w:pPr>
        <w:spacing w:after="80"/>
      </w:pPr>
      <w:r>
        <w:rPr>
          <w:rFonts w:ascii="Calibri" w:hAnsi="Calibri" w:cs="Calibri"/>
          <w:b/>
          <w:color w:val="6B6557"/>
          <w:sz w:val="20"/>
          <w:szCs w:val="20"/>
        </w:rPr>
        <w:t xml:space="preserve">On screen: </w:t>
      </w:r>
      <w:r>
        <w:rPr>
          <w:rFonts w:ascii="Calibri" w:hAnsi="Calibri" w:cs="Calibri"/>
          <w:i/>
          <w:color w:val="6B6557"/>
          <w:sz w:val="20"/>
          <w:szCs w:val="20"/>
        </w:rPr>
        <w:t xml:space="preserve">Watch four dates: US inflation on 30 Sep, the Fed on 27–28 Oct, the midterms on 3 Nov, the truce on 10 Jan — and Hormuz.</w:t>
      </w:r>
    </w:p>
    <w:p>
      <w:pPr>
        <w:spacing w:after="100"/>
      </w:pPr>
      <w:r>
        <w:t xml:space="preserve"/>
      </w:r>
    </w:p>
    <w:p>
      <w:pPr>
        <w:spacing w:after="200" w:line="340" w:lineRule="auto"/>
      </w:pPr>
      <w:r>
        <w:rPr>
          <w:rFonts w:ascii="Calibri" w:hAnsi="Calibri" w:cs="Calibri"/>
          <w:sz w:val="26"/>
          <w:szCs w:val="26"/>
        </w:rPr>
        <w:t xml:space="preserve">Here's the scoreboard from last Friday. The Nasdaq is up one point six, the S&amp;P point seven. But long bonds are down over two, and gold almost three. Rates won the week, so if you picked bear, you got it right.</w:t>
      </w:r>
    </w:p>
    <w:p>
      <w:pPr>
        <w:spacing w:after="120"/>
      </w:pPr>
      <w:r>
        <w:rPr>
          <w:rFonts w:ascii="Calibri" w:hAnsi="Calibri" w:cs="Calibri"/>
          <w:i/>
          <w:color w:val="6B6557"/>
          <w:sz w:val="20"/>
          <w:szCs w:val="20"/>
        </w:rPr>
        <w:t xml:space="preserve">▸ Click — the scoreboard fills in</w:t>
      </w:r>
    </w:p>
    <w:p>
      <w:pPr>
        <w:spacing w:after="200" w:line="340" w:lineRule="auto"/>
      </w:pPr>
      <w:r>
        <w:rPr>
          <w:rFonts w:ascii="Calibri" w:hAnsi="Calibri" w:cs="Calibri"/>
          <w:sz w:val="26"/>
          <w:szCs w:val="26"/>
        </w:rPr>
        <w:t xml:space="preserve">What to watch next: US inflation on the thirtieth, the Fed in October, the midterms on the third of November, the truce ending on the tenth of January, and Hormuz. Until one of those changes, yields are probably staying high.</w:t>
      </w:r>
    </w:p>
    <w:p>
      <w:pPr>
        <w:spacing w:after="120"/>
      </w:pPr>
      <w:r>
        <w:rPr>
          <w:rFonts w:ascii="Calibri" w:hAnsi="Calibri" w:cs="Calibri"/>
          <w:i/>
          <w:color w:val="6B6557"/>
          <w:sz w:val="20"/>
          <w:szCs w:val="20"/>
        </w:rPr>
        <w:t xml:space="preserve">▸ Click — on to the Questions page</w:t>
      </w:r>
    </w:p>
    <w:p>
      <w:r>
        <w:br w:type="page"/>
      </w:r>
    </w:p>
    <w:p>
      <w:pPr>
        <w:keepNext/>
        <w:spacing w:after="60"/>
      </w:pPr>
      <w:r>
        <w:rPr>
          <w:rFonts w:ascii="Georgia" w:hAnsi="Georgia" w:cs="Georgia"/>
          <w:b/>
          <w:color w:val="B90646"/>
          <w:sz w:val="36"/>
          <w:szCs w:val="36"/>
        </w:rPr>
        <w:t xml:space="preserve">8.  Questions</w:t>
      </w:r>
    </w:p>
    <w:p>
      <w:pPr>
        <w:pBdr>
          <w:bottom w:val="single" w:sz="6" w:space="4" w:color="D8D1C2"/>
        </w:pBdr>
        <w:spacing w:after="120"/>
      </w:pPr>
      <w:r>
        <w:rPr>
          <w:rFonts w:ascii="Calibri" w:hAnsi="Calibri" w:cs="Calibri"/>
          <w:color w:val="6B6557"/>
          <w:sz w:val="20"/>
          <w:szCs w:val="20"/>
        </w:rPr>
        <w:t xml:space="preserve">The clock stops when this page comes up. Say:</w:t>
      </w:r>
    </w:p>
    <w:p>
      <w:pPr>
        <w:spacing w:after="240" w:line="340" w:lineRule="auto"/>
      </w:pPr>
      <w:r>
        <w:rPr>
          <w:rFonts w:ascii="Calibri" w:hAnsi="Calibri" w:cs="Calibri"/>
          <w:sz w:val="26"/>
          <w:szCs w:val="26"/>
        </w:rPr>
        <w:t xml:space="preserve">“That’s the week. Happy to take any questions.”</w:t>
      </w:r>
    </w:p>
    <w:p>
      <w:pPr>
        <w:spacing w:after="160"/>
      </w:pPr>
      <w:r>
        <w:rPr>
          <w:rFonts w:ascii="Calibri" w:hAnsi="Calibri" w:cs="Calibri"/>
          <w:sz w:val="22"/>
          <w:szCs w:val="22"/>
        </w:rPr>
        <w:t xml:space="preserve">If the room is quiet, these are on the screen as prompts. Facts to draw on for each:</w:t>
      </w:r>
    </w:p>
    <w:p>
      <w:pPr>
        <w:keepNext/>
        <w:spacing w:after="80"/>
      </w:pPr>
      <w:r>
        <w:rPr>
          <w:rFonts w:ascii="Georgia" w:hAnsi="Georgia" w:cs="Georgia"/>
          <w:b/>
          <w:color w:val="1A1712"/>
          <w:sz w:val="24"/>
          <w:szCs w:val="24"/>
        </w:rPr>
        <w:t xml:space="preserve">Is 5% on the ten-year the top, or is there more to come?</w:t>
      </w:r>
    </w:p>
    <w:p>
      <w:pPr>
        <w:spacing w:after="60" w:line="300" w:lineRule="auto"/>
      </w:pPr>
      <w:r>
        <w:rPr>
          <w:rFonts w:ascii="Calibri" w:hAnsi="Calibri" w:cs="Calibri"/>
          <w:sz w:val="22"/>
          <w:szCs w:val="22"/>
        </w:rPr>
        <w:t xml:space="preserve">•  16 of the Fed's 18 officials expect at least one more hike this year (Fed projections, 16 Sep).</w:t>
      </w:r>
    </w:p>
    <w:p>
      <w:pPr>
        <w:spacing w:after="60" w:line="300" w:lineRule="auto"/>
      </w:pPr>
      <w:r>
        <w:rPr>
          <w:rFonts w:ascii="Calibri" w:hAnsi="Calibri" w:cs="Calibri"/>
          <w:sz w:val="22"/>
          <w:szCs w:val="22"/>
        </w:rPr>
        <w:t xml:space="preserve">•  The next Fed meeting is 27–28 October; markets put the odds of a hike there at about 69% (CME FedWatch via Yahoo, 24 Sep).</w:t>
      </w:r>
    </w:p>
    <w:p>
      <w:pPr>
        <w:spacing w:after="60" w:line="300" w:lineRule="auto"/>
      </w:pPr>
      <w:r>
        <w:rPr>
          <w:rFonts w:ascii="Calibri" w:hAnsi="Calibri" w:cs="Calibri"/>
          <w:sz w:val="22"/>
          <w:szCs w:val="22"/>
        </w:rPr>
        <w:t xml:space="preserve">•  Wednesday's $70bn five-year auction tailed 3.1bp, with the weakest bid-to-cover since December 2018 (investingLive; TFTC, 23 Sep).</w:t>
      </w:r>
    </w:p>
    <w:p>
      <w:pPr>
        <w:spacing w:after="60" w:line="300" w:lineRule="auto"/>
      </w:pPr>
      <w:r>
        <w:rPr>
          <w:rFonts w:ascii="Calibri" w:hAnsi="Calibri" w:cs="Calibri"/>
          <w:sz w:val="22"/>
          <w:szCs w:val="22"/>
        </w:rPr>
        <w:t xml:space="preserve">•  The past year’s rise is almost all real yield: the 10-year TIPS yield went from 1.75% to 2.76% while inflation expectations stayed flat (US Treasury, FRED).</w:t>
      </w:r>
    </w:p>
    <w:p>
      <w:pPr>
        <w:spacing w:after="60" w:line="300" w:lineRule="auto"/>
      </w:pPr>
      <w:r>
        <w:rPr>
          <w:rFonts w:ascii="Calibri" w:hAnsi="Calibri" w:cs="Calibri"/>
          <w:sz w:val="22"/>
          <w:szCs w:val="22"/>
        </w:rPr>
        <w:t xml:space="preserve">•  The 100bp is this calendar year (4.18% at the end of 2025 to 5.18%); the right-hand chart's 99bp is the twelve months to Wednesday 23 Sep, the latest real-yield data two sources agree on.</w:t>
      </w:r>
    </w:p>
    <w:p>
      <w:pPr>
        <w:spacing w:after="80"/>
      </w:pPr>
      <w:r>
        <w:t xml:space="preserve"/>
      </w:r>
    </w:p>
    <w:p>
      <w:pPr>
        <w:keepNext/>
        <w:spacing w:after="80"/>
      </w:pPr>
      <w:r>
        <w:rPr>
          <w:rFonts w:ascii="Georgia" w:hAnsi="Georgia" w:cs="Georgia"/>
          <w:b/>
          <w:color w:val="1A1712"/>
          <w:sz w:val="24"/>
          <w:szCs w:val="24"/>
        </w:rPr>
        <w:t xml:space="preserve">What would take the war premium out of oil?</w:t>
      </w:r>
    </w:p>
    <w:p>
      <w:pPr>
        <w:spacing w:after="60" w:line="300" w:lineRule="auto"/>
      </w:pPr>
      <w:r>
        <w:rPr>
          <w:rFonts w:ascii="Calibri" w:hAnsi="Calibri" w:cs="Calibri"/>
          <w:sz w:val="22"/>
          <w:szCs w:val="22"/>
        </w:rPr>
        <w:t xml:space="preserve">•  Iran's proposal at the UN: a regionwide ceasefire of up to 60 days and a phased reopening of Hormuz, which it says could happen within seven days if its conditions are met (The National, Al Jazeera, 23 Sep).</w:t>
      </w:r>
    </w:p>
    <w:p>
      <w:pPr>
        <w:spacing w:after="60" w:line="300" w:lineRule="auto"/>
      </w:pPr>
      <w:r>
        <w:rPr>
          <w:rFonts w:ascii="Calibri" w:hAnsi="Calibri" w:cs="Calibri"/>
          <w:sz w:val="22"/>
          <w:szCs w:val="22"/>
        </w:rPr>
        <w:t xml:space="preserve">•  President Trump: “I believe we’ll make a deal right after the election” — the US midterms are on 3 November (ABC News, 22 Sep).</w:t>
      </w:r>
    </w:p>
    <w:p>
      <w:pPr>
        <w:spacing w:after="60" w:line="300" w:lineRule="auto"/>
      </w:pPr>
      <w:r>
        <w:rPr>
          <w:rFonts w:ascii="Calibri" w:hAnsi="Calibri" w:cs="Calibri"/>
          <w:sz w:val="22"/>
          <w:szCs w:val="22"/>
        </w:rPr>
        <w:t xml:space="preserve">•  The Gulf is exporting about 8–9m barrels a day through Hormuz and the Fujairah pipeline, against about 15m before the war (AP, 24 Sep).</w:t>
      </w:r>
    </w:p>
    <w:p>
      <w:pPr>
        <w:spacing w:after="60" w:line="300" w:lineRule="auto"/>
      </w:pPr>
      <w:r>
        <w:rPr>
          <w:rFonts w:ascii="Calibri" w:hAnsi="Calibri" w:cs="Calibri"/>
          <w:sz w:val="22"/>
          <w:szCs w:val="22"/>
        </w:rPr>
        <w:t xml:space="preserve">•  Seven OPEC+ countries meet on 4 October (OPEC).</w:t>
      </w:r>
    </w:p>
    <w:p>
      <w:pPr>
        <w:spacing w:after="80"/>
      </w:pPr>
      <w:r>
        <w:t xml:space="preserve"/>
      </w:r>
    </w:p>
    <w:p>
      <w:pPr>
        <w:keepNext/>
        <w:spacing w:after="80"/>
      </w:pPr>
      <w:r>
        <w:rPr>
          <w:rFonts w:ascii="Georgia" w:hAnsi="Georgia" w:cs="Georgia"/>
          <w:b/>
          <w:color w:val="1A1712"/>
          <w:sz w:val="24"/>
          <w:szCs w:val="24"/>
        </w:rPr>
        <w:t xml:space="preserve">What still diversifies a portfolio when stocks and bonds fall together?</w:t>
      </w:r>
    </w:p>
    <w:p>
      <w:pPr>
        <w:spacing w:after="60" w:line="300" w:lineRule="auto"/>
      </w:pPr>
      <w:r>
        <w:rPr>
          <w:rFonts w:ascii="Calibri" w:hAnsi="Calibri" w:cs="Calibri"/>
          <w:sz w:val="22"/>
          <w:szCs w:val="22"/>
        </w:rPr>
        <w:t xml:space="preserve">•  On Wednesday a 60/40 fund (iShares AOR) fell about 1% as both halves fell (CNBC, 23 Sep).</w:t>
      </w:r>
    </w:p>
    <w:p>
      <w:pPr>
        <w:spacing w:after="60" w:line="300" w:lineRule="auto"/>
      </w:pPr>
      <w:r>
        <w:rPr>
          <w:rFonts w:ascii="Calibri" w:hAnsi="Calibri" w:cs="Calibri"/>
          <w:sz w:val="22"/>
          <w:szCs w:val="22"/>
        </w:rPr>
        <w:t xml:space="preserve">•  To Thursday, gold fell 2.9% and long Treasuries 2.3% on the week; the dollar index rose 1.1%.</w:t>
      </w:r>
    </w:p>
    <w:p>
      <w:pPr>
        <w:spacing w:after="60" w:line="300" w:lineRule="auto"/>
      </w:pPr>
      <w:r>
        <w:rPr>
          <w:rFonts w:ascii="Calibri" w:hAnsi="Calibri" w:cs="Calibri"/>
          <w:sz w:val="22"/>
          <w:szCs w:val="22"/>
        </w:rPr>
        <w:t xml:space="preserve">•  Energy was the best S&amp;P 500 sector in 2026 to the end of August, up 42% (Investing.com, 31 Aug), though it fell 2.7% this week.</w:t>
      </w:r>
    </w:p>
    <w:p>
      <w:pPr>
        <w:spacing w:after="60" w:line="300" w:lineRule="auto"/>
      </w:pPr>
      <w:r>
        <w:rPr>
          <w:rFonts w:ascii="Calibri" w:hAnsi="Calibri" w:cs="Calibri"/>
          <w:sz w:val="22"/>
          <w:szCs w:val="22"/>
        </w:rPr>
        <w:t xml:space="preserve">•  Bond volatility (MOVE) is up 30% this week to 104.6, while equity volatility (VIX) is under 16 (Yahoo, CNBC, 24 Sep).</w:t>
      </w:r>
    </w:p>
    <w:p>
      <w:pPr>
        <w:spacing w:after="80"/>
      </w:pPr>
      <w:r>
        <w:t xml:space="preserve"/>
      </w:r>
    </w:p>
    <w:p>
      <w:pPr>
        <w:keepNext/>
        <w:spacing w:before="200" w:after="100"/>
      </w:pPr>
      <w:r>
        <w:rPr>
          <w:rFonts w:ascii="Georgia" w:hAnsi="Georgia" w:cs="Georgia"/>
          <w:b/>
          <w:color w:val="B90646"/>
          <w:sz w:val="26"/>
          <w:szCs w:val="26"/>
        </w:rPr>
        <w:t xml:space="preserve">Sources and what’s still to come</w:t>
      </w:r>
    </w:p>
    <w:p>
      <w:pPr>
        <w:spacing w:after="60" w:line="280" w:lineRule="auto"/>
      </w:pPr>
      <w:r>
        <w:rPr>
          <w:rFonts w:ascii="Calibri" w:hAnsi="Calibri" w:cs="Calibri"/>
          <w:color w:val="6B6557"/>
          <w:sz w:val="20"/>
          <w:szCs w:val="20"/>
        </w:rPr>
        <w:t xml:space="preserve">•  Closing levels checked against FT Markets Data where FT publishes them: S&amp;P 500, Nasdaq, Brent, the US 10-year, GDX, EEM and the Hang Seng.</w:t>
      </w:r>
    </w:p>
    <w:p>
      <w:pPr>
        <w:spacing w:after="60" w:line="280" w:lineRule="auto"/>
      </w:pPr>
      <w:r>
        <w:rPr>
          <w:rFonts w:ascii="Calibri" w:hAnsi="Calibri" w:cs="Calibri"/>
          <w:color w:val="6B6557"/>
          <w:sz w:val="20"/>
          <w:szCs w:val="20"/>
        </w:rPr>
        <w:t xml:space="preserve">•  Yields: US Treasury daily par and real yield curves, matched by FRED. Brent: ICE settlements via Investing.com and Yahoo; monthly history from the EIA.</w:t>
      </w:r>
    </w:p>
    <w:p>
      <w:pPr>
        <w:spacing w:after="60" w:line="280" w:lineRule="auto"/>
      </w:pPr>
      <w:r>
        <w:rPr>
          <w:rFonts w:ascii="Calibri" w:hAnsi="Calibri" w:cs="Calibri"/>
          <w:color w:val="6B6557"/>
          <w:sz w:val="20"/>
          <w:szCs w:val="20"/>
        </w:rPr>
        <w:t xml:space="preserve">•  Portfolio figures: AP index closes; ETF closes (TLT, AGG, AOR, sector SPDRs) from Yahoo, StockAnalysis and CNBC; MOVE and VIX from Yahoo and CNBC.</w:t>
      </w:r>
    </w:p>
    <w:p>
      <w:pPr>
        <w:spacing w:after="60" w:line="280" w:lineRule="auto"/>
      </w:pPr>
      <w:r>
        <w:rPr>
          <w:rFonts w:ascii="Calibri" w:hAnsi="Calibri" w:cs="Calibri"/>
          <w:color w:val="6B6557"/>
          <w:sz w:val="20"/>
          <w:szCs w:val="20"/>
        </w:rPr>
        <w:t xml:space="preserve">•  The war: AP, Al Jazeera, ABC, RTÉ/Reuters. The summit: NBC, Fox News, Reuters, China’s commerce ministry. Inflation: BLS, BEA, Eurostat, the Fed.</w:t>
      </w:r>
    </w:p>
    <w:p>
      <w:pPr>
        <w:spacing w:after="60" w:line="280" w:lineRule="auto"/>
      </w:pPr>
      <w:r>
        <w:rPr>
          <w:rFonts w:ascii="Calibri" w:hAnsi="Calibri" w:cs="Calibri"/>
          <w:color w:val="6B6557"/>
          <w:sz w:val="20"/>
          <w:szCs w:val="20"/>
        </w:rPr>
        <w:t xml:space="preserve">•  US, European, oil and gold figures run to Thursday's close, as do China and Hong Kong (the mainland is shut on Friday). The real-yield figures are Wednesday's and the yuan fixing is 22 September's, the latest two sources agree on. Check the Friday readouts from the White House and Xinhua before presenting.</w:t>
      </w:r>
    </w:p>
    <w:sectPr>
      <w:pgSz w:w="11906" w:h="16838"/>
      <w:pgMar w:top="1134" w:right="1134" w:bottom="1134" w:left="1134" w:header="567" w:footer="567" w:gutter="0"/>
    </w:sectPr>
  </w:body>
</w:document>
</file>

<file path=word/styles.xml><?xml version="1.0" encoding="utf-8"?>
<w:styles xmlns:w="http://schemas.openxmlformats.org/wordprocessingml/2006/main">
  <w:docDefaults>
    <w:rPrDefault>
      <w:rPr>
        <w:rFonts w:ascii="Calibri" w:hAnsi="Calibri" w:cs="Calibri"/>
        <w:sz w:val="22"/>
        <w:szCs w:val="22"/>
        <w:lang w:val="en-IE"/>
      </w:rPr>
    </w:rPrDefault>
    <w:pPrDefault>
      <w:pPr>
        <w:spacing w:after="120" w:line="276"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Davy Weekly Market Update — script, 21-25 Sep 2026</dc:title>
  <dc:creator>Catalin Bondari</dc:creator>
  <dcterms:created xsi:type="dcterms:W3CDTF">2026-09-25T08:13:36Z</dcterms:created>
</cp:coreProperties>
</file>