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after="60"/>
      </w:pPr>
      <w:r>
        <w:rPr>
          <w:rFonts w:ascii="Calibri" w:hAnsi="Calibri" w:cs="Calibri"/>
          <w:b/>
          <w:color w:val="B90646"/>
          <w:sz w:val="22"/>
          <w:szCs w:val="22"/>
        </w:rPr>
        <w:t xml:space="preserve">DAVY</w:t>
      </w:r>
    </w:p>
    <w:p>
      <w:pPr>
        <w:spacing w:after="80"/>
      </w:pPr>
      <w:r>
        <w:rPr>
          <w:rFonts w:ascii="Georgia" w:hAnsi="Georgia" w:cs="Georgia"/>
          <w:b/>
          <w:color w:val="1A1712"/>
          <w:sz w:val="48"/>
          <w:szCs w:val="48"/>
        </w:rPr>
        <w:t xml:space="preserve">Weekly Market Update — your script</w:t>
      </w:r>
    </w:p>
    <w:p>
      <w:pPr>
        <w:pBdr>
          <w:bottom w:val="single" w:sz="6" w:space="4" w:color="B90646"/>
        </w:pBdr>
        <w:spacing w:after="240"/>
      </w:pPr>
      <w:r>
        <w:rPr>
          <w:rFonts w:ascii="Calibri" w:hAnsi="Calibri" w:cs="Calibri"/>
          <w:color w:val="6B6557"/>
          <w:sz w:val="22"/>
          <w:szCs w:val="22"/>
        </w:rPr>
        <w:t xml:space="preserve">Week of 21-25 Sep 2026  ·  Presented by Catalin Bondari</w:t>
      </w:r>
    </w:p>
    <w:p>
      <w:pPr>
        <w:shd w:val="clear" w:color="auto" w:fill="F7F3EA"/>
        <w:spacing w:after="60"/>
      </w:pPr>
      <w:r>
        <w:rPr>
          <w:rFonts w:ascii="Calibri" w:hAnsi="Calibri" w:cs="Calibri"/>
          <w:b/>
          <w:color w:val="B90646"/>
          <w:sz w:val="22"/>
          <w:szCs w:val="22"/>
        </w:rPr>
        <w:t xml:space="preserve">How to use this</w:t>
      </w:r>
    </w:p>
    <w:p>
      <w:pPr>
        <w:shd w:val="clear" w:color="auto" w:fill="F7F3EA"/>
        <w:spacing w:after="240" w:line="300" w:lineRule="auto"/>
      </w:pPr>
      <w:r>
        <w:rPr>
          <w:rFonts w:ascii="Calibri" w:hAnsi="Calibri" w:cs="Calibri"/>
          <w:sz w:val="22"/>
          <w:szCs w:val="22"/>
        </w:rPr>
        <w:t xml:space="preserve">About 4:14 of talking at a conversational pace, which leaves room for clicks inside the five-minute clock. Each slide shows three numbers and a chart; the words are all here, not on screen. Read the numbers the room can see, then say why they matter. Cues in grey tell you when to click. Press N in the deck to see this script on your own screen.</w:t>
      </w:r>
    </w:p>
    <w:p>
      <w:pPr>
        <w:keepNext/>
        <w:spacing w:after="100"/>
      </w:pPr>
      <w:r>
        <w:rPr>
          <w:rFonts w:ascii="Georgia" w:hAnsi="Georgia" w:cs="Georgia"/>
          <w:b/>
          <w:color w:val="B90646"/>
          <w:sz w:val="26"/>
          <w:szCs w:val="26"/>
        </w:rPr>
        <w:t xml:space="preserve">Running order</w:t>
      </w:r>
    </w:p>
    <w:tbl>
      <w:tblPr>
        <w:tblW w:w="9000" w:type="dxa"/>
        <w:tblBorders>
          <w:top w:val="single" w:sz="4" w:space="0" w:color="D8D1C2"/>
          <w:left w:val="single" w:sz="4" w:space="0" w:color="D8D1C2"/>
          <w:bottom w:val="single" w:sz="4" w:space="0" w:color="D8D1C2"/>
          <w:right w:val="single" w:sz="4" w:space="0" w:color="D8D1C2"/>
          <w:insideH w:val="single" w:sz="4" w:space="0" w:color="D8D1C2"/>
          <w:insideV w:val="single" w:sz="4" w:space="0" w:color="D8D1C2"/>
        </w:tblBorders>
        <w:tblCellMar>
          <w:left w:w="100" w:type="dxa"/>
          <w:right w:w="100" w:type="dxa"/>
        </w:tblCellMar>
      </w:tblPr>
      <w:tblGrid>
        <w:gridCol w:w="1900"/>
        <w:gridCol w:w="5800"/>
        <w:gridCol w:w="1300"/>
      </w:tblGrid>
      <w:tr>
        <w:tc>
          <w:tcPr>
            <w:tcW w:w="1900" w:type="dxa"/>
            <w:shd w:val="clear" w:color="auto" w:fill="F3EFE6"/>
          </w:tcPr>
          <w:p>
            <w:pPr>
              <w:spacing w:before="40" w:after="40"/>
            </w:pPr>
            <w:r>
              <w:rPr>
                <w:rFonts w:ascii="Calibri" w:hAnsi="Calibri" w:cs="Calibri"/>
                <w:b/>
                <w:sz w:val="20"/>
                <w:szCs w:val="20"/>
              </w:rPr>
              <w:t xml:space="preserve">Slide</w:t>
            </w:r>
          </w:p>
        </w:tc>
        <w:tc>
          <w:tcPr>
            <w:tcW w:w="5800" w:type="dxa"/>
            <w:shd w:val="clear" w:color="auto" w:fill="F3EFE6"/>
          </w:tcPr>
          <w:p>
            <w:pPr>
              <w:spacing w:before="40" w:after="40"/>
            </w:pPr>
            <w:r>
              <w:rPr>
                <w:rFonts w:ascii="Calibri" w:hAnsi="Calibri" w:cs="Calibri"/>
                <w:b/>
                <w:sz w:val="20"/>
                <w:szCs w:val="20"/>
              </w:rPr>
              <w:t xml:space="preserve">What the room sees</w:t>
            </w:r>
          </w:p>
        </w:tc>
        <w:tc>
          <w:tcPr>
            <w:tcW w:w="1300" w:type="dxa"/>
            <w:shd w:val="clear" w:color="auto" w:fill="F3EFE6"/>
          </w:tcPr>
          <w:p>
            <w:pPr>
              <w:spacing w:before="40" w:after="40"/>
            </w:pPr>
            <w:r>
              <w:rPr>
                <w:rFonts w:ascii="Calibri" w:hAnsi="Calibri" w:cs="Calibri"/>
                <w:b/>
                <w:sz w:val="20"/>
                <w:szCs w:val="20"/>
              </w:rPr>
              <w:t xml:space="preserve">Time</w:t>
            </w:r>
          </w:p>
        </w:tc>
      </w:tr>
      <w:tr>
        <w:tc>
          <w:tcPr>
            <w:tcW w:w="1900" w:type="dxa"/>
          </w:tcPr>
          <w:p>
            <w:pPr>
              <w:spacing w:before="40" w:after="40"/>
            </w:pPr>
            <w:r>
              <w:rPr>
                <w:rFonts w:ascii="Calibri" w:hAnsi="Calibri" w:cs="Calibri"/>
                <w:b/>
                <w:sz w:val="20"/>
                <w:szCs w:val="20"/>
              </w:rPr>
              <w:t xml:space="preserve">1  The set-up</w:t>
            </w:r>
          </w:p>
        </w:tc>
        <w:tc>
          <w:tcPr>
            <w:tcW w:w="5800" w:type="dxa"/>
          </w:tcPr>
          <w:p>
            <w:pPr>
              <w:spacing w:before="40" w:after="40"/>
            </w:pPr>
            <w:r>
              <w:rPr>
                <w:rFonts w:ascii="Calibri" w:hAnsi="Calibri" w:cs="Calibri"/>
                <w:sz w:val="20"/>
                <w:szCs w:val="20"/>
              </w:rPr>
              <w:t xml:space="preserve">US 10-year yield 5.18%, Brent crude $106.60, US–China truce 10 Jan</w:t>
            </w:r>
          </w:p>
        </w:tc>
        <w:tc>
          <w:tcPr>
            <w:tcW w:w="1300" w:type="dxa"/>
          </w:tcPr>
          <w:p>
            <w:pPr>
              <w:spacing w:before="40" w:after="40"/>
            </w:pPr>
            <w:r>
              <w:rPr>
                <w:rFonts w:ascii="Calibri" w:hAnsi="Calibri" w:cs="Calibri"/>
                <w:sz w:val="20"/>
                <w:szCs w:val="20"/>
              </w:rPr>
              <w:t xml:space="preserve">0:33</w:t>
            </w:r>
          </w:p>
        </w:tc>
      </w:tr>
      <w:tr>
        <w:tc>
          <w:tcPr>
            <w:tcW w:w="1900" w:type="dxa"/>
          </w:tcPr>
          <w:p>
            <w:pPr>
              <w:spacing w:before="40" w:after="40"/>
            </w:pPr>
            <w:r>
              <w:rPr>
                <w:rFonts w:ascii="Calibri" w:hAnsi="Calibri" w:cs="Calibri"/>
                <w:b/>
                <w:sz w:val="20"/>
                <w:szCs w:val="20"/>
              </w:rPr>
              <w:t xml:space="preserve">2  The 10-year</w:t>
            </w:r>
          </w:p>
        </w:tc>
        <w:tc>
          <w:tcPr>
            <w:tcW w:w="5800" w:type="dxa"/>
          </w:tcPr>
          <w:p>
            <w:pPr>
              <w:spacing w:before="40" w:after="40"/>
            </w:pPr>
            <w:r>
              <w:rPr>
                <w:rFonts w:ascii="Calibri" w:hAnsi="Calibri" w:cs="Calibri"/>
                <w:sz w:val="20"/>
                <w:szCs w:val="20"/>
              </w:rPr>
              <w:t xml:space="preserve">US 10-year yield 5.18%, 10-year real yield 2.76%, 5-year auction 3.1bp tail</w:t>
            </w:r>
          </w:p>
        </w:tc>
        <w:tc>
          <w:tcPr>
            <w:tcW w:w="1300" w:type="dxa"/>
          </w:tcPr>
          <w:p>
            <w:pPr>
              <w:spacing w:before="40" w:after="40"/>
            </w:pPr>
            <w:r>
              <w:rPr>
                <w:rFonts w:ascii="Calibri" w:hAnsi="Calibri" w:cs="Calibri"/>
                <w:sz w:val="20"/>
                <w:szCs w:val="20"/>
              </w:rPr>
              <w:t xml:space="preserve">0:39</w:t>
            </w:r>
          </w:p>
        </w:tc>
      </w:tr>
      <w:tr>
        <w:tc>
          <w:tcPr>
            <w:tcW w:w="1900" w:type="dxa"/>
          </w:tcPr>
          <w:p>
            <w:pPr>
              <w:spacing w:before="40" w:after="40"/>
            </w:pPr>
            <w:r>
              <w:rPr>
                <w:rFonts w:ascii="Calibri" w:hAnsi="Calibri" w:cs="Calibri"/>
                <w:b/>
                <w:sz w:val="20"/>
                <w:szCs w:val="20"/>
              </w:rPr>
              <w:t xml:space="preserve">3  The war</w:t>
            </w:r>
          </w:p>
        </w:tc>
        <w:tc>
          <w:tcPr>
            <w:tcW w:w="5800" w:type="dxa"/>
          </w:tcPr>
          <w:p>
            <w:pPr>
              <w:spacing w:before="40" w:after="40"/>
            </w:pPr>
            <w:r>
              <w:rPr>
                <w:rFonts w:ascii="Calibri" w:hAnsi="Calibri" w:cs="Calibri"/>
                <w:sz w:val="20"/>
                <w:szCs w:val="20"/>
              </w:rPr>
              <w:t xml:space="preserve">Brent crude $106.60, Gulf crude exports ~8–9m b/d, US diesel $6.50/gal</w:t>
            </w:r>
          </w:p>
        </w:tc>
        <w:tc>
          <w:tcPr>
            <w:tcW w:w="1300" w:type="dxa"/>
          </w:tcPr>
          <w:p>
            <w:pPr>
              <w:spacing w:before="40" w:after="40"/>
            </w:pPr>
            <w:r>
              <w:rPr>
                <w:rFonts w:ascii="Calibri" w:hAnsi="Calibri" w:cs="Calibri"/>
                <w:sz w:val="20"/>
                <w:szCs w:val="20"/>
              </w:rPr>
              <w:t xml:space="preserve">0:44</w:t>
            </w:r>
          </w:p>
        </w:tc>
      </w:tr>
      <w:tr>
        <w:tc>
          <w:tcPr>
            <w:tcW w:w="1900" w:type="dxa"/>
          </w:tcPr>
          <w:p>
            <w:pPr>
              <w:spacing w:before="40" w:after="40"/>
            </w:pPr>
            <w:r>
              <w:rPr>
                <w:rFonts w:ascii="Calibri" w:hAnsi="Calibri" w:cs="Calibri"/>
                <w:b/>
                <w:sz w:val="20"/>
                <w:szCs w:val="20"/>
              </w:rPr>
              <w:t xml:space="preserve">4  Oil to rates</w:t>
            </w:r>
          </w:p>
        </w:tc>
        <w:tc>
          <w:tcPr>
            <w:tcW w:w="5800" w:type="dxa"/>
          </w:tcPr>
          <w:p>
            <w:pPr>
              <w:spacing w:before="40" w:after="40"/>
            </w:pPr>
            <w:r>
              <w:rPr>
                <w:rFonts w:ascii="Calibri" w:hAnsi="Calibri" w:cs="Calibri"/>
                <w:sz w:val="20"/>
                <w:szCs w:val="20"/>
              </w:rPr>
              <w:t xml:space="preserve">US energy prices +16.3%, Euro-area inflation 3.2%, October hike odds 69%</w:t>
            </w:r>
          </w:p>
        </w:tc>
        <w:tc>
          <w:tcPr>
            <w:tcW w:w="1300" w:type="dxa"/>
          </w:tcPr>
          <w:p>
            <w:pPr>
              <w:spacing w:before="40" w:after="40"/>
            </w:pPr>
            <w:r>
              <w:rPr>
                <w:rFonts w:ascii="Calibri" w:hAnsi="Calibri" w:cs="Calibri"/>
                <w:sz w:val="20"/>
                <w:szCs w:val="20"/>
              </w:rPr>
              <w:t xml:space="preserve">0:25</w:t>
            </w:r>
          </w:p>
        </w:tc>
      </w:tr>
      <w:tr>
        <w:tc>
          <w:tcPr>
            <w:tcW w:w="1900" w:type="dxa"/>
          </w:tcPr>
          <w:p>
            <w:pPr>
              <w:spacing w:before="40" w:after="40"/>
            </w:pPr>
            <w:r>
              <w:rPr>
                <w:rFonts w:ascii="Calibri" w:hAnsi="Calibri" w:cs="Calibri"/>
                <w:b/>
                <w:sz w:val="20"/>
                <w:szCs w:val="20"/>
              </w:rPr>
              <w:t xml:space="preserve">5  Xi and Trump</w:t>
            </w:r>
          </w:p>
        </w:tc>
        <w:tc>
          <w:tcPr>
            <w:tcW w:w="5800" w:type="dxa"/>
          </w:tcPr>
          <w:p>
            <w:pPr>
              <w:spacing w:before="40" w:after="40"/>
            </w:pPr>
            <w:r>
              <w:rPr>
                <w:rFonts w:ascii="Calibri" w:hAnsi="Calibri" w:cs="Calibri"/>
                <w:sz w:val="20"/>
                <w:szCs w:val="20"/>
              </w:rPr>
              <w:t xml:space="preserve">Truce now ends 10 Jan, CSI 300 4,439, Yuan fixing 6.7459</w:t>
            </w:r>
          </w:p>
        </w:tc>
        <w:tc>
          <w:tcPr>
            <w:tcW w:w="1300" w:type="dxa"/>
          </w:tcPr>
          <w:p>
            <w:pPr>
              <w:spacing w:before="40" w:after="40"/>
            </w:pPr>
            <w:r>
              <w:rPr>
                <w:rFonts w:ascii="Calibri" w:hAnsi="Calibri" w:cs="Calibri"/>
                <w:sz w:val="20"/>
                <w:szCs w:val="20"/>
              </w:rPr>
              <w:t xml:space="preserve">0:39</w:t>
            </w:r>
          </w:p>
        </w:tc>
      </w:tr>
      <w:tr>
        <w:tc>
          <w:tcPr>
            <w:tcW w:w="1900" w:type="dxa"/>
          </w:tcPr>
          <w:p>
            <w:pPr>
              <w:spacing w:before="40" w:after="40"/>
            </w:pPr>
            <w:r>
              <w:rPr>
                <w:rFonts w:ascii="Calibri" w:hAnsi="Calibri" w:cs="Calibri"/>
                <w:b/>
                <w:sz w:val="20"/>
                <w:szCs w:val="20"/>
              </w:rPr>
              <w:t xml:space="preserve">6  Portfolios</w:t>
            </w:r>
          </w:p>
        </w:tc>
        <w:tc>
          <w:tcPr>
            <w:tcW w:w="5800" w:type="dxa"/>
          </w:tcPr>
          <w:p>
            <w:pPr>
              <w:spacing w:before="40" w:after="40"/>
            </w:pPr>
            <w:r>
              <w:rPr>
                <w:rFonts w:ascii="Calibri" w:hAnsi="Calibri" w:cs="Calibri"/>
                <w:sz w:val="20"/>
                <w:szCs w:val="20"/>
              </w:rPr>
              <w:t xml:space="preserve">A 60/40 fund, Wednesday −0.97%, Long Treasuries (TLT) $79.42, Bond volatility (MOVE) 104.58</w:t>
            </w:r>
          </w:p>
        </w:tc>
        <w:tc>
          <w:tcPr>
            <w:tcW w:w="1300" w:type="dxa"/>
          </w:tcPr>
          <w:p>
            <w:pPr>
              <w:spacing w:before="40" w:after="40"/>
            </w:pPr>
            <w:r>
              <w:rPr>
                <w:rFonts w:ascii="Calibri" w:hAnsi="Calibri" w:cs="Calibri"/>
                <w:sz w:val="20"/>
                <w:szCs w:val="20"/>
              </w:rPr>
              <w:t xml:space="preserve">0:38</w:t>
            </w:r>
          </w:p>
        </w:tc>
      </w:tr>
      <w:tr>
        <w:tc>
          <w:tcPr>
            <w:tcW w:w="1900" w:type="dxa"/>
          </w:tcPr>
          <w:p>
            <w:pPr>
              <w:spacing w:before="40" w:after="40"/>
            </w:pPr>
            <w:r>
              <w:rPr>
                <w:rFonts w:ascii="Calibri" w:hAnsi="Calibri" w:cs="Calibri"/>
                <w:b/>
                <w:sz w:val="20"/>
                <w:szCs w:val="20"/>
              </w:rPr>
              <w:t xml:space="preserve">7  The Close</w:t>
            </w:r>
          </w:p>
        </w:tc>
        <w:tc>
          <w:tcPr>
            <w:tcW w:w="5800" w:type="dxa"/>
          </w:tcPr>
          <w:p>
            <w:pPr>
              <w:spacing w:before="40" w:after="40"/>
            </w:pPr>
            <w:r>
              <w:rPr>
                <w:rFonts w:ascii="Calibri" w:hAnsi="Calibri" w:cs="Calibri"/>
                <w:sz w:val="20"/>
                <w:szCs w:val="20"/>
              </w:rPr>
              <w:t xml:space="preserve">The week’s scoreboard</w:t>
            </w:r>
          </w:p>
        </w:tc>
        <w:tc>
          <w:tcPr>
            <w:tcW w:w="1300" w:type="dxa"/>
          </w:tcPr>
          <w:p>
            <w:pPr>
              <w:spacing w:before="40" w:after="40"/>
            </w:pPr>
            <w:r>
              <w:rPr>
                <w:rFonts w:ascii="Calibri" w:hAnsi="Calibri" w:cs="Calibri"/>
                <w:sz w:val="20"/>
                <w:szCs w:val="20"/>
              </w:rPr>
              <w:t xml:space="preserve">0:36</w:t>
            </w:r>
          </w:p>
        </w:tc>
      </w:tr>
      <w:tr>
        <w:tc>
          <w:tcPr>
            <w:tcW w:w="1900" w:type="dxa"/>
          </w:tcPr>
          <w:p>
            <w:pPr>
              <w:spacing w:before="40" w:after="40"/>
            </w:pPr>
            <w:r>
              <w:rPr>
                <w:rFonts w:ascii="Calibri" w:hAnsi="Calibri" w:cs="Calibri"/>
                <w:b/>
                <w:sz w:val="20"/>
                <w:szCs w:val="20"/>
              </w:rPr>
              <w:t xml:space="preserve">8  Q&amp;A</w:t>
            </w:r>
          </w:p>
        </w:tc>
        <w:tc>
          <w:tcPr>
            <w:tcW w:w="5800" w:type="dxa"/>
          </w:tcPr>
          <w:p>
            <w:pPr>
              <w:spacing w:before="40" w:after="40"/>
            </w:pPr>
            <w:r>
              <w:rPr>
                <w:rFonts w:ascii="Calibri" w:hAnsi="Calibri" w:cs="Calibri"/>
                <w:sz w:val="20"/>
                <w:szCs w:val="20"/>
              </w:rPr>
              <w:t xml:space="preserve">Questions? — the clock stops here</w:t>
            </w:r>
          </w:p>
        </w:tc>
        <w:tc>
          <w:tcPr>
            <w:tcW w:w="1300" w:type="dxa"/>
          </w:tcPr>
          <w:p>
            <w:pPr>
              <w:spacing w:before="40" w:after="40"/>
            </w:pPr>
            <w:r>
              <w:rPr>
                <w:rFonts w:ascii="Calibri" w:hAnsi="Calibri" w:cs="Calibri"/>
                <w:sz w:val="20"/>
                <w:szCs w:val="20"/>
              </w:rPr>
              <w:t xml:space="preserve">—</w:t>
            </w:r>
          </w:p>
        </w:tc>
      </w:tr>
    </w:tbl>
    <w:p>
      <w:r>
        <w:br w:type="page"/>
      </w:r>
    </w:p>
    <w:p>
      <w:pPr>
        <w:keepNext/>
        <w:spacing w:after="60"/>
      </w:pPr>
      <w:r>
        <w:rPr>
          <w:rFonts w:ascii="Georgia" w:hAnsi="Georgia" w:cs="Georgia"/>
          <w:b/>
          <w:color w:val="B90646"/>
          <w:sz w:val="36"/>
          <w:szCs w:val="36"/>
        </w:rPr>
        <w:t xml:space="preserve">1.  The set-up</w:t>
      </w:r>
      <w:r>
        <w:rPr>
          <w:rFonts w:ascii="Georgia" w:hAnsi="Georgia" w:cs="Georgia"/>
          <w:color w:val="1A1712"/>
          <w:sz w:val="28"/>
          <w:szCs w:val="28"/>
        </w:rPr>
        <w:t xml:space="preserve">  —  Three pressures</w:t>
      </w:r>
    </w:p>
    <w:p>
      <w:pPr>
        <w:pBdr>
          <w:bottom w:val="single" w:sz="6" w:space="4" w:color="D8D1C2"/>
        </w:pBdr>
        <w:spacing w:after="120"/>
      </w:pPr>
      <w:r>
        <w:rPr>
          <w:rFonts w:ascii="Calibri" w:hAnsi="Calibri" w:cs="Calibri"/>
          <w:color w:val="6B6557"/>
          <w:sz w:val="20"/>
          <w:szCs w:val="20"/>
        </w:rPr>
        <w:t xml:space="preserve">Week of 21–25 Sep  ·  about 0:33  ·  Bear</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A war in the Gulf, a two-month trade truce and a Fed hiking again — all three run through the same pipe: the US 10-year.</w:t>
      </w:r>
    </w:p>
    <w:p>
      <w:pPr>
        <w:spacing w:after="20"/>
      </w:pPr>
      <w:r>
        <w:rPr>
          <w:rFonts w:ascii="Calibri" w:hAnsi="Calibri" w:cs="Calibri"/>
          <w:color w:val="6B6557"/>
          <w:sz w:val="20"/>
          <w:szCs w:val="20"/>
        </w:rPr>
        <w:t xml:space="preserve">•  US 10-year yield  5.18%  +17bp</w:t>
      </w:r>
    </w:p>
    <w:p>
      <w:pPr>
        <w:spacing w:after="20"/>
      </w:pPr>
      <w:r>
        <w:rPr>
          <w:rFonts w:ascii="Calibri" w:hAnsi="Calibri" w:cs="Calibri"/>
          <w:color w:val="6B6557"/>
          <w:sz w:val="20"/>
          <w:szCs w:val="20"/>
        </w:rPr>
        <w:t xml:space="preserve">•  Brent crude  $106.60</w:t>
      </w:r>
    </w:p>
    <w:p>
      <w:pPr>
        <w:spacing w:after="20"/>
      </w:pPr>
      <w:r>
        <w:rPr>
          <w:rFonts w:ascii="Calibri" w:hAnsi="Calibri" w:cs="Calibri"/>
          <w:color w:val="6B6557"/>
          <w:sz w:val="20"/>
          <w:szCs w:val="20"/>
        </w:rPr>
        <w:t xml:space="preserve">•  US–China truce  10 Jan</w:t>
      </w:r>
    </w:p>
    <w:p>
      <w:pPr>
        <w:spacing w:after="20"/>
      </w:pPr>
      <w:r>
        <w:rPr>
          <w:rFonts w:ascii="Calibri" w:hAnsi="Calibri" w:cs="Calibri"/>
          <w:color w:val="6B6557"/>
          <w:sz w:val="20"/>
          <w:szCs w:val="20"/>
        </w:rPr>
        <w:t xml:space="preserve">•  Chart: Stocks held up; the hedges didn't</w:t>
      </w:r>
    </w:p>
    <w:p>
      <w:pPr>
        <w:spacing w:after="100"/>
      </w:pPr>
      <w:r>
        <w:t xml:space="preserve"/>
      </w:r>
    </w:p>
    <w:p>
      <w:pPr>
        <w:spacing w:after="200" w:line="340" w:lineRule="auto"/>
      </w:pPr>
      <w:r>
        <w:rPr>
          <w:rFonts w:ascii="Calibri" w:hAnsi="Calibri" w:cs="Calibri"/>
          <w:sz w:val="26"/>
          <w:szCs w:val="26"/>
        </w:rPr>
        <w:t xml:space="preserve">This week I'm going deep on one thing: why the US ten-year hit five per cent, and what it's doing to portfolios.</w:t>
      </w:r>
    </w:p>
    <w:p>
      <w:pPr>
        <w:spacing w:after="120"/>
      </w:pPr>
      <w:r>
        <w:rPr>
          <w:rFonts w:ascii="Calibri" w:hAnsi="Calibri" w:cs="Calibri"/>
          <w:i/>
          <w:color w:val="6B6557"/>
          <w:sz w:val="20"/>
          <w:szCs w:val="20"/>
        </w:rPr>
        <w:t xml:space="preserve">▸ Click — the chart draws</w:t>
      </w:r>
    </w:p>
    <w:p>
      <w:pPr>
        <w:spacing w:after="200" w:line="340" w:lineRule="auto"/>
      </w:pPr>
      <w:r>
        <w:rPr>
          <w:rFonts w:ascii="Calibri" w:hAnsi="Calibri" w:cs="Calibri"/>
          <w:sz w:val="26"/>
          <w:szCs w:val="26"/>
        </w:rPr>
        <w:t xml:space="preserve">Three pressures landed at once: the war with Iran pushing Brent back above a hundred and five dollars, a US–China truce extended by only two months, and a Fed raising rates again.</w:t>
      </w:r>
    </w:p>
    <w:p>
      <w:pPr>
        <w:spacing w:after="200" w:line="340" w:lineRule="auto"/>
      </w:pPr>
      <w:r>
        <w:rPr>
          <w:rFonts w:ascii="Calibri" w:hAnsi="Calibri" w:cs="Calibri"/>
          <w:sz w:val="26"/>
          <w:szCs w:val="26"/>
        </w:rPr>
        <w:t xml:space="preserve">Look at the chart. Oil and stocks rose — but bonds and gold, the things that normally protect a portfolio, both fell.</w:t>
      </w:r>
    </w:p>
    <w:p>
      <w:pPr>
        <w:spacing w:after="120"/>
      </w:pPr>
      <w:r>
        <w:rPr>
          <w:rFonts w:ascii="Calibri" w:hAnsi="Calibri" w:cs="Calibri"/>
          <w:i/>
          <w:color w:val="6B6557"/>
          <w:sz w:val="20"/>
          <w:szCs w:val="20"/>
        </w:rPr>
        <w:t xml:space="preserve">▸ Click — the animal runs you to the next day</w:t>
      </w:r>
    </w:p>
    <w:p>
      <w:r>
        <w:br w:type="page"/>
      </w:r>
    </w:p>
    <w:p>
      <w:pPr>
        <w:keepNext/>
        <w:spacing w:after="60"/>
      </w:pPr>
      <w:r>
        <w:rPr>
          <w:rFonts w:ascii="Georgia" w:hAnsi="Georgia" w:cs="Georgia"/>
          <w:b/>
          <w:color w:val="B90646"/>
          <w:sz w:val="36"/>
          <w:szCs w:val="36"/>
        </w:rPr>
        <w:t xml:space="preserve">2.  The 10-year</w:t>
      </w:r>
      <w:r>
        <w:rPr>
          <w:rFonts w:ascii="Georgia" w:hAnsi="Georgia" w:cs="Georgia"/>
          <w:color w:val="1A1712"/>
          <w:sz w:val="28"/>
          <w:szCs w:val="28"/>
        </w:rPr>
        <w:t xml:space="preserve">  —  Five per cent</w:t>
      </w:r>
    </w:p>
    <w:p>
      <w:pPr>
        <w:pBdr>
          <w:bottom w:val="single" w:sz="6" w:space="4" w:color="D8D1C2"/>
        </w:pBdr>
        <w:spacing w:after="120"/>
      </w:pPr>
      <w:r>
        <w:rPr>
          <w:rFonts w:ascii="Calibri" w:hAnsi="Calibri" w:cs="Calibri"/>
          <w:color w:val="6B6557"/>
          <w:sz w:val="20"/>
          <w:szCs w:val="20"/>
        </w:rPr>
        <w:t xml:space="preserve">Mon 21 – Thu 24 Sep  ·  about 0:39  ·  Bear</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The 10-year hit 5.18% on Thursday, its highest since 2007 — and almost all of the rise is real yield, not inflation fear.</w:t>
      </w:r>
    </w:p>
    <w:p>
      <w:pPr>
        <w:spacing w:after="20"/>
      </w:pPr>
      <w:r>
        <w:rPr>
          <w:rFonts w:ascii="Calibri" w:hAnsi="Calibri" w:cs="Calibri"/>
          <w:color w:val="6B6557"/>
          <w:sz w:val="20"/>
          <w:szCs w:val="20"/>
        </w:rPr>
        <w:t xml:space="preserve">•  US 10-year yield  5.18%  +7bp</w:t>
      </w:r>
    </w:p>
    <w:p>
      <w:pPr>
        <w:spacing w:after="20"/>
      </w:pPr>
      <w:r>
        <w:rPr>
          <w:rFonts w:ascii="Calibri" w:hAnsi="Calibri" w:cs="Calibri"/>
          <w:color w:val="6B6557"/>
          <w:sz w:val="20"/>
          <w:szCs w:val="20"/>
        </w:rPr>
        <w:t xml:space="preserve">•  10-year real yield  2.76%</w:t>
      </w:r>
    </w:p>
    <w:p>
      <w:pPr>
        <w:spacing w:after="20"/>
      </w:pPr>
      <w:r>
        <w:rPr>
          <w:rFonts w:ascii="Calibri" w:hAnsi="Calibri" w:cs="Calibri"/>
          <w:color w:val="6B6557"/>
          <w:sz w:val="20"/>
          <w:szCs w:val="20"/>
        </w:rPr>
        <w:t xml:space="preserve">•  5-year auction  3.1bp tail</w:t>
      </w:r>
    </w:p>
    <w:p>
      <w:pPr>
        <w:spacing w:after="20"/>
      </w:pPr>
      <w:r>
        <w:rPr>
          <w:rFonts w:ascii="Calibri" w:hAnsi="Calibri" w:cs="Calibri"/>
          <w:color w:val="6B6557"/>
          <w:sz w:val="20"/>
          <w:szCs w:val="20"/>
        </w:rPr>
        <w:t xml:space="preserve">•  Chart: US 10-year yield, month-end</w:t>
      </w:r>
    </w:p>
    <w:p>
      <w:pPr>
        <w:spacing w:after="20"/>
      </w:pPr>
      <w:r>
        <w:rPr>
          <w:rFonts w:ascii="Calibri" w:hAnsi="Calibri" w:cs="Calibri"/>
          <w:color w:val="6B6557"/>
          <w:sz w:val="20"/>
          <w:szCs w:val="20"/>
        </w:rPr>
        <w:t xml:space="preserve">•  Chart: Where the past year's rise came from</w:t>
      </w:r>
    </w:p>
    <w:p>
      <w:pPr>
        <w:spacing w:after="100"/>
      </w:pPr>
      <w:r>
        <w:t xml:space="preserve"/>
      </w:r>
    </w:p>
    <w:p>
      <w:pPr>
        <w:spacing w:after="200" w:line="340" w:lineRule="auto"/>
      </w:pPr>
      <w:r>
        <w:rPr>
          <w:rFonts w:ascii="Calibri" w:hAnsi="Calibri" w:cs="Calibri"/>
          <w:sz w:val="26"/>
          <w:szCs w:val="26"/>
        </w:rPr>
        <w:t xml:space="preserve">The ten-year closed at five point one eight per cent on Thursday — the highest since 2007, and up a full percentage point this year.</w:t>
      </w:r>
    </w:p>
    <w:p>
      <w:pPr>
        <w:spacing w:after="120"/>
      </w:pPr>
      <w:r>
        <w:rPr>
          <w:rFonts w:ascii="Calibri" w:hAnsi="Calibri" w:cs="Calibri"/>
          <w:i/>
          <w:color w:val="6B6557"/>
          <w:sz w:val="20"/>
          <w:szCs w:val="20"/>
        </w:rPr>
        <w:t xml:space="preserve">▸ Click — the first chart draws</w:t>
      </w:r>
    </w:p>
    <w:p>
      <w:pPr>
        <w:spacing w:after="200" w:line="340" w:lineRule="auto"/>
      </w:pPr>
      <w:r>
        <w:rPr>
          <w:rFonts w:ascii="Calibri" w:hAnsi="Calibri" w:cs="Calibri"/>
          <w:sz w:val="26"/>
          <w:szCs w:val="26"/>
        </w:rPr>
        <w:t xml:space="preserve">The right-hand chart is the part people miss. The whole rise over the past year is real yield; inflation expectations haven't moved. Investors want more to lend to Washington — and Wednesday's five-year auction drew the weakest demand since 2018.</w:t>
      </w:r>
    </w:p>
    <w:p>
      <w:pPr>
        <w:spacing w:after="120"/>
      </w:pPr>
      <w:r>
        <w:rPr>
          <w:rFonts w:ascii="Calibri" w:hAnsi="Calibri" w:cs="Calibri"/>
          <w:i/>
          <w:color w:val="6B6557"/>
          <w:sz w:val="20"/>
          <w:szCs w:val="20"/>
        </w:rPr>
        <w:t xml:space="preserve">▸ Click — the second chart draws</w:t>
      </w:r>
    </w:p>
    <w:p>
      <w:pPr>
        <w:spacing w:after="200" w:line="340" w:lineRule="auto"/>
      </w:pPr>
      <w:r>
        <w:rPr>
          <w:rFonts w:ascii="Calibri" w:hAnsi="Calibri" w:cs="Calibri"/>
          <w:sz w:val="26"/>
          <w:szCs w:val="26"/>
        </w:rPr>
        <w:t xml:space="preserve">Thursday added fuel: a survey showed input costs rising at the fastest pace in four years, and the New York Fed's John Williams said another hike may be appropriate.</w:t>
      </w:r>
    </w:p>
    <w:p>
      <w:pPr>
        <w:spacing w:after="120"/>
      </w:pPr>
      <w:r>
        <w:rPr>
          <w:rFonts w:ascii="Calibri" w:hAnsi="Calibri" w:cs="Calibri"/>
          <w:i/>
          <w:color w:val="6B6557"/>
          <w:sz w:val="20"/>
          <w:szCs w:val="20"/>
        </w:rPr>
        <w:t xml:space="preserve">▸ Click — the animal runs you to the next day</w:t>
      </w:r>
    </w:p>
    <w:p>
      <w:r>
        <w:br w:type="page"/>
      </w:r>
    </w:p>
    <w:p>
      <w:pPr>
        <w:keepNext/>
        <w:spacing w:after="60"/>
      </w:pPr>
      <w:r>
        <w:rPr>
          <w:rFonts w:ascii="Georgia" w:hAnsi="Georgia" w:cs="Georgia"/>
          <w:b/>
          <w:color w:val="B90646"/>
          <w:sz w:val="36"/>
          <w:szCs w:val="36"/>
        </w:rPr>
        <w:t xml:space="preserve">3.  The war</w:t>
      </w:r>
      <w:r>
        <w:rPr>
          <w:rFonts w:ascii="Georgia" w:hAnsi="Georgia" w:cs="Georgia"/>
          <w:color w:val="1A1712"/>
          <w:sz w:val="28"/>
          <w:szCs w:val="28"/>
        </w:rPr>
        <w:t xml:space="preserve">  —  Hormuz</w:t>
      </w:r>
    </w:p>
    <w:p>
      <w:pPr>
        <w:pBdr>
          <w:bottom w:val="single" w:sz="6" w:space="4" w:color="D8D1C2"/>
        </w:pBdr>
        <w:spacing w:after="120"/>
      </w:pPr>
      <w:r>
        <w:rPr>
          <w:rFonts w:ascii="Calibri" w:hAnsi="Calibri" w:cs="Calibri"/>
          <w:color w:val="6B6557"/>
          <w:sz w:val="20"/>
          <w:szCs w:val="20"/>
        </w:rPr>
        <w:t xml:space="preserve">Since 28 Feb  ·  about 0:44  ·  Bear</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Seven months into the war with Iran, the Gulf ships little more than half its pre-war oil — and every headline from the UN moves Brent by dollars.</w:t>
      </w:r>
    </w:p>
    <w:p>
      <w:pPr>
        <w:spacing w:after="20"/>
      </w:pPr>
      <w:r>
        <w:rPr>
          <w:rFonts w:ascii="Calibri" w:hAnsi="Calibri" w:cs="Calibri"/>
          <w:color w:val="6B6557"/>
          <w:sz w:val="20"/>
          <w:szCs w:val="20"/>
        </w:rPr>
        <w:t xml:space="preserve">•  Brent crude  $106.60  +3.41%</w:t>
      </w:r>
    </w:p>
    <w:p>
      <w:pPr>
        <w:spacing w:after="20"/>
      </w:pPr>
      <w:r>
        <w:rPr>
          <w:rFonts w:ascii="Calibri" w:hAnsi="Calibri" w:cs="Calibri"/>
          <w:color w:val="6B6557"/>
          <w:sz w:val="20"/>
          <w:szCs w:val="20"/>
        </w:rPr>
        <w:t xml:space="preserve">•  Gulf crude exports  ~8–9m b/d</w:t>
      </w:r>
    </w:p>
    <w:p>
      <w:pPr>
        <w:spacing w:after="20"/>
      </w:pPr>
      <w:r>
        <w:rPr>
          <w:rFonts w:ascii="Calibri" w:hAnsi="Calibri" w:cs="Calibri"/>
          <w:color w:val="6B6557"/>
          <w:sz w:val="20"/>
          <w:szCs w:val="20"/>
        </w:rPr>
        <w:t xml:space="preserve">•  US diesel  $6.50/gal</w:t>
      </w:r>
    </w:p>
    <w:p>
      <w:pPr>
        <w:spacing w:after="20"/>
      </w:pPr>
      <w:r>
        <w:rPr>
          <w:rFonts w:ascii="Calibri" w:hAnsi="Calibri" w:cs="Calibri"/>
          <w:color w:val="6B6557"/>
          <w:sz w:val="20"/>
          <w:szCs w:val="20"/>
        </w:rPr>
        <w:t xml:space="preserve">•  Chart: Brent, monthly average</w:t>
      </w:r>
    </w:p>
    <w:p>
      <w:pPr>
        <w:spacing w:after="20"/>
      </w:pPr>
      <w:r>
        <w:rPr>
          <w:rFonts w:ascii="Calibri" w:hAnsi="Calibri" w:cs="Calibri"/>
          <w:color w:val="6B6557"/>
          <w:sz w:val="20"/>
          <w:szCs w:val="20"/>
        </w:rPr>
        <w:t xml:space="preserve">•  Chart: Brent this week</w:t>
      </w:r>
    </w:p>
    <w:p>
      <w:pPr>
        <w:spacing w:after="100"/>
      </w:pPr>
      <w:r>
        <w:t xml:space="preserve"/>
      </w:r>
    </w:p>
    <w:p>
      <w:pPr>
        <w:spacing w:after="200" w:line="340" w:lineRule="auto"/>
      </w:pPr>
      <w:r>
        <w:rPr>
          <w:rFonts w:ascii="Calibri" w:hAnsi="Calibri" w:cs="Calibri"/>
          <w:sz w:val="26"/>
          <w:szCs w:val="26"/>
        </w:rPr>
        <w:t xml:space="preserve">Behind the yields is the war. Seven months in, the Gulf is exporting eight or nine million barrels a day — against fifteen before. Brent went from seventy-two dollars to a closing peak near a hundred and eighteen.</w:t>
      </w:r>
    </w:p>
    <w:p>
      <w:pPr>
        <w:spacing w:after="120"/>
      </w:pPr>
      <w:r>
        <w:rPr>
          <w:rFonts w:ascii="Calibri" w:hAnsi="Calibri" w:cs="Calibri"/>
          <w:i/>
          <w:color w:val="6B6557"/>
          <w:sz w:val="20"/>
          <w:szCs w:val="20"/>
        </w:rPr>
        <w:t xml:space="preserve">▸ Click — the first chart draws</w:t>
      </w:r>
    </w:p>
    <w:p>
      <w:pPr>
        <w:spacing w:after="200" w:line="340" w:lineRule="auto"/>
      </w:pPr>
      <w:r>
        <w:rPr>
          <w:rFonts w:ascii="Calibri" w:hAnsi="Calibri" w:cs="Calibri"/>
          <w:sz w:val="26"/>
          <w:szCs w:val="26"/>
        </w:rPr>
        <w:t xml:space="preserve">This week shows how headline-driven it is. Brent slipped below a hundred on hopes for the UN talks, jumped almost four per cent on Wednesday when they didn't deliver, and more than three per cent on Thursday after Houthi missile attacks on Saudi Arabia.</w:t>
      </w:r>
    </w:p>
    <w:p>
      <w:pPr>
        <w:spacing w:after="120"/>
      </w:pPr>
      <w:r>
        <w:rPr>
          <w:rFonts w:ascii="Calibri" w:hAnsi="Calibri" w:cs="Calibri"/>
          <w:i/>
          <w:color w:val="6B6557"/>
          <w:sz w:val="20"/>
          <w:szCs w:val="20"/>
        </w:rPr>
        <w:t xml:space="preserve">▸ Click — the second chart draws</w:t>
      </w:r>
    </w:p>
    <w:p>
      <w:pPr>
        <w:spacing w:after="200" w:line="340" w:lineRule="auto"/>
      </w:pPr>
      <w:r>
        <w:rPr>
          <w:rFonts w:ascii="Calibri" w:hAnsi="Calibri" w:cs="Calibri"/>
          <w:sz w:val="26"/>
          <w:szCs w:val="26"/>
        </w:rPr>
        <w:t xml:space="preserve">Iran has floated a sixty-day ceasefire, and President Trump says a deal is likely after the midterms on the third of November.</w:t>
      </w:r>
    </w:p>
    <w:p>
      <w:pPr>
        <w:spacing w:after="120"/>
      </w:pPr>
      <w:r>
        <w:rPr>
          <w:rFonts w:ascii="Calibri" w:hAnsi="Calibri" w:cs="Calibri"/>
          <w:i/>
          <w:color w:val="6B6557"/>
          <w:sz w:val="20"/>
          <w:szCs w:val="20"/>
        </w:rPr>
        <w:t xml:space="preserve">▸ Click — the animal runs you to the next day</w:t>
      </w:r>
    </w:p>
    <w:p>
      <w:r>
        <w:br w:type="page"/>
      </w:r>
    </w:p>
    <w:p>
      <w:pPr>
        <w:keepNext/>
        <w:spacing w:after="60"/>
      </w:pPr>
      <w:r>
        <w:rPr>
          <w:rFonts w:ascii="Georgia" w:hAnsi="Georgia" w:cs="Georgia"/>
          <w:b/>
          <w:color w:val="B90646"/>
          <w:sz w:val="36"/>
          <w:szCs w:val="36"/>
        </w:rPr>
        <w:t xml:space="preserve">4.  Oil to rates</w:t>
      </w:r>
      <w:r>
        <w:rPr>
          <w:rFonts w:ascii="Georgia" w:hAnsi="Georgia" w:cs="Georgia"/>
          <w:color w:val="1A1712"/>
          <w:sz w:val="28"/>
          <w:szCs w:val="28"/>
        </w:rPr>
        <w:t xml:space="preserve">  —  The transmission</w:t>
      </w:r>
    </w:p>
    <w:p>
      <w:pPr>
        <w:pBdr>
          <w:bottom w:val="single" w:sz="6" w:space="4" w:color="D8D1C2"/>
        </w:pBdr>
        <w:spacing w:after="120"/>
      </w:pPr>
      <w:r>
        <w:rPr>
          <w:rFonts w:ascii="Calibri" w:hAnsi="Calibri" w:cs="Calibri"/>
          <w:color w:val="6B6557"/>
          <w:sz w:val="20"/>
          <w:szCs w:val="20"/>
        </w:rPr>
        <w:t xml:space="preserve">Latest prints  ·  about 0:25  ·  Bear</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Oil is feeding straight into inflation on both sides of the Atlantic — which is why the Fed hiked, and why markets expect it to go again.</w:t>
      </w:r>
    </w:p>
    <w:p>
      <w:pPr>
        <w:spacing w:after="20"/>
      </w:pPr>
      <w:r>
        <w:rPr>
          <w:rFonts w:ascii="Calibri" w:hAnsi="Calibri" w:cs="Calibri"/>
          <w:color w:val="6B6557"/>
          <w:sz w:val="20"/>
          <w:szCs w:val="20"/>
        </w:rPr>
        <w:t xml:space="preserve">•  US energy prices  +16.3%</w:t>
      </w:r>
    </w:p>
    <w:p>
      <w:pPr>
        <w:spacing w:after="20"/>
      </w:pPr>
      <w:r>
        <w:rPr>
          <w:rFonts w:ascii="Calibri" w:hAnsi="Calibri" w:cs="Calibri"/>
          <w:color w:val="6B6557"/>
          <w:sz w:val="20"/>
          <w:szCs w:val="20"/>
        </w:rPr>
        <w:t xml:space="preserve">•  Euro-area inflation  3.2%</w:t>
      </w:r>
    </w:p>
    <w:p>
      <w:pPr>
        <w:spacing w:after="20"/>
      </w:pPr>
      <w:r>
        <w:rPr>
          <w:rFonts w:ascii="Calibri" w:hAnsi="Calibri" w:cs="Calibri"/>
          <w:color w:val="6B6557"/>
          <w:sz w:val="20"/>
          <w:szCs w:val="20"/>
        </w:rPr>
        <w:t xml:space="preserve">•  October hike odds  69%</w:t>
      </w:r>
    </w:p>
    <w:p>
      <w:pPr>
        <w:spacing w:after="20"/>
      </w:pPr>
      <w:r>
        <w:rPr>
          <w:rFonts w:ascii="Calibri" w:hAnsi="Calibri" w:cs="Calibri"/>
          <w:color w:val="6B6557"/>
          <w:sz w:val="20"/>
          <w:szCs w:val="20"/>
        </w:rPr>
        <w:t xml:space="preserve">•  Chart: Inflation against the 2% target</w:t>
      </w:r>
    </w:p>
    <w:p>
      <w:pPr>
        <w:spacing w:after="100"/>
      </w:pPr>
      <w:r>
        <w:t xml:space="preserve"/>
      </w:r>
    </w:p>
    <w:p>
      <w:pPr>
        <w:spacing w:after="200" w:line="340" w:lineRule="auto"/>
      </w:pPr>
      <w:r>
        <w:rPr>
          <w:rFonts w:ascii="Calibri" w:hAnsi="Calibri" w:cs="Calibri"/>
          <w:sz w:val="26"/>
          <w:szCs w:val="26"/>
        </w:rPr>
        <w:t xml:space="preserve">So how does a war become a five per cent yield? Through inflation. US energy prices are up sixteen per cent on a year ago, and petrol twenty-seven.</w:t>
      </w:r>
    </w:p>
    <w:p>
      <w:pPr>
        <w:spacing w:after="120"/>
      </w:pPr>
      <w:r>
        <w:rPr>
          <w:rFonts w:ascii="Calibri" w:hAnsi="Calibri" w:cs="Calibri"/>
          <w:i/>
          <w:color w:val="6B6557"/>
          <w:sz w:val="20"/>
          <w:szCs w:val="20"/>
        </w:rPr>
        <w:t xml:space="preserve">▸ Click — the chart draws</w:t>
      </w:r>
    </w:p>
    <w:p>
      <w:pPr>
        <w:spacing w:after="200" w:line="340" w:lineRule="auto"/>
      </w:pPr>
      <w:r>
        <w:rPr>
          <w:rFonts w:ascii="Calibri" w:hAnsi="Calibri" w:cs="Calibri"/>
          <w:sz w:val="26"/>
          <w:szCs w:val="26"/>
        </w:rPr>
        <w:t xml:space="preserve">Every bar is well above the two per cent target. That's why the Fed hiked on the sixteenth — and why markets put roughly seven-in-ten odds on another hike in late October.</w:t>
      </w:r>
    </w:p>
    <w:p>
      <w:pPr>
        <w:spacing w:after="120"/>
      </w:pPr>
      <w:r>
        <w:rPr>
          <w:rFonts w:ascii="Calibri" w:hAnsi="Calibri" w:cs="Calibri"/>
          <w:i/>
          <w:color w:val="6B6557"/>
          <w:sz w:val="20"/>
          <w:szCs w:val="20"/>
        </w:rPr>
        <w:t xml:space="preserve">▸ Click — the animal runs you to the next day</w:t>
      </w:r>
    </w:p>
    <w:p>
      <w:r>
        <w:br w:type="page"/>
      </w:r>
    </w:p>
    <w:p>
      <w:pPr>
        <w:keepNext/>
        <w:spacing w:after="60"/>
      </w:pPr>
      <w:r>
        <w:rPr>
          <w:rFonts w:ascii="Georgia" w:hAnsi="Georgia" w:cs="Georgia"/>
          <w:b/>
          <w:color w:val="B90646"/>
          <w:sz w:val="36"/>
          <w:szCs w:val="36"/>
        </w:rPr>
        <w:t xml:space="preserve">5.  Xi and Trump</w:t>
      </w:r>
      <w:r>
        <w:rPr>
          <w:rFonts w:ascii="Georgia" w:hAnsi="Georgia" w:cs="Georgia"/>
          <w:color w:val="1A1712"/>
          <w:sz w:val="28"/>
          <w:szCs w:val="28"/>
        </w:rPr>
        <w:t xml:space="preserve">  —  A short truce</w:t>
      </w:r>
    </w:p>
    <w:p>
      <w:pPr>
        <w:pBdr>
          <w:bottom w:val="single" w:sz="6" w:space="4" w:color="D8D1C2"/>
        </w:pBdr>
        <w:spacing w:after="120"/>
      </w:pPr>
      <w:r>
        <w:rPr>
          <w:rFonts w:ascii="Calibri" w:hAnsi="Calibri" w:cs="Calibri"/>
          <w:color w:val="6B6557"/>
          <w:sz w:val="20"/>
          <w:szCs w:val="20"/>
        </w:rPr>
        <w:t xml:space="preserve">Wed 23 – Fri 25 Sep  ·  about 0:39  ·  Bull lean  ·  Summit readouts due Friday</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The summit kept the peace but bought only two months: the truce now runs to 10 January, short of the three to six months markets hoped for.</w:t>
      </w:r>
    </w:p>
    <w:p>
      <w:pPr>
        <w:spacing w:after="20"/>
      </w:pPr>
      <w:r>
        <w:rPr>
          <w:rFonts w:ascii="Calibri" w:hAnsi="Calibri" w:cs="Calibri"/>
          <w:color w:val="6B6557"/>
          <w:sz w:val="20"/>
          <w:szCs w:val="20"/>
        </w:rPr>
        <w:t xml:space="preserve">•  Truce now ends  10 Jan</w:t>
      </w:r>
    </w:p>
    <w:p>
      <w:pPr>
        <w:spacing w:after="20"/>
      </w:pPr>
      <w:r>
        <w:rPr>
          <w:rFonts w:ascii="Calibri" w:hAnsi="Calibri" w:cs="Calibri"/>
          <w:color w:val="6B6557"/>
          <w:sz w:val="20"/>
          <w:szCs w:val="20"/>
        </w:rPr>
        <w:t xml:space="preserve">•  CSI 300  4,439  -1.73%</w:t>
      </w:r>
    </w:p>
    <w:p>
      <w:pPr>
        <w:spacing w:after="20"/>
      </w:pPr>
      <w:r>
        <w:rPr>
          <w:rFonts w:ascii="Calibri" w:hAnsi="Calibri" w:cs="Calibri"/>
          <w:color w:val="6B6557"/>
          <w:sz w:val="20"/>
          <w:szCs w:val="20"/>
        </w:rPr>
        <w:t xml:space="preserve">•  Yuan fixing  6.7459</w:t>
      </w:r>
    </w:p>
    <w:p>
      <w:pPr>
        <w:spacing w:after="20"/>
      </w:pPr>
      <w:r>
        <w:rPr>
          <w:rFonts w:ascii="Calibri" w:hAnsi="Calibri" w:cs="Calibri"/>
          <w:color w:val="6B6557"/>
          <w:sz w:val="20"/>
          <w:szCs w:val="20"/>
        </w:rPr>
        <w:t xml:space="preserve">•  Chart: China and Hong Kong stocks, rebased</w:t>
      </w:r>
    </w:p>
    <w:p>
      <w:pPr>
        <w:spacing w:after="100"/>
      </w:pPr>
      <w:r>
        <w:t xml:space="preserve"/>
      </w:r>
    </w:p>
    <w:p>
      <w:pPr>
        <w:spacing w:after="200" w:line="340" w:lineRule="auto"/>
      </w:pPr>
      <w:r>
        <w:rPr>
          <w:rFonts w:ascii="Calibri" w:hAnsi="Calibri" w:cs="Calibri"/>
          <w:sz w:val="26"/>
          <w:szCs w:val="26"/>
        </w:rPr>
        <w:t xml:space="preserve">The other lever is China, and here the bull wins. Xi Jinping met President Trump at the White House on Thursday, and the truce that was due to end on the tenth of November now runs to the tenth of January — past the midterms.</w:t>
      </w:r>
    </w:p>
    <w:p>
      <w:pPr>
        <w:spacing w:after="120"/>
      </w:pPr>
      <w:r>
        <w:rPr>
          <w:rFonts w:ascii="Calibri" w:hAnsi="Calibri" w:cs="Calibri"/>
          <w:i/>
          <w:color w:val="6B6557"/>
          <w:sz w:val="20"/>
          <w:szCs w:val="20"/>
        </w:rPr>
        <w:t xml:space="preserve">▸ Click — the chart draws</w:t>
      </w:r>
    </w:p>
    <w:p>
      <w:pPr>
        <w:spacing w:after="200" w:line="340" w:lineRule="auto"/>
      </w:pPr>
      <w:r>
        <w:rPr>
          <w:rFonts w:ascii="Calibri" w:hAnsi="Calibri" w:cs="Calibri"/>
          <w:sz w:val="26"/>
          <w:szCs w:val="26"/>
        </w:rPr>
        <w:t xml:space="preserve">The yuan fixing is the strongest since early 2023.</w:t>
      </w:r>
    </w:p>
    <w:p>
      <w:pPr>
        <w:spacing w:after="200" w:line="340" w:lineRule="auto"/>
      </w:pPr>
      <w:r>
        <w:rPr>
          <w:rFonts w:ascii="Calibri" w:hAnsi="Calibri" w:cs="Calibri"/>
          <w:sz w:val="26"/>
          <w:szCs w:val="26"/>
        </w:rPr>
        <w:t xml:space="preserve">The catch: two months is short of the three to six markets hoped for, and the CSI 300 gave back its rally. Mainland markets are shut today for the Mid-Autumn Festival, so the full verdict comes Monday.</w:t>
      </w:r>
    </w:p>
    <w:p>
      <w:pPr>
        <w:spacing w:after="120"/>
      </w:pPr>
      <w:r>
        <w:rPr>
          <w:rFonts w:ascii="Calibri" w:hAnsi="Calibri" w:cs="Calibri"/>
          <w:i/>
          <w:color w:val="6B6557"/>
          <w:sz w:val="20"/>
          <w:szCs w:val="20"/>
        </w:rPr>
        <w:t xml:space="preserve">▸ Click — the animal runs you to the next day</w:t>
      </w:r>
    </w:p>
    <w:p>
      <w:r>
        <w:br w:type="page"/>
      </w:r>
    </w:p>
    <w:p>
      <w:pPr>
        <w:keepNext/>
        <w:spacing w:after="60"/>
      </w:pPr>
      <w:r>
        <w:rPr>
          <w:rFonts w:ascii="Georgia" w:hAnsi="Georgia" w:cs="Georgia"/>
          <w:b/>
          <w:color w:val="B90646"/>
          <w:sz w:val="36"/>
          <w:szCs w:val="36"/>
        </w:rPr>
        <w:t xml:space="preserve">6.  Portfolios</w:t>
      </w:r>
      <w:r>
        <w:rPr>
          <w:rFonts w:ascii="Georgia" w:hAnsi="Georgia" w:cs="Georgia"/>
          <w:color w:val="1A1712"/>
          <w:sz w:val="28"/>
          <w:szCs w:val="28"/>
        </w:rPr>
        <w:t xml:space="preserve">  —  Nowhere to hide</w:t>
      </w:r>
    </w:p>
    <w:p>
      <w:pPr>
        <w:pBdr>
          <w:bottom w:val="single" w:sz="6" w:space="4" w:color="D8D1C2"/>
        </w:pBdr>
        <w:spacing w:after="120"/>
      </w:pPr>
      <w:r>
        <w:rPr>
          <w:rFonts w:ascii="Calibri" w:hAnsi="Calibri" w:cs="Calibri"/>
          <w:color w:val="6B6557"/>
          <w:sz w:val="20"/>
          <w:szCs w:val="20"/>
        </w:rPr>
        <w:t xml:space="preserve">Wed 23 – Thu 24 Sep  ·  about 0:38  ·  Bear</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Wednesday is the day to remember: stocks, bonds and gold all fell together, and the usual hedges did not hedge.</w:t>
      </w:r>
    </w:p>
    <w:p>
      <w:pPr>
        <w:spacing w:after="20"/>
      </w:pPr>
      <w:r>
        <w:rPr>
          <w:rFonts w:ascii="Calibri" w:hAnsi="Calibri" w:cs="Calibri"/>
          <w:color w:val="6B6557"/>
          <w:sz w:val="20"/>
          <w:szCs w:val="20"/>
        </w:rPr>
        <w:t xml:space="preserve">•  A 60/40 fund, Wednesday  −0.97%</w:t>
      </w:r>
    </w:p>
    <w:p>
      <w:pPr>
        <w:spacing w:after="20"/>
      </w:pPr>
      <w:r>
        <w:rPr>
          <w:rFonts w:ascii="Calibri" w:hAnsi="Calibri" w:cs="Calibri"/>
          <w:color w:val="6B6557"/>
          <w:sz w:val="20"/>
          <w:szCs w:val="20"/>
        </w:rPr>
        <w:t xml:space="preserve">•  Long Treasuries (TLT)  $79.42  -1.29%</w:t>
      </w:r>
    </w:p>
    <w:p>
      <w:pPr>
        <w:spacing w:after="20"/>
      </w:pPr>
      <w:r>
        <w:rPr>
          <w:rFonts w:ascii="Calibri" w:hAnsi="Calibri" w:cs="Calibri"/>
          <w:color w:val="6B6557"/>
          <w:sz w:val="20"/>
          <w:szCs w:val="20"/>
        </w:rPr>
        <w:t xml:space="preserve">•  Bond volatility (MOVE)  104.58  +29.7%</w:t>
      </w:r>
    </w:p>
    <w:p>
      <w:pPr>
        <w:spacing w:after="20"/>
      </w:pPr>
      <w:r>
        <w:rPr>
          <w:rFonts w:ascii="Calibri" w:hAnsi="Calibri" w:cs="Calibri"/>
          <w:color w:val="6B6557"/>
          <w:sz w:val="20"/>
          <w:szCs w:val="20"/>
        </w:rPr>
        <w:t xml:space="preserve">•  Chart: Wednesday 23 Sep: everything fell</w:t>
      </w:r>
    </w:p>
    <w:p>
      <w:pPr>
        <w:spacing w:after="20"/>
      </w:pPr>
      <w:r>
        <w:rPr>
          <w:rFonts w:ascii="Calibri" w:hAnsi="Calibri" w:cs="Calibri"/>
          <w:color w:val="6B6557"/>
          <w:sz w:val="20"/>
          <w:szCs w:val="20"/>
        </w:rPr>
        <w:t xml:space="preserve">•  Chart: Sectors this week: AI up, rate-sensitives down</w:t>
      </w:r>
    </w:p>
    <w:p>
      <w:pPr>
        <w:spacing w:after="100"/>
      </w:pPr>
      <w:r>
        <w:t xml:space="preserve"/>
      </w:r>
    </w:p>
    <w:p>
      <w:pPr>
        <w:spacing w:after="200" w:line="340" w:lineRule="auto"/>
      </w:pPr>
      <w:r>
        <w:rPr>
          <w:rFonts w:ascii="Calibri" w:hAnsi="Calibri" w:cs="Calibri"/>
          <w:sz w:val="26"/>
          <w:szCs w:val="26"/>
        </w:rPr>
        <w:t xml:space="preserve">Here is what it means for portfolios. On Wednesday, the day the ten-year jumped, stocks fell, long Treasuries fell one and a half per cent to a record low, and gold fell too. A sixty-forty fund lost about one per cent — both halves at once.</w:t>
      </w:r>
    </w:p>
    <w:p>
      <w:pPr>
        <w:spacing w:after="120"/>
      </w:pPr>
      <w:r>
        <w:rPr>
          <w:rFonts w:ascii="Calibri" w:hAnsi="Calibri" w:cs="Calibri"/>
          <w:i/>
          <w:color w:val="6B6557"/>
          <w:sz w:val="20"/>
          <w:szCs w:val="20"/>
        </w:rPr>
        <w:t xml:space="preserve">▸ Click — the first chart draws</w:t>
      </w:r>
    </w:p>
    <w:p>
      <w:pPr>
        <w:spacing w:after="200" w:line="340" w:lineRule="auto"/>
      </w:pPr>
      <w:r>
        <w:rPr>
          <w:rFonts w:ascii="Calibri" w:hAnsi="Calibri" w:cs="Calibri"/>
          <w:sz w:val="26"/>
          <w:szCs w:val="26"/>
        </w:rPr>
        <w:t xml:space="preserve">The right-hand chart shows who is paying: utilities down four per cent, real estate, financials and energy down two to three, while AI-led tech is up nearly three.</w:t>
      </w:r>
    </w:p>
    <w:p>
      <w:pPr>
        <w:spacing w:after="120"/>
      </w:pPr>
      <w:r>
        <w:rPr>
          <w:rFonts w:ascii="Calibri" w:hAnsi="Calibri" w:cs="Calibri"/>
          <w:i/>
          <w:color w:val="6B6557"/>
          <w:sz w:val="20"/>
          <w:szCs w:val="20"/>
        </w:rPr>
        <w:t xml:space="preserve">▸ Click — the second chart draws</w:t>
      </w:r>
    </w:p>
    <w:p>
      <w:pPr>
        <w:spacing w:after="200" w:line="340" w:lineRule="auto"/>
      </w:pPr>
      <w:r>
        <w:rPr>
          <w:rFonts w:ascii="Calibri" w:hAnsi="Calibri" w:cs="Calibri"/>
          <w:sz w:val="26"/>
          <w:szCs w:val="26"/>
        </w:rPr>
        <w:t xml:space="preserve">The old hedge — bonds rallying when stocks fall — doesn't work while inflation is the problem.</w:t>
      </w:r>
    </w:p>
    <w:p>
      <w:pPr>
        <w:spacing w:after="120"/>
      </w:pPr>
      <w:r>
        <w:rPr>
          <w:rFonts w:ascii="Calibri" w:hAnsi="Calibri" w:cs="Calibri"/>
          <w:i/>
          <w:color w:val="6B6557"/>
          <w:sz w:val="20"/>
          <w:szCs w:val="20"/>
        </w:rPr>
        <w:t xml:space="preserve">▸ Click — the animal runs you to the next day</w:t>
      </w:r>
    </w:p>
    <w:p>
      <w:r>
        <w:br w:type="page"/>
      </w:r>
    </w:p>
    <w:p>
      <w:pPr>
        <w:keepNext/>
        <w:spacing w:after="60"/>
      </w:pPr>
      <w:r>
        <w:rPr>
          <w:rFonts w:ascii="Georgia" w:hAnsi="Georgia" w:cs="Georgia"/>
          <w:b/>
          <w:color w:val="B90646"/>
          <w:sz w:val="36"/>
          <w:szCs w:val="36"/>
        </w:rPr>
        <w:t xml:space="preserve">7.  The Close</w:t>
      </w:r>
      <w:r>
        <w:rPr>
          <w:rFonts w:ascii="Georgia" w:hAnsi="Georgia" w:cs="Georgia"/>
          <w:color w:val="1A1712"/>
          <w:sz w:val="28"/>
          <w:szCs w:val="28"/>
        </w:rPr>
        <w:t xml:space="preserve">  —  What to watch</w:t>
      </w:r>
    </w:p>
    <w:p>
      <w:pPr>
        <w:pBdr>
          <w:bottom w:val="single" w:sz="6" w:space="4" w:color="D8D1C2"/>
        </w:pBdr>
        <w:spacing w:after="120"/>
      </w:pPr>
      <w:r>
        <w:rPr>
          <w:rFonts w:ascii="Calibri" w:hAnsi="Calibri" w:cs="Calibri"/>
          <w:color w:val="6B6557"/>
          <w:sz w:val="20"/>
          <w:szCs w:val="20"/>
        </w:rPr>
        <w:t xml:space="preserve">Fri 18 Sep → latest close  ·  about 0:36  ·  Bear lean  ·  Closes to Thursday · Friday to come</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Watch four dates: US inflation on 30 Sep, the Fed on 27–28 Oct, the midterms on 3 Nov, the truce on 10 Jan — and Hormuz.</w:t>
      </w:r>
    </w:p>
    <w:p>
      <w:pPr>
        <w:spacing w:after="100"/>
      </w:pPr>
      <w:r>
        <w:t xml:space="preserve"/>
      </w:r>
    </w:p>
    <w:p>
      <w:pPr>
        <w:spacing w:after="200" w:line="340" w:lineRule="auto"/>
      </w:pPr>
      <w:r>
        <w:rPr>
          <w:rFonts w:ascii="Calibri" w:hAnsi="Calibri" w:cs="Calibri"/>
          <w:sz w:val="26"/>
          <w:szCs w:val="26"/>
        </w:rPr>
        <w:t xml:space="preserve">So, the scoreboard from last Friday to Thursday's close. On the surface a quiet week — the Nasdaq and the S&amp;P both up. Underneath, bonds, gold and China all down. If you called bear, rates proved you right.</w:t>
      </w:r>
    </w:p>
    <w:p>
      <w:pPr>
        <w:spacing w:after="120"/>
      </w:pPr>
      <w:r>
        <w:rPr>
          <w:rFonts w:ascii="Calibri" w:hAnsi="Calibri" w:cs="Calibri"/>
          <w:i/>
          <w:color w:val="6B6557"/>
          <w:sz w:val="20"/>
          <w:szCs w:val="20"/>
        </w:rPr>
        <w:t xml:space="preserve">▸ Click — the scoreboard fills in</w:t>
      </w:r>
    </w:p>
    <w:p>
      <w:pPr>
        <w:spacing w:after="200" w:line="340" w:lineRule="auto"/>
      </w:pPr>
      <w:r>
        <w:rPr>
          <w:rFonts w:ascii="Calibri" w:hAnsi="Calibri" w:cs="Calibri"/>
          <w:sz w:val="26"/>
          <w:szCs w:val="26"/>
        </w:rPr>
        <w:t xml:space="preserve">What to watch: US inflation on the thirtieth, the Fed in late October, the midterms on the third of November, the truce deadline on the tenth of January — and any deal on Hormuz. Until one of those changes the story, the pressure on yields stays on.</w:t>
      </w:r>
    </w:p>
    <w:p>
      <w:pPr>
        <w:spacing w:after="120"/>
      </w:pPr>
      <w:r>
        <w:rPr>
          <w:rFonts w:ascii="Calibri" w:hAnsi="Calibri" w:cs="Calibri"/>
          <w:i/>
          <w:color w:val="6B6557"/>
          <w:sz w:val="20"/>
          <w:szCs w:val="20"/>
        </w:rPr>
        <w:t xml:space="preserve">▸ Click — on to the Questions page</w:t>
      </w:r>
    </w:p>
    <w:p>
      <w:r>
        <w:br w:type="page"/>
      </w:r>
    </w:p>
    <w:p>
      <w:pPr>
        <w:keepNext/>
        <w:spacing w:after="60"/>
      </w:pPr>
      <w:r>
        <w:rPr>
          <w:rFonts w:ascii="Georgia" w:hAnsi="Georgia" w:cs="Georgia"/>
          <w:b/>
          <w:color w:val="B90646"/>
          <w:sz w:val="36"/>
          <w:szCs w:val="36"/>
        </w:rPr>
        <w:t xml:space="preserve">8.  Questions</w:t>
      </w:r>
    </w:p>
    <w:p>
      <w:pPr>
        <w:pBdr>
          <w:bottom w:val="single" w:sz="6" w:space="4" w:color="D8D1C2"/>
        </w:pBdr>
        <w:spacing w:after="120"/>
      </w:pPr>
      <w:r>
        <w:rPr>
          <w:rFonts w:ascii="Calibri" w:hAnsi="Calibri" w:cs="Calibri"/>
          <w:color w:val="6B6557"/>
          <w:sz w:val="20"/>
          <w:szCs w:val="20"/>
        </w:rPr>
        <w:t xml:space="preserve">The clock stops when this page comes up. Say:</w:t>
      </w:r>
    </w:p>
    <w:p>
      <w:pPr>
        <w:spacing w:after="240" w:line="340" w:lineRule="auto"/>
      </w:pPr>
      <w:r>
        <w:rPr>
          <w:rFonts w:ascii="Calibri" w:hAnsi="Calibri" w:cs="Calibri"/>
          <w:sz w:val="26"/>
          <w:szCs w:val="26"/>
        </w:rPr>
        <w:t xml:space="preserve">“That’s the week. Happy to take any questions.”</w:t>
      </w:r>
    </w:p>
    <w:p>
      <w:pPr>
        <w:spacing w:after="160"/>
      </w:pPr>
      <w:r>
        <w:rPr>
          <w:rFonts w:ascii="Calibri" w:hAnsi="Calibri" w:cs="Calibri"/>
          <w:sz w:val="22"/>
          <w:szCs w:val="22"/>
        </w:rPr>
        <w:t xml:space="preserve">If the room is quiet, these are on the screen as prompts. Facts to draw on for each:</w:t>
      </w:r>
    </w:p>
    <w:p>
      <w:pPr>
        <w:keepNext/>
        <w:spacing w:after="80"/>
      </w:pPr>
      <w:r>
        <w:rPr>
          <w:rFonts w:ascii="Georgia" w:hAnsi="Georgia" w:cs="Georgia"/>
          <w:b/>
          <w:color w:val="1A1712"/>
          <w:sz w:val="24"/>
          <w:szCs w:val="24"/>
        </w:rPr>
        <w:t xml:space="preserve">Is 5% on the ten-year the top, or is there more to come?</w:t>
      </w:r>
    </w:p>
    <w:p>
      <w:pPr>
        <w:spacing w:after="60" w:line="300" w:lineRule="auto"/>
      </w:pPr>
      <w:r>
        <w:rPr>
          <w:rFonts w:ascii="Calibri" w:hAnsi="Calibri" w:cs="Calibri"/>
          <w:sz w:val="22"/>
          <w:szCs w:val="22"/>
        </w:rPr>
        <w:t xml:space="preserve">•  16 of the Fed's 18 officials expect at least one more hike this year (Fed projections, 16 Sep).</w:t>
      </w:r>
    </w:p>
    <w:p>
      <w:pPr>
        <w:spacing w:after="60" w:line="300" w:lineRule="auto"/>
      </w:pPr>
      <w:r>
        <w:rPr>
          <w:rFonts w:ascii="Calibri" w:hAnsi="Calibri" w:cs="Calibri"/>
          <w:sz w:val="22"/>
          <w:szCs w:val="22"/>
        </w:rPr>
        <w:t xml:space="preserve">•  The next Fed meeting is 27–28 October; markets put the odds of a hike there at about 69% (CME FedWatch via Yahoo, 24 Sep).</w:t>
      </w:r>
    </w:p>
    <w:p>
      <w:pPr>
        <w:spacing w:after="60" w:line="300" w:lineRule="auto"/>
      </w:pPr>
      <w:r>
        <w:rPr>
          <w:rFonts w:ascii="Calibri" w:hAnsi="Calibri" w:cs="Calibri"/>
          <w:sz w:val="22"/>
          <w:szCs w:val="22"/>
        </w:rPr>
        <w:t xml:space="preserve">•  Wednesday's $70bn five-year auction tailed 3.1bp, with the weakest bid-to-cover since December 2018 (investingLive; TFTC, 23 Sep).</w:t>
      </w:r>
    </w:p>
    <w:p>
      <w:pPr>
        <w:spacing w:after="60" w:line="300" w:lineRule="auto"/>
      </w:pPr>
      <w:r>
        <w:rPr>
          <w:rFonts w:ascii="Calibri" w:hAnsi="Calibri" w:cs="Calibri"/>
          <w:sz w:val="22"/>
          <w:szCs w:val="22"/>
        </w:rPr>
        <w:t xml:space="preserve">•  The past year’s rise is almost all real yield: the 10-year TIPS yield went from 1.75% to 2.76% while inflation expectations stayed flat (US Treasury, FRED).</w:t>
      </w:r>
    </w:p>
    <w:p>
      <w:pPr>
        <w:spacing w:after="60" w:line="300" w:lineRule="auto"/>
      </w:pPr>
      <w:r>
        <w:rPr>
          <w:rFonts w:ascii="Calibri" w:hAnsi="Calibri" w:cs="Calibri"/>
          <w:sz w:val="22"/>
          <w:szCs w:val="22"/>
        </w:rPr>
        <w:t xml:space="preserve">•  The 100bp is this calendar year (4.18% at the end of 2025 to 5.18%); the right-hand chart's 99bp is the twelve months to Wednesday 23 Sep, the latest real-yield data two sources agree on.</w:t>
      </w:r>
    </w:p>
    <w:p>
      <w:pPr>
        <w:spacing w:after="80"/>
      </w:pPr>
      <w:r>
        <w:t xml:space="preserve"/>
      </w:r>
    </w:p>
    <w:p>
      <w:pPr>
        <w:keepNext/>
        <w:spacing w:after="80"/>
      </w:pPr>
      <w:r>
        <w:rPr>
          <w:rFonts w:ascii="Georgia" w:hAnsi="Georgia" w:cs="Georgia"/>
          <w:b/>
          <w:color w:val="1A1712"/>
          <w:sz w:val="24"/>
          <w:szCs w:val="24"/>
        </w:rPr>
        <w:t xml:space="preserve">What would take the war premium out of oil?</w:t>
      </w:r>
    </w:p>
    <w:p>
      <w:pPr>
        <w:spacing w:after="60" w:line="300" w:lineRule="auto"/>
      </w:pPr>
      <w:r>
        <w:rPr>
          <w:rFonts w:ascii="Calibri" w:hAnsi="Calibri" w:cs="Calibri"/>
          <w:sz w:val="22"/>
          <w:szCs w:val="22"/>
        </w:rPr>
        <w:t xml:space="preserve">•  Iran's proposal at the UN: a regionwide ceasefire of up to 60 days and a phased reopening of Hormuz, which it says could happen within seven days if its conditions are met (The National, Al Jazeera, 23 Sep).</w:t>
      </w:r>
    </w:p>
    <w:p>
      <w:pPr>
        <w:spacing w:after="60" w:line="300" w:lineRule="auto"/>
      </w:pPr>
      <w:r>
        <w:rPr>
          <w:rFonts w:ascii="Calibri" w:hAnsi="Calibri" w:cs="Calibri"/>
          <w:sz w:val="22"/>
          <w:szCs w:val="22"/>
        </w:rPr>
        <w:t xml:space="preserve">•  President Trump: “I believe we’ll make a deal right after the election” — the US midterms are on 3 November (ABC News, 22 Sep).</w:t>
      </w:r>
    </w:p>
    <w:p>
      <w:pPr>
        <w:spacing w:after="60" w:line="300" w:lineRule="auto"/>
      </w:pPr>
      <w:r>
        <w:rPr>
          <w:rFonts w:ascii="Calibri" w:hAnsi="Calibri" w:cs="Calibri"/>
          <w:sz w:val="22"/>
          <w:szCs w:val="22"/>
        </w:rPr>
        <w:t xml:space="preserve">•  The Gulf is exporting about 8–9m barrels a day through Hormuz and the Fujairah pipeline, against about 15m before the war (AP, 24 Sep).</w:t>
      </w:r>
    </w:p>
    <w:p>
      <w:pPr>
        <w:spacing w:after="60" w:line="300" w:lineRule="auto"/>
      </w:pPr>
      <w:r>
        <w:rPr>
          <w:rFonts w:ascii="Calibri" w:hAnsi="Calibri" w:cs="Calibri"/>
          <w:sz w:val="22"/>
          <w:szCs w:val="22"/>
        </w:rPr>
        <w:t xml:space="preserve">•  Seven OPEC+ countries meet on 4 October (OPEC).</w:t>
      </w:r>
    </w:p>
    <w:p>
      <w:pPr>
        <w:spacing w:after="80"/>
      </w:pPr>
      <w:r>
        <w:t xml:space="preserve"/>
      </w:r>
    </w:p>
    <w:p>
      <w:pPr>
        <w:keepNext/>
        <w:spacing w:after="80"/>
      </w:pPr>
      <w:r>
        <w:rPr>
          <w:rFonts w:ascii="Georgia" w:hAnsi="Georgia" w:cs="Georgia"/>
          <w:b/>
          <w:color w:val="1A1712"/>
          <w:sz w:val="24"/>
          <w:szCs w:val="24"/>
        </w:rPr>
        <w:t xml:space="preserve">What still diversifies a portfolio when stocks and bonds fall together?</w:t>
      </w:r>
    </w:p>
    <w:p>
      <w:pPr>
        <w:spacing w:after="60" w:line="300" w:lineRule="auto"/>
      </w:pPr>
      <w:r>
        <w:rPr>
          <w:rFonts w:ascii="Calibri" w:hAnsi="Calibri" w:cs="Calibri"/>
          <w:sz w:val="22"/>
          <w:szCs w:val="22"/>
        </w:rPr>
        <w:t xml:space="preserve">•  On Wednesday a 60/40 fund (iShares AOR) fell about 1% as both halves fell (CNBC, 23 Sep).</w:t>
      </w:r>
    </w:p>
    <w:p>
      <w:pPr>
        <w:spacing w:after="60" w:line="300" w:lineRule="auto"/>
      </w:pPr>
      <w:r>
        <w:rPr>
          <w:rFonts w:ascii="Calibri" w:hAnsi="Calibri" w:cs="Calibri"/>
          <w:sz w:val="22"/>
          <w:szCs w:val="22"/>
        </w:rPr>
        <w:t xml:space="preserve">•  To Thursday, gold fell 2.9% and long Treasuries 2.3% on the week; the dollar index rose 1.1%.</w:t>
      </w:r>
    </w:p>
    <w:p>
      <w:pPr>
        <w:spacing w:after="60" w:line="300" w:lineRule="auto"/>
      </w:pPr>
      <w:r>
        <w:rPr>
          <w:rFonts w:ascii="Calibri" w:hAnsi="Calibri" w:cs="Calibri"/>
          <w:sz w:val="22"/>
          <w:szCs w:val="22"/>
        </w:rPr>
        <w:t xml:space="preserve">•  Energy was the best S&amp;P 500 sector in 2026 to the end of August, up 42% (Investing.com, 31 Aug), though it fell 2.7% this week.</w:t>
      </w:r>
    </w:p>
    <w:p>
      <w:pPr>
        <w:spacing w:after="60" w:line="300" w:lineRule="auto"/>
      </w:pPr>
      <w:r>
        <w:rPr>
          <w:rFonts w:ascii="Calibri" w:hAnsi="Calibri" w:cs="Calibri"/>
          <w:sz w:val="22"/>
          <w:szCs w:val="22"/>
        </w:rPr>
        <w:t xml:space="preserve">•  Bond volatility (MOVE) is up 30% this week to 104.6, while equity volatility (VIX) is under 16 (Yahoo, CNBC, 24 Sep).</w:t>
      </w:r>
    </w:p>
    <w:p>
      <w:pPr>
        <w:spacing w:after="80"/>
      </w:pPr>
      <w:r>
        <w:t xml:space="preserve"/>
      </w:r>
    </w:p>
    <w:p>
      <w:pPr>
        <w:keepNext/>
        <w:spacing w:before="200" w:after="100"/>
      </w:pPr>
      <w:r>
        <w:rPr>
          <w:rFonts w:ascii="Georgia" w:hAnsi="Georgia" w:cs="Georgia"/>
          <w:b/>
          <w:color w:val="B90646"/>
          <w:sz w:val="26"/>
          <w:szCs w:val="26"/>
        </w:rPr>
        <w:t xml:space="preserve">Sources and what’s still to come</w:t>
      </w:r>
    </w:p>
    <w:p>
      <w:pPr>
        <w:spacing w:after="60" w:line="280" w:lineRule="auto"/>
      </w:pPr>
      <w:r>
        <w:rPr>
          <w:rFonts w:ascii="Calibri" w:hAnsi="Calibri" w:cs="Calibri"/>
          <w:color w:val="6B6557"/>
          <w:sz w:val="20"/>
          <w:szCs w:val="20"/>
        </w:rPr>
        <w:t xml:space="preserve">•  Closing levels checked against FT Markets Data where FT publishes them: S&amp;P 500, Nasdaq, Brent, the US 10-year, GDX, EEM and the Hang Seng.</w:t>
      </w:r>
    </w:p>
    <w:p>
      <w:pPr>
        <w:spacing w:after="60" w:line="280" w:lineRule="auto"/>
      </w:pPr>
      <w:r>
        <w:rPr>
          <w:rFonts w:ascii="Calibri" w:hAnsi="Calibri" w:cs="Calibri"/>
          <w:color w:val="6B6557"/>
          <w:sz w:val="20"/>
          <w:szCs w:val="20"/>
        </w:rPr>
        <w:t xml:space="preserve">•  Yields: US Treasury daily par and real yield curves, matched by FRED. Brent: ICE settlements via Investing.com and Yahoo; monthly history from the EIA.</w:t>
      </w:r>
    </w:p>
    <w:p>
      <w:pPr>
        <w:spacing w:after="60" w:line="280" w:lineRule="auto"/>
      </w:pPr>
      <w:r>
        <w:rPr>
          <w:rFonts w:ascii="Calibri" w:hAnsi="Calibri" w:cs="Calibri"/>
          <w:color w:val="6B6557"/>
          <w:sz w:val="20"/>
          <w:szCs w:val="20"/>
        </w:rPr>
        <w:t xml:space="preserve">•  Portfolio figures: AP index closes; ETF closes (TLT, AGG, AOR, sector SPDRs) from Yahoo, StockAnalysis and CNBC; MOVE and VIX from Yahoo and CNBC.</w:t>
      </w:r>
    </w:p>
    <w:p>
      <w:pPr>
        <w:spacing w:after="60" w:line="280" w:lineRule="auto"/>
      </w:pPr>
      <w:r>
        <w:rPr>
          <w:rFonts w:ascii="Calibri" w:hAnsi="Calibri" w:cs="Calibri"/>
          <w:color w:val="6B6557"/>
          <w:sz w:val="20"/>
          <w:szCs w:val="20"/>
        </w:rPr>
        <w:t xml:space="preserve">•  The war: AP, Al Jazeera, ABC, RTÉ/Reuters. The summit: NBC, Fox News, Reuters, China’s commerce ministry. Inflation: BLS, BEA, Eurostat, the Fed.</w:t>
      </w:r>
    </w:p>
    <w:p>
      <w:pPr>
        <w:spacing w:after="60" w:line="280" w:lineRule="auto"/>
      </w:pPr>
      <w:r>
        <w:rPr>
          <w:rFonts w:ascii="Calibri" w:hAnsi="Calibri" w:cs="Calibri"/>
          <w:color w:val="6B6557"/>
          <w:sz w:val="20"/>
          <w:szCs w:val="20"/>
        </w:rPr>
        <w:t xml:space="preserve">•  US, European, oil and gold figures run to Thursday's close, as do China and Hong Kong (the mainland is shut on Friday). The real-yield figures are Wednesday's and the yuan fixing is 22 September's, the latest two sources agree on. Check the Friday readouts from the White House and Xinhua before presenting.</w:t>
      </w:r>
    </w:p>
    <w:sectPr>
      <w:pgSz w:w="11906" w:h="16838"/>
      <w:pgMar w:top="1134" w:right="1134" w:bottom="1134" w:left="1134" w:header="567" w:footer="567" w:gutter="0"/>
    </w:sectPr>
  </w:body>
</w:document>
</file>

<file path=word/styles.xml><?xml version="1.0" encoding="utf-8"?>
<w:styles xmlns:w="http://schemas.openxmlformats.org/wordprocessingml/2006/main">
  <w:docDefaults>
    <w:rPrDefault>
      <w:rPr>
        <w:rFonts w:ascii="Calibri" w:hAnsi="Calibri" w:cs="Calibri"/>
        <w:sz w:val="22"/>
        <w:szCs w:val="22"/>
        <w:lang w:val="en-IE"/>
      </w:rPr>
    </w:rPrDefault>
    <w:pPrDefault>
      <w:pPr>
        <w:spacing w:after="120" w:line="276"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Davy Weekly Market Update — script, 21-25 Sep 2026</dc:title>
  <dc:creator>Catalin Bondari</dc:creator>
  <dcterms:created xsi:type="dcterms:W3CDTF">2026-09-25T08:03:20Z</dcterms:created>
</cp:coreProperties>
</file>