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Metoda didactică interactivă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Conținut</w:t>
            </w:r>
          </w:p>
        </w:tc>
      </w:tr>
      <w:tr>
        <w:tc>
          <w:tcPr>
            <w:tcW w:type="dxa" w:w="4320"/>
          </w:tcPr>
          <w:p>
            <w:r>
              <w:t>1. Denumire metodă interactivă</w:t>
            </w:r>
          </w:p>
        </w:tc>
        <w:tc>
          <w:tcPr>
            <w:tcW w:type="dxa" w:w="4320"/>
          </w:tcPr>
          <w:p>
            <w:r>
              <w:t>Joc de rol</w:t>
            </w:r>
          </w:p>
        </w:tc>
      </w:tr>
      <w:tr>
        <w:tc>
          <w:tcPr>
            <w:tcW w:type="dxa" w:w="4320"/>
          </w:tcPr>
          <w:p>
            <w:r>
              <w:t>2. Descriere metodă</w:t>
            </w:r>
          </w:p>
        </w:tc>
        <w:tc>
          <w:tcPr>
            <w:tcW w:type="dxa" w:w="4320"/>
          </w:tcPr>
          <w:p>
            <w:r>
              <w:t>Studenții preiau roluri diferite într-o situație specifică (ex: manager, client, inginer) și interacționează conform rolului lor. Profesorul monitorizează și la final se face o analiză a comportamentelor și deciziilor.</w:t>
            </w:r>
          </w:p>
        </w:tc>
      </w:tr>
      <w:tr>
        <w:tc>
          <w:tcPr>
            <w:tcW w:type="dxa" w:w="4320"/>
          </w:tcPr>
          <w:p>
            <w:r>
              <w:t>3. Avantaje</w:t>
            </w:r>
          </w:p>
        </w:tc>
        <w:tc>
          <w:tcPr>
            <w:tcW w:type="dxa" w:w="4320"/>
          </w:tcPr>
          <w:p>
            <w:r>
              <w:t>- Crește implicarea activă</w:t>
              <w:br/>
              <w:t>- Dezvoltă abilități practice și de comunicare</w:t>
              <w:br/>
              <w:t>- Simulează situații reale din domeniu</w:t>
            </w:r>
          </w:p>
        </w:tc>
      </w:tr>
      <w:tr>
        <w:tc>
          <w:tcPr>
            <w:tcW w:type="dxa" w:w="4320"/>
          </w:tcPr>
          <w:p>
            <w:r>
              <w:t>3. Dezavantaje</w:t>
            </w:r>
          </w:p>
        </w:tc>
        <w:tc>
          <w:tcPr>
            <w:tcW w:type="dxa" w:w="4320"/>
          </w:tcPr>
          <w:p>
            <w:r>
              <w:t>- Necesită mai mult timp pentru pregătire</w:t>
              <w:br/>
              <w:t>- Poate fi inconfortabil pentru studenții timizi</w:t>
              <w:br/>
              <w:t>- Necesită claritate în reguli pentru eficiență</w:t>
            </w:r>
          </w:p>
        </w:tc>
      </w:tr>
      <w:tr>
        <w:tc>
          <w:tcPr>
            <w:tcW w:type="dxa" w:w="4320"/>
          </w:tcPr>
          <w:p>
            <w:r>
              <w:t>4. Aplicație pe o temă din materia de specializare</w:t>
            </w:r>
          </w:p>
        </w:tc>
        <w:tc>
          <w:tcPr>
            <w:tcW w:type="dxa" w:w="4320"/>
          </w:tcPr>
          <w:p>
            <w:r>
              <w:t>Tema: Gestionarea unui proiect IT cu conflicte între echipe</w:t>
              <w:br/>
              <w:t>Aplicare: Studenții preiau roluri de manager, programator și client și rezolvă un conflict privind termenele și resursele proiectului. La final, profesorul analizează deciziile luate și impactul lor.</w:t>
            </w:r>
          </w:p>
        </w:tc>
      </w:tr>
    </w:tbl>
    <w:p>
      <w:r>
        <w:br/>
        <w:t>Bibliografie:</w:t>
      </w:r>
    </w:p>
    <w:p>
      <w:r>
        <w:t>Pânișoară, Ion-Ovidiu (coord.), Enciclopedia metodelor de învățământ, Editura Polirom,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