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Jakarta, </w:t>
      </w:r>
      <w:r>
        <w:rPr>
          <w:rFonts w:ascii="Arial" w:hAnsi="Arial" w:cs="Arial"/>
          <w:sz w:val="22"/>
          <w:szCs w:val="22"/>
        </w:rPr>
        <w:t>%TANGGALSEKARANG%</w:t>
      </w:r>
    </w:p>
    <w:p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60"/>
        <w:gridCol w:w="59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360" w:type="dxa"/>
          </w:tcPr>
          <w:p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%NOSURAT%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60" w:type="dxa"/>
          </w:tcPr>
          <w:p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937" w:type="dxa"/>
          </w:tcPr>
          <w:p>
            <w:pPr>
              <w:rPr>
                <w:rFonts w:ascii="Arial" w:hAnsi="Arial" w:cs="Arial"/>
                <w:lang w:val="sv-S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Kepada</w:t>
            </w:r>
          </w:p>
        </w:tc>
        <w:tc>
          <w:tcPr>
            <w:tcW w:w="360" w:type="dxa"/>
          </w:tcPr>
          <w:p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>
            <w:pPr>
              <w:rPr>
                <w:rFonts w:hint="default" w:ascii="Arial" w:hAnsi="Arial" w:cs="Arial"/>
                <w:b/>
                <w:lang w:val="en-GB"/>
              </w:rPr>
            </w:pPr>
            <w:r>
              <w:rPr>
                <w:rFonts w:hint="default" w:ascii="Arial" w:hAnsi="Arial" w:cs="Arial"/>
                <w:b/>
                <w:lang w:val="en-GB"/>
              </w:rPr>
              <w:t>%KEPADA%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Dari</w:t>
            </w:r>
          </w:p>
        </w:tc>
        <w:tc>
          <w:tcPr>
            <w:tcW w:w="360" w:type="dxa"/>
          </w:tcPr>
          <w:p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>
            <w:pPr>
              <w:rPr>
                <w:rFonts w:hint="default" w:ascii="Arial" w:hAnsi="Arial" w:cs="Arial"/>
                <w:b/>
                <w:lang w:val="en-GB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GB"/>
              </w:rPr>
              <w:t>%DARI%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Hal</w:t>
            </w:r>
          </w:p>
        </w:tc>
        <w:tc>
          <w:tcPr>
            <w:tcW w:w="360" w:type="dxa"/>
          </w:tcPr>
          <w:p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>
            <w:pPr>
              <w:rPr>
                <w:rFonts w:hint="default" w:ascii="Arial" w:hAnsi="Arial" w:cs="Arial"/>
                <w:b/>
                <w:lang w:val="en-GB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GB"/>
              </w:rPr>
              <w:t>%HAL%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Lamp</w:t>
            </w:r>
          </w:p>
        </w:tc>
        <w:tc>
          <w:tcPr>
            <w:tcW w:w="360" w:type="dxa"/>
          </w:tcPr>
          <w:p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5937" w:type="dxa"/>
          </w:tcPr>
          <w:p>
            <w:pPr>
              <w:rPr>
                <w:rFonts w:hint="default" w:ascii="Arial" w:hAnsi="Arial" w:cs="Arial"/>
                <w:b/>
                <w:lang w:val="en-GB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GB"/>
              </w:rPr>
              <w:t>%LAM</w:t>
            </w:r>
            <w:bookmarkStart w:id="0" w:name="_GoBack"/>
            <w:bookmarkEnd w:id="0"/>
            <w:r>
              <w:rPr>
                <w:rFonts w:hint="default" w:ascii="Arial" w:hAnsi="Arial" w:cs="Arial"/>
                <w:b/>
                <w:sz w:val="22"/>
                <w:szCs w:val="22"/>
                <w:lang w:val="en-GB"/>
              </w:rPr>
              <w:t>%</w:t>
            </w:r>
          </w:p>
        </w:tc>
      </w:tr>
    </w:tbl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rPr>
          <w:rFonts w:ascii="Arial" w:hAnsi="Arial" w:cs="Arial"/>
          <w:b/>
          <w:sz w:val="22"/>
          <w:szCs w:val="22"/>
          <w:u w:val="single"/>
          <w:lang w:val="fi-FI"/>
        </w:rPr>
      </w:pPr>
      <w:r>
        <w:rPr>
          <w:rFonts w:ascii="Arial" w:hAnsi="Arial" w:cs="Arial"/>
          <w:b/>
          <w:sz w:val="22"/>
          <w:szCs w:val="22"/>
          <w:u w:val="single"/>
          <w:lang w:val="fi-FI"/>
        </w:rPr>
        <w:t>Surat BCA NO.083/IBC/2022 Tanggal 15 Februari 2022</w:t>
      </w:r>
    </w:p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Menunjuk surat tersebut di atas, perihal pada pokok Memo ini kami sampaikan data sebagai berikut:</w:t>
      </w:r>
    </w:p>
    <w:p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3"/>
        <w:tblW w:w="828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60"/>
        <w:gridCol w:w="3600"/>
        <w:gridCol w:w="236"/>
        <w:gridCol w:w="19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%TANGGALTRX%</w:t>
            </w:r>
          </w:p>
        </w:tc>
        <w:tc>
          <w:tcPr>
            <w:tcW w:w="236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No.Referensi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                                                                                                              </w:t>
            </w:r>
          </w:p>
        </w:tc>
        <w:tc>
          <w:tcPr>
            <w:tcW w:w="3600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%NOMORREFERENSI%</w:t>
            </w:r>
          </w:p>
        </w:tc>
        <w:tc>
          <w:tcPr>
            <w:tcW w:w="236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hint="default" w:ascii="Arial" w:hAnsi="Arial" w:cs="Arial"/>
                <w:sz w:val="22"/>
                <w:szCs w:val="22"/>
                <w:lang w:val="en-GB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GB"/>
              </w:rPr>
              <w:t>%SOR%</w:t>
            </w:r>
          </w:p>
        </w:tc>
        <w:tc>
          <w:tcPr>
            <w:tcW w:w="236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No Rekening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360" w:type="dxa"/>
            <w:vAlign w:val="center"/>
          </w:tcPr>
          <w:p>
            <w:pPr>
              <w:tabs>
                <w:tab w:val="left" w:pos="72"/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Atas permintaan retur kliring dimaksud, harap Saudara kreditkan ke rekening simsem kami, </w:t>
      </w:r>
      <w:r>
        <w:rPr>
          <w:rFonts w:ascii="Arial" w:hAnsi="Arial" w:cs="Arial"/>
          <w:b/>
          <w:sz w:val="22"/>
          <w:szCs w:val="22"/>
          <w:lang w:val="id-ID"/>
        </w:rPr>
        <w:t>760.360.200001.006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fi-FI"/>
        </w:rPr>
        <w:t>SS PERMINTAAN RETUR CABANG</w:t>
      </w:r>
      <w:r>
        <w:rPr>
          <w:rFonts w:ascii="Arial" w:hAnsi="Arial" w:cs="Arial"/>
          <w:sz w:val="22"/>
          <w:szCs w:val="22"/>
          <w:lang w:val="fi-FI"/>
        </w:rPr>
        <w:t>.</w:t>
      </w:r>
    </w:p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Monotype Corsiva" w:hAnsi="Monotype Corsiva" w:cs="Tahoma"/>
          <w:sz w:val="22"/>
          <w:szCs w:val="22"/>
          <w:lang w:val="id-ID"/>
        </w:rPr>
      </w:pPr>
      <w:r>
        <w:rPr>
          <w:rFonts w:ascii="Monotype Corsiva" w:hAnsi="Monotype Corsiva" w:cs="Tahoma"/>
          <w:sz w:val="22"/>
          <w:szCs w:val="22"/>
          <w:lang w:val="sv-SE"/>
        </w:rPr>
        <w:t xml:space="preserve">”  Kami membebaskan Bank Saudara dari segala tanggung jawab yang mungkin timbul sebagai akibat permintaan ini, dan pernyataan ini dibuat sesuai dengan ketentuan mengenai pembebasan tanggung jawab (indemnity)  yang diatur dalam </w:t>
      </w:r>
      <w:r>
        <w:rPr>
          <w:rFonts w:ascii="Monotype Corsiva" w:hAnsi="Monotype Corsiva" w:cs="Tahoma"/>
          <w:sz w:val="22"/>
          <w:szCs w:val="22"/>
          <w:lang w:val="id-ID"/>
        </w:rPr>
        <w:t xml:space="preserve">ketentuan ASPI K-1/2/X/2017"  </w:t>
      </w:r>
    </w:p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Demikian agar maklum, atas kerjasama dan perhatiannya kami ucapkan terima kasih.</w:t>
      </w: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Divisi Operasional,</w:t>
      </w: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Pemimpin Kelompok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B3"/>
    <w:rsid w:val="00123CD4"/>
    <w:rsid w:val="00150635"/>
    <w:rsid w:val="0051018F"/>
    <w:rsid w:val="005C4869"/>
    <w:rsid w:val="0078770B"/>
    <w:rsid w:val="00BA79B3"/>
    <w:rsid w:val="00EA0979"/>
    <w:rsid w:val="661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984</Characters>
  <Lines>8</Lines>
  <Paragraphs>2</Paragraphs>
  <TotalTime>2</TotalTime>
  <ScaleCrop>false</ScaleCrop>
  <LinksUpToDate>false</LinksUpToDate>
  <CharactersWithSpaces>1154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2022-09-28T04:04:00Z</dcterms:created>
  <dc:creator>ohs 139</dc:creator>
  <cp:lastModifiedBy>majid</cp:lastModifiedBy>
  <dcterms:modified xsi:type="dcterms:W3CDTF">2022-11-29T07:09:26Z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56E4455AAC3544988A37D1BA95397957</vt:lpwstr>
  </property>
</Properties>
</file>