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6CD17" w14:textId="3AF44688" w:rsidR="10C7035B" w:rsidRDefault="0C34F397" w:rsidP="0C34F397">
      <w:pPr>
        <w:rPr>
          <w:b/>
          <w:bCs/>
        </w:rPr>
      </w:pPr>
      <w:bookmarkStart w:id="0" w:name="_GoBack"/>
      <w:bookmarkEnd w:id="0"/>
      <w:r w:rsidRPr="0C34F397">
        <w:rPr>
          <w:b/>
          <w:bCs/>
        </w:rPr>
        <w:t>For short term Catalyst work, matching EIA “Master Unit List” with FERC 1 Steam data in the “f1_steam Labeled 2018” tab</w:t>
      </w:r>
    </w:p>
    <w:tbl>
      <w:tblPr>
        <w:tblStyle w:val="TableGrid"/>
        <w:tblW w:w="13085" w:type="dxa"/>
        <w:tblLook w:val="06A0" w:firstRow="1" w:lastRow="0" w:firstColumn="1" w:lastColumn="0" w:noHBand="1" w:noVBand="1"/>
      </w:tblPr>
      <w:tblGrid>
        <w:gridCol w:w="4425"/>
        <w:gridCol w:w="3960"/>
        <w:gridCol w:w="2445"/>
        <w:gridCol w:w="2255"/>
      </w:tblGrid>
      <w:tr w:rsidR="0C34F397" w14:paraId="00526E19" w14:textId="77777777" w:rsidTr="3A9BBB07">
        <w:tc>
          <w:tcPr>
            <w:tcW w:w="4425" w:type="dxa"/>
            <w:shd w:val="clear" w:color="auto" w:fill="8EAADB" w:themeFill="accent1" w:themeFillTint="99"/>
          </w:tcPr>
          <w:p w14:paraId="10F4A749" w14:textId="62C4E385" w:rsidR="0C34F397" w:rsidRDefault="0C34F397" w:rsidP="0C34F397">
            <w:r>
              <w:t>Observation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2756CDAE" w14:textId="2EF5B486" w:rsidR="0C34F397" w:rsidRDefault="0C34F397" w:rsidP="0C34F397">
            <w:r>
              <w:t>Override actions</w:t>
            </w:r>
          </w:p>
        </w:tc>
        <w:tc>
          <w:tcPr>
            <w:tcW w:w="2445" w:type="dxa"/>
            <w:shd w:val="clear" w:color="auto" w:fill="8EAADB" w:themeFill="accent1" w:themeFillTint="99"/>
          </w:tcPr>
          <w:p w14:paraId="61DCC3DE" w14:textId="5F97BA8F" w:rsidR="0C34F397" w:rsidRDefault="0C34F397" w:rsidP="0C34F397">
            <w:r>
              <w:t>Type of issue</w:t>
            </w:r>
          </w:p>
        </w:tc>
        <w:tc>
          <w:tcPr>
            <w:tcW w:w="2255" w:type="dxa"/>
            <w:shd w:val="clear" w:color="auto" w:fill="8EAADB" w:themeFill="accent1" w:themeFillTint="99"/>
          </w:tcPr>
          <w:p w14:paraId="1C14E300" w14:textId="49F86C0C" w:rsidR="0C34F397" w:rsidRDefault="0C34F397" w:rsidP="0C34F397">
            <w:r>
              <w:t>Notes/Questions</w:t>
            </w:r>
          </w:p>
        </w:tc>
      </w:tr>
      <w:tr w:rsidR="0C34F397" w14:paraId="7F3585BD" w14:textId="77777777" w:rsidTr="3A9BBB07">
        <w:tc>
          <w:tcPr>
            <w:tcW w:w="4425" w:type="dxa"/>
          </w:tcPr>
          <w:p w14:paraId="3408556C" w14:textId="70879EA5" w:rsidR="0C34F397" w:rsidRDefault="3A9BBB07" w:rsidP="0C34F397">
            <w:r>
              <w:t xml:space="preserve">Florida Power &amp; Light: There are multiple plants under the same plant name “Manatee”, and one of them has a more specific name in EIA (“Manatee Solar Energy Center”), which isn’t captured in the matching. </w:t>
            </w:r>
          </w:p>
        </w:tc>
        <w:tc>
          <w:tcPr>
            <w:tcW w:w="3960" w:type="dxa"/>
          </w:tcPr>
          <w:p w14:paraId="0532F400" w14:textId="2BD600DB" w:rsidR="0C34F397" w:rsidRDefault="3A9BBB07" w:rsidP="3A9BBB07">
            <w:pPr>
              <w:pStyle w:val="ListParagraph"/>
              <w:ind w:left="0"/>
            </w:pPr>
            <w:r>
              <w:t>Find the generator code and replace it with the EIA Best Match Generator.</w:t>
            </w:r>
          </w:p>
        </w:tc>
        <w:tc>
          <w:tcPr>
            <w:tcW w:w="2445" w:type="dxa"/>
          </w:tcPr>
          <w:p w14:paraId="7874C6F8" w14:textId="6F4392EB" w:rsidR="0C34F397" w:rsidRDefault="3A9BBB07" w:rsidP="0C34F397">
            <w:pPr>
              <w:spacing w:line="259" w:lineRule="auto"/>
            </w:pPr>
            <w:r>
              <w:t>Matched at the wrong level (Plant Prime as opposed to Generator)</w:t>
            </w:r>
          </w:p>
        </w:tc>
        <w:tc>
          <w:tcPr>
            <w:tcW w:w="2255" w:type="dxa"/>
          </w:tcPr>
          <w:p w14:paraId="27564D00" w14:textId="1FDCE9B2" w:rsidR="0C34F397" w:rsidRDefault="0C34F397" w:rsidP="0C34F397">
            <w:pPr>
              <w:spacing w:line="259" w:lineRule="auto"/>
            </w:pPr>
          </w:p>
        </w:tc>
      </w:tr>
      <w:tr w:rsidR="3A9BBB07" w14:paraId="44726245" w14:textId="77777777" w:rsidTr="3A9BBB07">
        <w:tc>
          <w:tcPr>
            <w:tcW w:w="4425" w:type="dxa"/>
          </w:tcPr>
          <w:p w14:paraId="035C2DA2" w14:textId="5988D881" w:rsidR="3A9BBB07" w:rsidRDefault="3A9BBB07" w:rsidP="3A9BBB07">
            <w:r>
              <w:t>Florida Power &amp; Light: West County (CC) has multiple valid options for override (unit, technology, ferc account)</w:t>
            </w:r>
          </w:p>
        </w:tc>
        <w:tc>
          <w:tcPr>
            <w:tcW w:w="3960" w:type="dxa"/>
          </w:tcPr>
          <w:p w14:paraId="5B8B0DD4" w14:textId="5225587F" w:rsidR="3A9BBB07" w:rsidRDefault="3A9BBB07" w:rsidP="3A9BBB07">
            <w:pPr>
              <w:pStyle w:val="ListParagraph"/>
              <w:ind w:left="0"/>
            </w:pPr>
            <w:r>
              <w:t>Unit override chosen, listing the three units (vs just one unit to create match for technology or ferc account options) – unnecessary for just this match, but allows more granularity (?) when matching w depreciation data</w:t>
            </w:r>
          </w:p>
        </w:tc>
        <w:tc>
          <w:tcPr>
            <w:tcW w:w="2445" w:type="dxa"/>
          </w:tcPr>
          <w:p w14:paraId="3BE46890" w14:textId="3ADBA783" w:rsidR="3A9BBB07" w:rsidRDefault="3A9BBB07" w:rsidP="3A9BBB07">
            <w:pPr>
              <w:spacing w:line="259" w:lineRule="auto"/>
            </w:pPr>
            <w:r>
              <w:t xml:space="preserve">Multiple valid matches based on quantitative QC criteria </w:t>
            </w:r>
          </w:p>
        </w:tc>
        <w:tc>
          <w:tcPr>
            <w:tcW w:w="2255" w:type="dxa"/>
          </w:tcPr>
          <w:p w14:paraId="23932762" w14:textId="7C9E5150" w:rsidR="3A9BBB07" w:rsidRDefault="3A9BBB07" w:rsidP="3A9BBB07">
            <w:pPr>
              <w:spacing w:line="259" w:lineRule="auto"/>
            </w:pPr>
            <w:r>
              <w:t xml:space="preserve">Need to ask Uday about this. </w:t>
            </w:r>
          </w:p>
        </w:tc>
      </w:tr>
      <w:tr w:rsidR="3A9BBB07" w14:paraId="68B3BDEF" w14:textId="77777777" w:rsidTr="3A9BBB07">
        <w:tc>
          <w:tcPr>
            <w:tcW w:w="4425" w:type="dxa"/>
          </w:tcPr>
          <w:p w14:paraId="266808AC" w14:textId="3DFF103A" w:rsidR="3A9BBB07" w:rsidRDefault="3A9BBB07" w:rsidP="3A9BBB07">
            <w:r>
              <w:t>Florida Power &amp; Light: Fort Myers - FERC and EIA capacity match, but no EIA data for Net Gen, Fuel Cost, etc at the Generator level</w:t>
            </w:r>
          </w:p>
        </w:tc>
        <w:tc>
          <w:tcPr>
            <w:tcW w:w="3960" w:type="dxa"/>
          </w:tcPr>
          <w:p w14:paraId="784E685C" w14:textId="7EF9B529" w:rsidR="3A9BBB07" w:rsidRDefault="3A9BBB07" w:rsidP="3A9BBB07">
            <w:pPr>
              <w:pStyle w:val="ListParagraph"/>
              <w:spacing w:line="259" w:lineRule="auto"/>
              <w:ind w:left="0"/>
            </w:pPr>
            <w:r>
              <w:t>Need to select Generator for capacity match – don't yet have a good way to allocate plant-level generation (we simply use the FERC data in the depreciation analysis)</w:t>
            </w:r>
          </w:p>
        </w:tc>
        <w:tc>
          <w:tcPr>
            <w:tcW w:w="2445" w:type="dxa"/>
          </w:tcPr>
          <w:p w14:paraId="711819B2" w14:textId="320DB76B" w:rsidR="3A9BBB07" w:rsidRDefault="3A9BBB07" w:rsidP="3A9BBB07">
            <w:pPr>
              <w:spacing w:line="259" w:lineRule="auto"/>
            </w:pPr>
            <w:r>
              <w:t xml:space="preserve">No EIA data at the Generator level. </w:t>
            </w:r>
          </w:p>
        </w:tc>
        <w:tc>
          <w:tcPr>
            <w:tcW w:w="2255" w:type="dxa"/>
          </w:tcPr>
          <w:p w14:paraId="45D240BC" w14:textId="2729350A" w:rsidR="3A9BBB07" w:rsidRDefault="3A9BBB07" w:rsidP="3A9BBB07">
            <w:pPr>
              <w:spacing w:line="259" w:lineRule="auto"/>
            </w:pPr>
          </w:p>
        </w:tc>
      </w:tr>
      <w:tr w:rsidR="3A9BBB07" w14:paraId="6ABC5690" w14:textId="77777777" w:rsidTr="3A9BBB07">
        <w:tc>
          <w:tcPr>
            <w:tcW w:w="4425" w:type="dxa"/>
          </w:tcPr>
          <w:p w14:paraId="3C383057" w14:textId="4EEEC6DC" w:rsidR="3A9BBB07" w:rsidRDefault="3A9BBB07" w:rsidP="3A9BBB07">
            <w:r>
              <w:t>Wheeling: one plant with 50% share, plant broken up into two generators.</w:t>
            </w:r>
          </w:p>
        </w:tc>
        <w:tc>
          <w:tcPr>
            <w:tcW w:w="3960" w:type="dxa"/>
          </w:tcPr>
          <w:p w14:paraId="3470617C" w14:textId="1E3DAF4D" w:rsidR="3A9BBB07" w:rsidRDefault="3A9BBB07" w:rsidP="3A9BBB07">
            <w:pPr>
              <w:pStyle w:val="ListParagraph"/>
              <w:spacing w:line="259" w:lineRule="auto"/>
              <w:ind w:left="0"/>
            </w:pPr>
            <w:r>
              <w:t xml:space="preserve">Override and include both generators, use ownership % value (flagged in column DH) to perform split. </w:t>
            </w:r>
          </w:p>
        </w:tc>
        <w:tc>
          <w:tcPr>
            <w:tcW w:w="2445" w:type="dxa"/>
          </w:tcPr>
          <w:p w14:paraId="2CE78507" w14:textId="6EE3FCEF" w:rsidR="3A9BBB07" w:rsidRDefault="3A9BBB07" w:rsidP="3A9BBB07">
            <w:pPr>
              <w:spacing w:line="259" w:lineRule="auto"/>
            </w:pPr>
            <w:r>
              <w:t xml:space="preserve">Multiple ownership. </w:t>
            </w:r>
          </w:p>
        </w:tc>
        <w:tc>
          <w:tcPr>
            <w:tcW w:w="2255" w:type="dxa"/>
          </w:tcPr>
          <w:p w14:paraId="5C50E742" w14:textId="5F9BA46A" w:rsidR="3A9BBB07" w:rsidRDefault="3A9BBB07" w:rsidP="3A9BBB07">
            <w:pPr>
              <w:spacing w:line="259" w:lineRule="auto"/>
            </w:pPr>
          </w:p>
        </w:tc>
      </w:tr>
      <w:tr w:rsidR="3A9BBB07" w14:paraId="58C87BFC" w14:textId="77777777" w:rsidTr="3A9BBB07">
        <w:tc>
          <w:tcPr>
            <w:tcW w:w="4425" w:type="dxa"/>
          </w:tcPr>
          <w:p w14:paraId="56A50686" w14:textId="3C4FC00C" w:rsidR="3A9BBB07" w:rsidRDefault="3A9BBB07" w:rsidP="3A9BBB07">
            <w:r>
              <w:t>Appalachian Power: Clinch River, FERC capacity is higher than entire plant in EIA (but generation matches).</w:t>
            </w:r>
          </w:p>
        </w:tc>
        <w:tc>
          <w:tcPr>
            <w:tcW w:w="3960" w:type="dxa"/>
          </w:tcPr>
          <w:p w14:paraId="6A584F6B" w14:textId="1B91B68F" w:rsidR="3A9BBB07" w:rsidRDefault="3A9BBB07" w:rsidP="3A9BBB07">
            <w:pPr>
              <w:pStyle w:val="ListParagraph"/>
              <w:spacing w:line="259" w:lineRule="auto"/>
              <w:ind w:left="0"/>
            </w:pPr>
            <w:r>
              <w:t>Select operating generators.</w:t>
            </w:r>
          </w:p>
        </w:tc>
        <w:tc>
          <w:tcPr>
            <w:tcW w:w="2445" w:type="dxa"/>
          </w:tcPr>
          <w:p w14:paraId="094CC20F" w14:textId="6A738D9C" w:rsidR="3A9BBB07" w:rsidRDefault="3A9BBB07" w:rsidP="3A9BBB07">
            <w:pPr>
              <w:spacing w:line="259" w:lineRule="auto"/>
            </w:pPr>
            <w:r>
              <w:t xml:space="preserve">FERC data seems to include capacity from a retired generator. </w:t>
            </w:r>
          </w:p>
        </w:tc>
        <w:tc>
          <w:tcPr>
            <w:tcW w:w="2255" w:type="dxa"/>
          </w:tcPr>
          <w:p w14:paraId="6F5F46A8" w14:textId="75E91783" w:rsidR="3A9BBB07" w:rsidRDefault="3A9BBB07" w:rsidP="3A9BBB07">
            <w:pPr>
              <w:spacing w:line="259" w:lineRule="auto"/>
            </w:pPr>
          </w:p>
        </w:tc>
      </w:tr>
      <w:tr w:rsidR="0C34F397" w14:paraId="1C8E5C10" w14:textId="77777777" w:rsidTr="3A9BBB07">
        <w:tc>
          <w:tcPr>
            <w:tcW w:w="4425" w:type="dxa"/>
          </w:tcPr>
          <w:p w14:paraId="34B79943" w14:textId="7BF51884" w:rsidR="0C34F397" w:rsidRDefault="3A9BBB07" w:rsidP="0C34F397">
            <w:r>
              <w:t>Northern Indiana Public Service Company: FERC Form 1 has duplicated records for Bailly plant, and one of them should be removed because it includes two generators that are already retired (995_7 and 995_8), while the other record corresponds to the operating generator already (995_10).</w:t>
            </w:r>
          </w:p>
        </w:tc>
        <w:tc>
          <w:tcPr>
            <w:tcW w:w="3960" w:type="dxa"/>
          </w:tcPr>
          <w:p w14:paraId="2073DFD1" w14:textId="3CE18B0C" w:rsidR="0C34F397" w:rsidRDefault="3A9BBB07" w:rsidP="3A9BBB07">
            <w:pPr>
              <w:spacing w:line="259" w:lineRule="auto"/>
            </w:pPr>
            <w:r>
              <w:t>Do not return the value from the duplicated line.</w:t>
            </w:r>
          </w:p>
        </w:tc>
        <w:tc>
          <w:tcPr>
            <w:tcW w:w="2445" w:type="dxa"/>
          </w:tcPr>
          <w:p w14:paraId="4BAD8B8C" w14:textId="7E619BCA" w:rsidR="0C34F397" w:rsidRDefault="0C34F397" w:rsidP="0C34F397">
            <w:pPr>
              <w:spacing w:line="259" w:lineRule="auto"/>
            </w:pPr>
          </w:p>
        </w:tc>
        <w:tc>
          <w:tcPr>
            <w:tcW w:w="2255" w:type="dxa"/>
          </w:tcPr>
          <w:p w14:paraId="50412DB2" w14:textId="4D135931" w:rsidR="0C34F397" w:rsidRDefault="0C34F397" w:rsidP="0C34F397">
            <w:pPr>
              <w:spacing w:line="259" w:lineRule="auto"/>
            </w:pPr>
          </w:p>
        </w:tc>
      </w:tr>
      <w:tr w:rsidR="0C34F397" w14:paraId="371B953A" w14:textId="77777777" w:rsidTr="3A9BBB07">
        <w:tc>
          <w:tcPr>
            <w:tcW w:w="4425" w:type="dxa"/>
          </w:tcPr>
          <w:p w14:paraId="63C2ABC8" w14:textId="0855C24B" w:rsidR="0C34F397" w:rsidRDefault="3A9BBB07" w:rsidP="0C34F397">
            <w:r>
              <w:lastRenderedPageBreak/>
              <w:t xml:space="preserve">Northern Indiana Public Service Company: FERC Form 1 has a duplicated record for one of the three generators in the Sugar Creek plant. It should be removed from the list. </w:t>
            </w:r>
          </w:p>
        </w:tc>
        <w:tc>
          <w:tcPr>
            <w:tcW w:w="3960" w:type="dxa"/>
          </w:tcPr>
          <w:p w14:paraId="35A3F239" w14:textId="3CE18B0C" w:rsidR="0C34F397" w:rsidRDefault="3A9BBB07" w:rsidP="3A9BBB07">
            <w:pPr>
              <w:spacing w:line="259" w:lineRule="auto"/>
            </w:pPr>
            <w:r>
              <w:t>Do not return the value from the duplicated line.</w:t>
            </w:r>
          </w:p>
          <w:p w14:paraId="0C2CE232" w14:textId="7B09E016" w:rsidR="0C34F397" w:rsidRDefault="0C34F397" w:rsidP="0C34F397"/>
        </w:tc>
        <w:tc>
          <w:tcPr>
            <w:tcW w:w="2445" w:type="dxa"/>
          </w:tcPr>
          <w:p w14:paraId="650B99AF" w14:textId="212EAFFF" w:rsidR="0C34F397" w:rsidRDefault="0C34F397" w:rsidP="0C34F397"/>
        </w:tc>
        <w:tc>
          <w:tcPr>
            <w:tcW w:w="2255" w:type="dxa"/>
          </w:tcPr>
          <w:p w14:paraId="3D8163B6" w14:textId="3197BCAB" w:rsidR="0C34F397" w:rsidRDefault="0C34F397" w:rsidP="0C34F397"/>
        </w:tc>
      </w:tr>
      <w:tr w:rsidR="0C34F397" w14:paraId="5F0B4B61" w14:textId="77777777" w:rsidTr="3A9BBB07">
        <w:tc>
          <w:tcPr>
            <w:tcW w:w="4425" w:type="dxa"/>
          </w:tcPr>
          <w:p w14:paraId="31EB2627" w14:textId="212EAFFF" w:rsidR="0C34F397" w:rsidRDefault="0C34F397" w:rsidP="0C34F397"/>
        </w:tc>
        <w:tc>
          <w:tcPr>
            <w:tcW w:w="3960" w:type="dxa"/>
          </w:tcPr>
          <w:p w14:paraId="4B5CA946" w14:textId="212EAFFF" w:rsidR="0C34F397" w:rsidRDefault="0C34F397" w:rsidP="0C34F397"/>
        </w:tc>
        <w:tc>
          <w:tcPr>
            <w:tcW w:w="2445" w:type="dxa"/>
          </w:tcPr>
          <w:p w14:paraId="2219B7C0" w14:textId="212EAFFF" w:rsidR="0C34F397" w:rsidRDefault="0C34F397" w:rsidP="0C34F397"/>
        </w:tc>
        <w:tc>
          <w:tcPr>
            <w:tcW w:w="2255" w:type="dxa"/>
          </w:tcPr>
          <w:p w14:paraId="3C3C5F79" w14:textId="5F941F48" w:rsidR="0C34F397" w:rsidRDefault="0C34F397" w:rsidP="0C34F397"/>
        </w:tc>
      </w:tr>
      <w:tr w:rsidR="0C34F397" w14:paraId="0BDF307A" w14:textId="77777777" w:rsidTr="3A9BBB07">
        <w:tc>
          <w:tcPr>
            <w:tcW w:w="4425" w:type="dxa"/>
          </w:tcPr>
          <w:p w14:paraId="1F3D7F0A" w14:textId="212EAFFF" w:rsidR="0C34F397" w:rsidRDefault="0C34F397" w:rsidP="0C34F397"/>
        </w:tc>
        <w:tc>
          <w:tcPr>
            <w:tcW w:w="3960" w:type="dxa"/>
          </w:tcPr>
          <w:p w14:paraId="5DF055AD" w14:textId="212EAFFF" w:rsidR="0C34F397" w:rsidRDefault="0C34F397" w:rsidP="0C34F397"/>
        </w:tc>
        <w:tc>
          <w:tcPr>
            <w:tcW w:w="2445" w:type="dxa"/>
          </w:tcPr>
          <w:p w14:paraId="42729C80" w14:textId="212EAFFF" w:rsidR="0C34F397" w:rsidRDefault="0C34F397" w:rsidP="0C34F397"/>
        </w:tc>
        <w:tc>
          <w:tcPr>
            <w:tcW w:w="2255" w:type="dxa"/>
          </w:tcPr>
          <w:p w14:paraId="0300DD02" w14:textId="26D9F52E" w:rsidR="0C34F397" w:rsidRDefault="0C34F397" w:rsidP="0C34F397"/>
        </w:tc>
      </w:tr>
    </w:tbl>
    <w:p w14:paraId="3CEADF39" w14:textId="5EFBC908" w:rsidR="0C34F397" w:rsidRDefault="0C34F397" w:rsidP="0C34F397">
      <w:pPr>
        <w:rPr>
          <w:b/>
          <w:bCs/>
        </w:rPr>
      </w:pPr>
    </w:p>
    <w:p w14:paraId="0744C8AE" w14:textId="645F274B" w:rsidR="0C34F397" w:rsidRDefault="0C34F397" w:rsidP="0C34F397">
      <w:pPr>
        <w:rPr>
          <w:b/>
          <w:bCs/>
        </w:rPr>
      </w:pPr>
    </w:p>
    <w:p w14:paraId="0C9533D8" w14:textId="794182F1" w:rsidR="0C34F397" w:rsidRDefault="0C34F397" w:rsidP="0C34F397">
      <w:pPr>
        <w:rPr>
          <w:b/>
          <w:bCs/>
        </w:rPr>
      </w:pPr>
    </w:p>
    <w:p w14:paraId="0D7F8A06" w14:textId="5E80880F" w:rsidR="511C90D4" w:rsidRDefault="511C90D4">
      <w:r>
        <w:t>When matching FERC1</w:t>
      </w:r>
      <w:r w:rsidR="54B55C8D">
        <w:t xml:space="preserve"> </w:t>
      </w:r>
      <w:r>
        <w:t xml:space="preserve">reported data to eia “Master Unit List” on </w:t>
      </w:r>
      <w:r w:rsidR="34353362">
        <w:t>“FERC Form 1 Plant Balances” of “Securitization Model Depreciation Data”..</w:t>
      </w:r>
      <w:r w:rsidR="2148EF52"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3615"/>
        <w:gridCol w:w="2415"/>
        <w:gridCol w:w="4715"/>
      </w:tblGrid>
      <w:tr w:rsidR="34F36FF3" w14:paraId="485A28F7" w14:textId="77777777" w:rsidTr="34F36FF3">
        <w:tc>
          <w:tcPr>
            <w:tcW w:w="2340" w:type="dxa"/>
            <w:shd w:val="clear" w:color="auto" w:fill="8EAADB" w:themeFill="accent1" w:themeFillTint="99"/>
          </w:tcPr>
          <w:p w14:paraId="0B2D486B" w14:textId="62C4E385" w:rsidR="63E27FCC" w:rsidRDefault="63E27FCC" w:rsidP="34F36FF3">
            <w:r>
              <w:t>Observation</w:t>
            </w:r>
          </w:p>
        </w:tc>
        <w:tc>
          <w:tcPr>
            <w:tcW w:w="3615" w:type="dxa"/>
            <w:shd w:val="clear" w:color="auto" w:fill="8EAADB" w:themeFill="accent1" w:themeFillTint="99"/>
          </w:tcPr>
          <w:p w14:paraId="7260A786" w14:textId="2EF5B486" w:rsidR="63E27FCC" w:rsidRDefault="63E27FCC" w:rsidP="34F36FF3">
            <w:r>
              <w:t>Override action</w:t>
            </w:r>
            <w:r w:rsidR="40DA2371">
              <w:t>s</w:t>
            </w:r>
          </w:p>
        </w:tc>
        <w:tc>
          <w:tcPr>
            <w:tcW w:w="2415" w:type="dxa"/>
            <w:shd w:val="clear" w:color="auto" w:fill="8EAADB" w:themeFill="accent1" w:themeFillTint="99"/>
          </w:tcPr>
          <w:p w14:paraId="40E67425" w14:textId="5F97BA8F" w:rsidR="688D8F5D" w:rsidRDefault="688D8F5D" w:rsidP="34F36FF3">
            <w:r>
              <w:t>Type of issue</w:t>
            </w:r>
          </w:p>
        </w:tc>
        <w:tc>
          <w:tcPr>
            <w:tcW w:w="4715" w:type="dxa"/>
            <w:shd w:val="clear" w:color="auto" w:fill="8EAADB" w:themeFill="accent1" w:themeFillTint="99"/>
          </w:tcPr>
          <w:p w14:paraId="4D51692F" w14:textId="49F86C0C" w:rsidR="29BF5D6D" w:rsidRDefault="29BF5D6D" w:rsidP="34F36FF3">
            <w:r>
              <w:t>Notes/Questions</w:t>
            </w:r>
          </w:p>
        </w:tc>
      </w:tr>
      <w:tr w:rsidR="34F36FF3" w14:paraId="617507F5" w14:textId="77777777" w:rsidTr="34F36FF3">
        <w:tc>
          <w:tcPr>
            <w:tcW w:w="2340" w:type="dxa"/>
          </w:tcPr>
          <w:p w14:paraId="65387726" w14:textId="220DF53F" w:rsidR="532DC205" w:rsidRDefault="532DC205" w:rsidP="34F36FF3">
            <w:r>
              <w:t xml:space="preserve">FERC form </w:t>
            </w:r>
            <w:r w:rsidR="19D7CD10">
              <w:t>f1_edcfu_epda</w:t>
            </w:r>
          </w:p>
          <w:p w14:paraId="68D7261E" w14:textId="750238E4" w:rsidR="19D7CD10" w:rsidRDefault="19D7CD10" w:rsidP="34F36FF3">
            <w:r>
              <w:t>“acct_num” column</w:t>
            </w:r>
          </w:p>
          <w:p w14:paraId="65DD909D" w14:textId="78746FA0" w:rsidR="34F36FF3" w:rsidRDefault="34F36FF3" w:rsidP="34F36FF3"/>
          <w:p w14:paraId="5DF99775" w14:textId="5B9E6B23" w:rsidR="19D7CD10" w:rsidRDefault="19D7CD10" w:rsidP="34F36FF3">
            <w:r w:rsidRPr="34F36FF3">
              <w:rPr>
                <w:b/>
                <w:bCs/>
              </w:rPr>
              <w:t xml:space="preserve">Duke </w:t>
            </w:r>
            <w:r w:rsidR="1A1E5C93" w:rsidRPr="34F36FF3">
              <w:rPr>
                <w:b/>
                <w:bCs/>
              </w:rPr>
              <w:t xml:space="preserve">Energy </w:t>
            </w:r>
            <w:r w:rsidRPr="34F36FF3">
              <w:rPr>
                <w:b/>
                <w:bCs/>
              </w:rPr>
              <w:t>Carolinas</w:t>
            </w:r>
            <w:r w:rsidR="447B94FB" w:rsidRPr="34F36FF3">
              <w:rPr>
                <w:b/>
                <w:bCs/>
              </w:rPr>
              <w:t>, LLC</w:t>
            </w:r>
            <w:r w:rsidR="447B94FB">
              <w:t xml:space="preserve"> listed “316 - Cliffside 5&amp;6” in addition to entries of “316 - Cliffside 5” and “316 - Cliffside</w:t>
            </w:r>
            <w:r w:rsidR="3FB2DAD8">
              <w:t xml:space="preserve"> 6”</w:t>
            </w:r>
          </w:p>
          <w:p w14:paraId="1F434A3C" w14:textId="70637B84" w:rsidR="34F36FF3" w:rsidRDefault="34F36FF3" w:rsidP="34F36FF3"/>
          <w:p w14:paraId="39F75559" w14:textId="5A94ED8A" w:rsidR="34F36FF3" w:rsidRDefault="34F36FF3" w:rsidP="34F36FF3"/>
          <w:p w14:paraId="446FABF0" w14:textId="262D18CF" w:rsidR="34F36FF3" w:rsidRDefault="34F36FF3" w:rsidP="34F36FF3"/>
        </w:tc>
        <w:tc>
          <w:tcPr>
            <w:tcW w:w="3615" w:type="dxa"/>
          </w:tcPr>
          <w:p w14:paraId="2D8716EC" w14:textId="1ADB6DFA" w:rsidR="269A4BA1" w:rsidRDefault="269A4BA1" w:rsidP="34F36FF3">
            <w:pPr>
              <w:pStyle w:val="ListParagraph"/>
              <w:numPr>
                <w:ilvl w:val="0"/>
                <w:numId w:val="2"/>
              </w:numPr>
            </w:pPr>
            <w:r>
              <w:t xml:space="preserve">Delete </w:t>
            </w:r>
            <w:r w:rsidR="3FB2DAD8">
              <w:t>ine for “316 - Cliffside 5&amp;6”</w:t>
            </w:r>
          </w:p>
          <w:p w14:paraId="67F1DBC7" w14:textId="47D6C41C" w:rsidR="3DDD0EBF" w:rsidRDefault="3DDD0EBF" w:rsidP="34F36FF3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3FB2DAD8">
              <w:t xml:space="preserve">llocate </w:t>
            </w:r>
            <w:r w:rsidR="248E68F5">
              <w:t xml:space="preserve">values </w:t>
            </w:r>
            <w:r w:rsidR="23200C3B">
              <w:t xml:space="preserve">in </w:t>
            </w:r>
            <w:r w:rsidR="248E68F5">
              <w:t xml:space="preserve">this line </w:t>
            </w:r>
            <w:r w:rsidR="3FB2DAD8">
              <w:t>to “316 - Cliffside 5” and 316 – Cliffside 6”, based proportionally on the</w:t>
            </w:r>
            <w:r w:rsidR="50FBC79F">
              <w:t>ir relative “depr_plnt_base”</w:t>
            </w:r>
          </w:p>
        </w:tc>
        <w:tc>
          <w:tcPr>
            <w:tcW w:w="2415" w:type="dxa"/>
          </w:tcPr>
          <w:p w14:paraId="1DCCD47D" w14:textId="41C24598" w:rsidR="675CADDA" w:rsidRDefault="675CADDA" w:rsidP="34F36FF3">
            <w:pPr>
              <w:spacing w:line="259" w:lineRule="auto"/>
            </w:pPr>
            <w:r>
              <w:t>Entry doesn’t correspond to one of the 7 levels of aggregation</w:t>
            </w:r>
          </w:p>
        </w:tc>
        <w:tc>
          <w:tcPr>
            <w:tcW w:w="4715" w:type="dxa"/>
          </w:tcPr>
          <w:p w14:paraId="7B18F92B" w14:textId="1FDCE9B2" w:rsidR="34F36FF3" w:rsidRDefault="34F36FF3" w:rsidP="34F36FF3">
            <w:pPr>
              <w:spacing w:line="259" w:lineRule="auto"/>
            </w:pPr>
          </w:p>
        </w:tc>
      </w:tr>
      <w:tr w:rsidR="34F36FF3" w14:paraId="1EFDEC70" w14:textId="77777777" w:rsidTr="34F36FF3">
        <w:tc>
          <w:tcPr>
            <w:tcW w:w="2340" w:type="dxa"/>
          </w:tcPr>
          <w:p w14:paraId="0543B410" w14:textId="220DF53F" w:rsidR="675CADDA" w:rsidRDefault="675CADDA" w:rsidP="34F36FF3">
            <w:r>
              <w:t>FERC form f1_edcfu_epda</w:t>
            </w:r>
          </w:p>
          <w:p w14:paraId="4DFFEC35" w14:textId="750238E4" w:rsidR="675CADDA" w:rsidRDefault="675CADDA" w:rsidP="34F36FF3">
            <w:r>
              <w:t>“acct_num” column</w:t>
            </w:r>
          </w:p>
          <w:p w14:paraId="513EF56F" w14:textId="78746FA0" w:rsidR="34F36FF3" w:rsidRDefault="34F36FF3" w:rsidP="34F36FF3"/>
          <w:p w14:paraId="01883BE0" w14:textId="63E7C952" w:rsidR="675CADDA" w:rsidRDefault="675CADDA" w:rsidP="34F36FF3">
            <w:r w:rsidRPr="34F36FF3">
              <w:rPr>
                <w:b/>
                <w:bCs/>
              </w:rPr>
              <w:t>Duke Energy Carolinas, LLC</w:t>
            </w:r>
            <w:r>
              <w:t xml:space="preserve"> listed “316 - Not Station Speci”</w:t>
            </w:r>
          </w:p>
          <w:p w14:paraId="76955319" w14:textId="2FA5838A" w:rsidR="34F36FF3" w:rsidRDefault="34F36FF3" w:rsidP="34F36FF3"/>
        </w:tc>
        <w:tc>
          <w:tcPr>
            <w:tcW w:w="3615" w:type="dxa"/>
          </w:tcPr>
          <w:p w14:paraId="130584F2" w14:textId="27CA038A" w:rsidR="675CADDA" w:rsidRDefault="675CADDA" w:rsidP="34F36FF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Delete line for “316 - Not Station Speci” </w:t>
            </w:r>
          </w:p>
          <w:p w14:paraId="0D7A45C4" w14:textId="52462195" w:rsidR="675CADDA" w:rsidRDefault="675CADDA" w:rsidP="34F36FF3">
            <w:pPr>
              <w:pStyle w:val="ListParagraph"/>
              <w:numPr>
                <w:ilvl w:val="0"/>
                <w:numId w:val="1"/>
              </w:numPr>
            </w:pPr>
            <w:r>
              <w:t>Allocate values in this line to all other entries that include “316” in the “acct_num” column</w:t>
            </w:r>
            <w:r w:rsidR="208A98E7">
              <w:t>, based on their relative “depr_plnt_base”</w:t>
            </w:r>
          </w:p>
          <w:p w14:paraId="3D5339AC" w14:textId="7BEA2DA8" w:rsidR="34F36FF3" w:rsidRDefault="34F36FF3" w:rsidP="34F36FF3"/>
        </w:tc>
        <w:tc>
          <w:tcPr>
            <w:tcW w:w="2415" w:type="dxa"/>
          </w:tcPr>
          <w:p w14:paraId="3A7314E3" w14:textId="5AF81103" w:rsidR="675CADDA" w:rsidRDefault="675CADDA" w:rsidP="34F36FF3">
            <w:pPr>
              <w:spacing w:line="259" w:lineRule="auto"/>
            </w:pPr>
            <w:r>
              <w:lastRenderedPageBreak/>
              <w:t>Entry doesn’t correspond to one of the 7 levels of aggregation</w:t>
            </w:r>
          </w:p>
        </w:tc>
        <w:tc>
          <w:tcPr>
            <w:tcW w:w="4715" w:type="dxa"/>
          </w:tcPr>
          <w:p w14:paraId="31D3ECA7" w14:textId="72A42240" w:rsidR="55653A43" w:rsidRDefault="55653A43" w:rsidP="34F36FF3">
            <w:pPr>
              <w:spacing w:line="259" w:lineRule="auto"/>
            </w:pPr>
            <w:r>
              <w:t>"miscellaneous power plant equipment”</w:t>
            </w:r>
            <w:r w:rsidR="7561FEAF">
              <w:t xml:space="preserve"> is probably spare parts that they keep in case something needs to </w:t>
            </w:r>
            <w:r w:rsidR="55030992">
              <w:t>be replaced at one of the plants, so it’s fair to distribute that cost evenly to all plants that contain that type of equipment</w:t>
            </w:r>
          </w:p>
        </w:tc>
      </w:tr>
      <w:tr w:rsidR="34F36FF3" w14:paraId="67EA7230" w14:textId="77777777" w:rsidTr="34F36FF3">
        <w:tc>
          <w:tcPr>
            <w:tcW w:w="2340" w:type="dxa"/>
          </w:tcPr>
          <w:p w14:paraId="7E0D48F2" w14:textId="212EAFFF" w:rsidR="34F36FF3" w:rsidRDefault="34F36FF3" w:rsidP="34F36FF3"/>
        </w:tc>
        <w:tc>
          <w:tcPr>
            <w:tcW w:w="3615" w:type="dxa"/>
          </w:tcPr>
          <w:p w14:paraId="2EE286D5" w14:textId="212EAFFF" w:rsidR="34F36FF3" w:rsidRDefault="34F36FF3" w:rsidP="34F36FF3"/>
        </w:tc>
        <w:tc>
          <w:tcPr>
            <w:tcW w:w="2415" w:type="dxa"/>
          </w:tcPr>
          <w:p w14:paraId="219500E9" w14:textId="212EAFFF" w:rsidR="34F36FF3" w:rsidRDefault="34F36FF3" w:rsidP="34F36FF3"/>
        </w:tc>
        <w:tc>
          <w:tcPr>
            <w:tcW w:w="4715" w:type="dxa"/>
          </w:tcPr>
          <w:p w14:paraId="613CC69F" w14:textId="3197BCAB" w:rsidR="34F36FF3" w:rsidRDefault="34F36FF3" w:rsidP="34F36FF3"/>
        </w:tc>
      </w:tr>
      <w:tr w:rsidR="34F36FF3" w14:paraId="502FCE52" w14:textId="77777777" w:rsidTr="34F36FF3">
        <w:tc>
          <w:tcPr>
            <w:tcW w:w="2340" w:type="dxa"/>
          </w:tcPr>
          <w:p w14:paraId="229DF50E" w14:textId="212EAFFF" w:rsidR="34F36FF3" w:rsidRDefault="34F36FF3" w:rsidP="34F36FF3"/>
        </w:tc>
        <w:tc>
          <w:tcPr>
            <w:tcW w:w="3615" w:type="dxa"/>
          </w:tcPr>
          <w:p w14:paraId="5EBFECBB" w14:textId="212EAFFF" w:rsidR="34F36FF3" w:rsidRDefault="34F36FF3" w:rsidP="34F36FF3"/>
        </w:tc>
        <w:tc>
          <w:tcPr>
            <w:tcW w:w="2415" w:type="dxa"/>
          </w:tcPr>
          <w:p w14:paraId="3AAB088D" w14:textId="212EAFFF" w:rsidR="34F36FF3" w:rsidRDefault="34F36FF3" w:rsidP="34F36FF3"/>
        </w:tc>
        <w:tc>
          <w:tcPr>
            <w:tcW w:w="4715" w:type="dxa"/>
          </w:tcPr>
          <w:p w14:paraId="7DEE0C9B" w14:textId="5F941F48" w:rsidR="34F36FF3" w:rsidRDefault="34F36FF3" w:rsidP="34F36FF3"/>
        </w:tc>
      </w:tr>
      <w:tr w:rsidR="34F36FF3" w14:paraId="6E3B71B4" w14:textId="77777777" w:rsidTr="34F36FF3">
        <w:tc>
          <w:tcPr>
            <w:tcW w:w="2340" w:type="dxa"/>
          </w:tcPr>
          <w:p w14:paraId="55090C62" w14:textId="212EAFFF" w:rsidR="34F36FF3" w:rsidRDefault="34F36FF3" w:rsidP="34F36FF3"/>
        </w:tc>
        <w:tc>
          <w:tcPr>
            <w:tcW w:w="3615" w:type="dxa"/>
          </w:tcPr>
          <w:p w14:paraId="6551ED16" w14:textId="212EAFFF" w:rsidR="34F36FF3" w:rsidRDefault="34F36FF3" w:rsidP="34F36FF3"/>
        </w:tc>
        <w:tc>
          <w:tcPr>
            <w:tcW w:w="2415" w:type="dxa"/>
          </w:tcPr>
          <w:p w14:paraId="29EF7034" w14:textId="212EAFFF" w:rsidR="34F36FF3" w:rsidRDefault="34F36FF3" w:rsidP="34F36FF3"/>
        </w:tc>
        <w:tc>
          <w:tcPr>
            <w:tcW w:w="4715" w:type="dxa"/>
          </w:tcPr>
          <w:p w14:paraId="26700ADF" w14:textId="26D9F52E" w:rsidR="34F36FF3" w:rsidRDefault="34F36FF3" w:rsidP="34F36FF3"/>
        </w:tc>
      </w:tr>
    </w:tbl>
    <w:p w14:paraId="60726788" w14:textId="53B298B1" w:rsidR="34F36FF3" w:rsidRDefault="34F36FF3" w:rsidP="34F36FF3"/>
    <w:sectPr w:rsidR="34F36F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36C97"/>
    <w:multiLevelType w:val="hybridMultilevel"/>
    <w:tmpl w:val="7BBAEB04"/>
    <w:lvl w:ilvl="0" w:tplc="B6BA9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80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81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E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2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A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C8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CB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0A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33D63"/>
    <w:multiLevelType w:val="hybridMultilevel"/>
    <w:tmpl w:val="5D28216A"/>
    <w:lvl w:ilvl="0" w:tplc="2C226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6D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07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61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A1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CD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E8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2C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4C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08E97E"/>
    <w:rsid w:val="008E417C"/>
    <w:rsid w:val="04338EF3"/>
    <w:rsid w:val="044A62BC"/>
    <w:rsid w:val="068A12A6"/>
    <w:rsid w:val="0842D4A2"/>
    <w:rsid w:val="09649136"/>
    <w:rsid w:val="0C34F397"/>
    <w:rsid w:val="0C6DD2B5"/>
    <w:rsid w:val="0C950EBB"/>
    <w:rsid w:val="0D091C2D"/>
    <w:rsid w:val="0D7D9D83"/>
    <w:rsid w:val="0EFC8F03"/>
    <w:rsid w:val="0F6C9914"/>
    <w:rsid w:val="10C7035B"/>
    <w:rsid w:val="19D7CD10"/>
    <w:rsid w:val="1A1E5C93"/>
    <w:rsid w:val="1D586AF2"/>
    <w:rsid w:val="1F4022AE"/>
    <w:rsid w:val="208A98E7"/>
    <w:rsid w:val="2148EF52"/>
    <w:rsid w:val="23200C3B"/>
    <w:rsid w:val="248E68F5"/>
    <w:rsid w:val="24F675C7"/>
    <w:rsid w:val="269A0AAF"/>
    <w:rsid w:val="269A4BA1"/>
    <w:rsid w:val="2832ACB1"/>
    <w:rsid w:val="29BF5D6D"/>
    <w:rsid w:val="2A772929"/>
    <w:rsid w:val="2D4DABAA"/>
    <w:rsid w:val="3382A64C"/>
    <w:rsid w:val="34353362"/>
    <w:rsid w:val="34F36FF3"/>
    <w:rsid w:val="35759F7A"/>
    <w:rsid w:val="3A9BBB07"/>
    <w:rsid w:val="3DDD0EBF"/>
    <w:rsid w:val="3FB2DAD8"/>
    <w:rsid w:val="40DA2371"/>
    <w:rsid w:val="430CF834"/>
    <w:rsid w:val="43789995"/>
    <w:rsid w:val="447B94FB"/>
    <w:rsid w:val="465BB52C"/>
    <w:rsid w:val="468E0E37"/>
    <w:rsid w:val="46AE59D1"/>
    <w:rsid w:val="4CC003D1"/>
    <w:rsid w:val="4DD7F4D2"/>
    <w:rsid w:val="4F08E97E"/>
    <w:rsid w:val="4FE14E6D"/>
    <w:rsid w:val="50253FF1"/>
    <w:rsid w:val="50FBC79F"/>
    <w:rsid w:val="511C90D4"/>
    <w:rsid w:val="532DC205"/>
    <w:rsid w:val="54B55C8D"/>
    <w:rsid w:val="55030992"/>
    <w:rsid w:val="55653A43"/>
    <w:rsid w:val="56E98D97"/>
    <w:rsid w:val="57835586"/>
    <w:rsid w:val="59D0E9AF"/>
    <w:rsid w:val="5AC9A169"/>
    <w:rsid w:val="5D73F31D"/>
    <w:rsid w:val="5FE2097B"/>
    <w:rsid w:val="5FF7CD4F"/>
    <w:rsid w:val="63E27FCC"/>
    <w:rsid w:val="675CADDA"/>
    <w:rsid w:val="688D8F5D"/>
    <w:rsid w:val="6A41B475"/>
    <w:rsid w:val="705E740D"/>
    <w:rsid w:val="7561FEAF"/>
    <w:rsid w:val="7A25A36A"/>
    <w:rsid w:val="7A739037"/>
    <w:rsid w:val="7AE31A8F"/>
    <w:rsid w:val="7C11A789"/>
    <w:rsid w:val="7C95829C"/>
    <w:rsid w:val="7D69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E97E"/>
  <w15:chartTrackingRefBased/>
  <w15:docId w15:val="{9529FC7B-6520-4F17-83F1-6C1AFEFA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1D0FB7EB46F41A8C54658CE08D735" ma:contentTypeVersion="12" ma:contentTypeDescription="Create a new document." ma:contentTypeScope="" ma:versionID="b64da8bb550420e56eaa468a9b33b98b">
  <xsd:schema xmlns:xsd="http://www.w3.org/2001/XMLSchema" xmlns:xs="http://www.w3.org/2001/XMLSchema" xmlns:p="http://schemas.microsoft.com/office/2006/metadata/properties" xmlns:ns2="fa2d8187-c5f1-47cb-8ffe-d9e578d7e532" xmlns:ns3="5430efc3-4ea6-4164-9359-bf8b91395c0b" targetNamespace="http://schemas.microsoft.com/office/2006/metadata/properties" ma:root="true" ma:fieldsID="9210a11dd58e0dfba5583d9a6091b1db" ns2:_="" ns3:_="">
    <xsd:import namespace="fa2d8187-c5f1-47cb-8ffe-d9e578d7e532"/>
    <xsd:import namespace="5430efc3-4ea6-4164-9359-bf8b91395c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8187-c5f1-47cb-8ffe-d9e578d7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0efc3-4ea6-4164-9359-bf8b91395c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53DF0-9955-4192-A1BB-8989DD8D0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8187-c5f1-47cb-8ffe-d9e578d7e532"/>
    <ds:schemaRef ds:uri="5430efc3-4ea6-4164-9359-bf8b91395c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055973-BE9D-4C23-9E6C-22D9D36DCAEA}">
  <ds:schemaRefs>
    <ds:schemaRef ds:uri="http://purl.org/dc/dcmitype/"/>
    <ds:schemaRef ds:uri="http://schemas.microsoft.com/office/2006/documentManagement/types"/>
    <ds:schemaRef ds:uri="5430efc3-4ea6-4164-9359-bf8b91395c0b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fa2d8187-c5f1-47cb-8ffe-d9e578d7e532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0E61583-1CAC-4AE0-8035-06D74851F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Rea</dc:creator>
  <cp:keywords/>
  <dc:description/>
  <cp:lastModifiedBy>Sam Mardell</cp:lastModifiedBy>
  <cp:revision>2</cp:revision>
  <dcterms:created xsi:type="dcterms:W3CDTF">2019-10-23T22:30:00Z</dcterms:created>
  <dcterms:modified xsi:type="dcterms:W3CDTF">2019-10-23T22:30:00Z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0x01010016B1D0FB7EB46F41A8C54658CE08D735</vt:lpwstr>
  </property>
</Properties>
</file>