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8FDF8" w14:textId="0235BE3E" w:rsidR="005823F4" w:rsidRDefault="00A57CCB" w:rsidP="00A57CCB">
      <w:pPr>
        <w:ind w:firstLine="0"/>
        <w:jc w:val="center"/>
      </w:pPr>
      <w:r>
        <w:t>Using Portable MRI for Bedside Neuroimaging Questions</w:t>
      </w:r>
    </w:p>
    <w:p w14:paraId="607E4DF3" w14:textId="74BB8A55" w:rsidR="00A57CCB" w:rsidRDefault="00A57CCB" w:rsidP="00A57CCB">
      <w:pPr>
        <w:pStyle w:val="ListParagraph"/>
        <w:numPr>
          <w:ilvl w:val="0"/>
          <w:numId w:val="1"/>
        </w:numPr>
      </w:pPr>
      <w:r>
        <w:t xml:space="preserve">Which </w:t>
      </w:r>
      <w:r w:rsidRPr="00A57CCB">
        <w:t>discipline within imaging sciences focuse</w:t>
      </w:r>
      <w:r>
        <w:t>s</w:t>
      </w:r>
      <w:r w:rsidRPr="00A57CCB">
        <w:t xml:space="preserve"> on the noninvasive representation of the structure and function of the central nervous system (CNS), primarily the brain, as well as diagnosing diseases and evaluating brain health</w:t>
      </w:r>
      <w:r>
        <w:t>?</w:t>
      </w:r>
    </w:p>
    <w:p w14:paraId="50BAD6EA" w14:textId="391998CD" w:rsidR="00A57CCB" w:rsidRDefault="00A57CCB" w:rsidP="00A57CCB">
      <w:pPr>
        <w:pStyle w:val="ListParagraph"/>
        <w:numPr>
          <w:ilvl w:val="1"/>
          <w:numId w:val="1"/>
        </w:numPr>
      </w:pPr>
      <w:r>
        <w:t>Neuroradiology</w:t>
      </w:r>
    </w:p>
    <w:p w14:paraId="14538BF4" w14:textId="451D6684" w:rsidR="00A57CCB" w:rsidRPr="00A57CCB" w:rsidRDefault="00A57CCB" w:rsidP="00A57CCB">
      <w:pPr>
        <w:pStyle w:val="ListParagraph"/>
        <w:numPr>
          <w:ilvl w:val="1"/>
          <w:numId w:val="1"/>
        </w:numPr>
        <w:rPr>
          <w:highlight w:val="green"/>
        </w:rPr>
      </w:pPr>
      <w:r w:rsidRPr="00A57CCB">
        <w:rPr>
          <w:highlight w:val="green"/>
        </w:rPr>
        <w:t>Neuroimaging</w:t>
      </w:r>
    </w:p>
    <w:p w14:paraId="691A6500" w14:textId="76E86B47" w:rsidR="00A57CCB" w:rsidRDefault="00A57CCB" w:rsidP="00A57CCB">
      <w:pPr>
        <w:pStyle w:val="ListParagraph"/>
        <w:numPr>
          <w:ilvl w:val="1"/>
          <w:numId w:val="1"/>
        </w:numPr>
      </w:pPr>
      <w:proofErr w:type="spellStart"/>
      <w:r>
        <w:t>Neuroscanning</w:t>
      </w:r>
      <w:proofErr w:type="spellEnd"/>
    </w:p>
    <w:p w14:paraId="395D11AA" w14:textId="06BB822F" w:rsidR="00A57CCB" w:rsidRDefault="00A57CCB" w:rsidP="00A57CCB">
      <w:pPr>
        <w:pStyle w:val="ListParagraph"/>
        <w:numPr>
          <w:ilvl w:val="1"/>
          <w:numId w:val="1"/>
        </w:numPr>
      </w:pPr>
      <w:r>
        <w:t>Neuroscience</w:t>
      </w:r>
    </w:p>
    <w:p w14:paraId="35B7DD27" w14:textId="182060DC" w:rsidR="00A57CCB" w:rsidRDefault="00A57CCB" w:rsidP="00A57CCB">
      <w:pPr>
        <w:pStyle w:val="ListParagraph"/>
        <w:numPr>
          <w:ilvl w:val="0"/>
          <w:numId w:val="1"/>
        </w:numPr>
      </w:pPr>
      <w:r>
        <w:t>What is considered the gold standard for neuroimaging research and investigation?</w:t>
      </w:r>
    </w:p>
    <w:p w14:paraId="680E67F5" w14:textId="58287CE7" w:rsidR="00A57CCB" w:rsidRDefault="00A57CCB" w:rsidP="00A57CCB">
      <w:pPr>
        <w:pStyle w:val="ListParagraph"/>
        <w:numPr>
          <w:ilvl w:val="1"/>
          <w:numId w:val="1"/>
        </w:numPr>
      </w:pPr>
      <w:r>
        <w:t>CT</w:t>
      </w:r>
    </w:p>
    <w:p w14:paraId="2592C4B8" w14:textId="756EC0F3" w:rsidR="00A57CCB" w:rsidRDefault="00A57CCB" w:rsidP="00A57CCB">
      <w:pPr>
        <w:pStyle w:val="ListParagraph"/>
        <w:numPr>
          <w:ilvl w:val="1"/>
          <w:numId w:val="1"/>
        </w:numPr>
      </w:pPr>
      <w:r>
        <w:t>MRI</w:t>
      </w:r>
    </w:p>
    <w:p w14:paraId="08612F92" w14:textId="1FA1E611" w:rsidR="00A57CCB" w:rsidRPr="00A57CCB" w:rsidRDefault="00A57CCB" w:rsidP="00A57CCB">
      <w:pPr>
        <w:pStyle w:val="ListParagraph"/>
        <w:numPr>
          <w:ilvl w:val="1"/>
          <w:numId w:val="1"/>
        </w:numPr>
        <w:rPr>
          <w:highlight w:val="green"/>
        </w:rPr>
      </w:pPr>
      <w:r w:rsidRPr="00A57CCB">
        <w:rPr>
          <w:highlight w:val="green"/>
        </w:rPr>
        <w:t>fMRI</w:t>
      </w:r>
    </w:p>
    <w:p w14:paraId="2AFAE593" w14:textId="27B9F3B1" w:rsidR="00A57CCB" w:rsidRDefault="00A57CCB" w:rsidP="00A57CCB">
      <w:pPr>
        <w:pStyle w:val="ListParagraph"/>
        <w:numPr>
          <w:ilvl w:val="1"/>
          <w:numId w:val="1"/>
        </w:numPr>
      </w:pPr>
      <w:r>
        <w:t>PET</w:t>
      </w:r>
    </w:p>
    <w:p w14:paraId="3ADCF3F1" w14:textId="50CC7652" w:rsidR="00A57CCB" w:rsidRDefault="00A57CCB" w:rsidP="00A57CCB">
      <w:pPr>
        <w:pStyle w:val="ListParagraph"/>
        <w:numPr>
          <w:ilvl w:val="0"/>
          <w:numId w:val="1"/>
        </w:numPr>
      </w:pPr>
      <w:r>
        <w:t>What is the primary barrier to using conventional or fixed MRI?</w:t>
      </w:r>
    </w:p>
    <w:p w14:paraId="1E3BB6D9" w14:textId="7BC64B8E" w:rsidR="00A57CCB" w:rsidRDefault="00A57CCB" w:rsidP="00A57CCB">
      <w:pPr>
        <w:pStyle w:val="ListParagraph"/>
        <w:numPr>
          <w:ilvl w:val="1"/>
          <w:numId w:val="1"/>
        </w:numPr>
      </w:pPr>
      <w:r>
        <w:t>Cost</w:t>
      </w:r>
    </w:p>
    <w:p w14:paraId="13BD81CA" w14:textId="5FB910F9" w:rsidR="00A57CCB" w:rsidRDefault="00A57CCB" w:rsidP="00A57CCB">
      <w:pPr>
        <w:pStyle w:val="ListParagraph"/>
        <w:numPr>
          <w:ilvl w:val="1"/>
          <w:numId w:val="1"/>
        </w:numPr>
      </w:pPr>
      <w:r>
        <w:t>Accessibility</w:t>
      </w:r>
    </w:p>
    <w:p w14:paraId="2968933D" w14:textId="771FD1B6" w:rsidR="00A57CCB" w:rsidRDefault="00A57CCB" w:rsidP="00A57CCB">
      <w:pPr>
        <w:pStyle w:val="ListParagraph"/>
        <w:numPr>
          <w:ilvl w:val="1"/>
          <w:numId w:val="1"/>
        </w:numPr>
      </w:pPr>
      <w:r>
        <w:t>Long scan times</w:t>
      </w:r>
    </w:p>
    <w:p w14:paraId="64EE3EFC" w14:textId="3B53A8A3" w:rsidR="00A57CCB" w:rsidRDefault="00A57CCB" w:rsidP="00A57CCB">
      <w:pPr>
        <w:pStyle w:val="ListParagraph"/>
        <w:numPr>
          <w:ilvl w:val="1"/>
          <w:numId w:val="1"/>
        </w:numPr>
        <w:rPr>
          <w:highlight w:val="green"/>
        </w:rPr>
      </w:pPr>
      <w:r w:rsidRPr="00A57CCB">
        <w:rPr>
          <w:highlight w:val="green"/>
        </w:rPr>
        <w:t>Contraindications</w:t>
      </w:r>
    </w:p>
    <w:p w14:paraId="6C39A718" w14:textId="1D74CC8E" w:rsidR="00A57CCB" w:rsidRDefault="00A57CCB" w:rsidP="00A57CCB">
      <w:pPr>
        <w:pStyle w:val="ListParagraph"/>
        <w:numPr>
          <w:ilvl w:val="0"/>
          <w:numId w:val="1"/>
        </w:numPr>
      </w:pPr>
      <w:r>
        <w:t xml:space="preserve">Which of the following strategies was used by researchers to overcome challenges faced with imaging obese </w:t>
      </w:r>
      <w:proofErr w:type="gramStart"/>
      <w:r>
        <w:t>patients</w:t>
      </w:r>
      <w:proofErr w:type="gramEnd"/>
      <w:r>
        <w:t xml:space="preserve"> bedside with the </w:t>
      </w:r>
      <w:proofErr w:type="spellStart"/>
      <w:r>
        <w:t>pMRI</w:t>
      </w:r>
      <w:proofErr w:type="spellEnd"/>
      <w:r>
        <w:t xml:space="preserve"> scanner?</w:t>
      </w:r>
    </w:p>
    <w:p w14:paraId="12F93B78" w14:textId="76758EE1" w:rsidR="00A57CCB" w:rsidRPr="00A57CCB" w:rsidRDefault="00A57CCB" w:rsidP="00A57CCB">
      <w:pPr>
        <w:pStyle w:val="ListParagraph"/>
        <w:numPr>
          <w:ilvl w:val="1"/>
          <w:numId w:val="1"/>
        </w:numPr>
        <w:rPr>
          <w:highlight w:val="green"/>
        </w:rPr>
      </w:pPr>
      <w:r w:rsidRPr="00A57CCB">
        <w:rPr>
          <w:highlight w:val="green"/>
        </w:rPr>
        <w:t>Placing the patient in a Trendelenburg position</w:t>
      </w:r>
    </w:p>
    <w:p w14:paraId="62A3DCF7" w14:textId="591C0B59" w:rsidR="00A57CCB" w:rsidRDefault="00A57CCB" w:rsidP="00A57CCB">
      <w:pPr>
        <w:pStyle w:val="ListParagraph"/>
        <w:numPr>
          <w:ilvl w:val="1"/>
          <w:numId w:val="1"/>
        </w:numPr>
      </w:pPr>
      <w:r>
        <w:t>Placing the patient in a prone position</w:t>
      </w:r>
    </w:p>
    <w:p w14:paraId="36CEFD2D" w14:textId="457425ED" w:rsidR="00A57CCB" w:rsidRDefault="00A57CCB" w:rsidP="00A57CCB">
      <w:pPr>
        <w:pStyle w:val="ListParagraph"/>
        <w:numPr>
          <w:ilvl w:val="1"/>
          <w:numId w:val="1"/>
        </w:numPr>
      </w:pPr>
      <w:r>
        <w:lastRenderedPageBreak/>
        <w:t>Placing the patient in a lateral position</w:t>
      </w:r>
    </w:p>
    <w:p w14:paraId="6D402163" w14:textId="107F34C4" w:rsidR="00A57CCB" w:rsidRPr="00A57CCB" w:rsidRDefault="00A57CCB" w:rsidP="00A57CCB">
      <w:pPr>
        <w:pStyle w:val="ListParagraph"/>
        <w:numPr>
          <w:ilvl w:val="1"/>
          <w:numId w:val="1"/>
        </w:numPr>
      </w:pPr>
      <w:r>
        <w:t>Placing the patient in a Sims’ position</w:t>
      </w:r>
    </w:p>
    <w:sectPr w:rsidR="00A57CCB" w:rsidRPr="00A57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0B75B0"/>
    <w:multiLevelType w:val="hybridMultilevel"/>
    <w:tmpl w:val="55EA8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91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CB"/>
    <w:rsid w:val="0014325B"/>
    <w:rsid w:val="00275CBF"/>
    <w:rsid w:val="00554532"/>
    <w:rsid w:val="005823F4"/>
    <w:rsid w:val="006703DD"/>
    <w:rsid w:val="00A55CFE"/>
    <w:rsid w:val="00A57CCB"/>
    <w:rsid w:val="00B9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AC91F"/>
  <w15:chartTrackingRefBased/>
  <w15:docId w15:val="{006E1F73-EC34-454A-86BC-99301E3E7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BF"/>
    <w:rPr>
      <w:rFonts w:ascii="Arial" w:hAnsi="Arial"/>
      <w:sz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03DD"/>
    <w:pPr>
      <w:keepNext/>
      <w:keepLines/>
      <w:spacing w:line="240" w:lineRule="auto"/>
      <w:ind w:firstLine="0"/>
      <w:outlineLvl w:val="1"/>
    </w:pPr>
    <w:rPr>
      <w:rFonts w:eastAsiaTheme="majorEastAsia" w:cstheme="majorBidi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03DD"/>
    <w:rPr>
      <w:rFonts w:ascii="Arial" w:eastAsiaTheme="majorEastAsia" w:hAnsi="Arial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A57C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AC7A5C-65D3-45C5-B21A-1A1DD743D630}"/>
</file>

<file path=customXml/itemProps2.xml><?xml version="1.0" encoding="utf-8"?>
<ds:datastoreItem xmlns:ds="http://schemas.openxmlformats.org/officeDocument/2006/customXml" ds:itemID="{407014D6-E31D-47BE-8D03-B9BE68258790}"/>
</file>

<file path=customXml/itemProps3.xml><?xml version="1.0" encoding="utf-8"?>
<ds:datastoreItem xmlns:ds="http://schemas.openxmlformats.org/officeDocument/2006/customXml" ds:itemID="{31385C8C-E6BA-472E-9588-FC1C340BF0D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Jessyca Wagner</dc:creator>
  <cp:keywords/>
  <dc:description/>
  <cp:lastModifiedBy>Jessyca Wagner</cp:lastModifiedBy>
  <cp:revision>1</cp:revision>
  <dcterms:created xsi:type="dcterms:W3CDTF">2023-09-20T02:19:00Z</dcterms:created>
  <dcterms:modified xsi:type="dcterms:W3CDTF">2023-09-20T02:33:00Z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