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350FB" w14:textId="44587172" w:rsidR="0020216C" w:rsidRDefault="0034182C" w:rsidP="00F26A8C">
      <w:pPr>
        <w:spacing w:after="240" w:line="240" w:lineRule="auto"/>
        <w:contextualSpacing/>
        <w:rPr>
          <w:rFonts w:cstheme="minorHAnsi"/>
        </w:rPr>
      </w:pPr>
      <w:r>
        <w:rPr>
          <w:rFonts w:cstheme="minorHAnsi"/>
        </w:rPr>
        <w:t xml:space="preserve">Dual X-Ray Absorptiometry (DXA) In Osteoporosis </w:t>
      </w:r>
      <w:r w:rsidR="002C1BDB">
        <w:rPr>
          <w:rFonts w:cstheme="minorHAnsi"/>
        </w:rPr>
        <w:t xml:space="preserve">Screening, Diagnosis, and Monitoring </w:t>
      </w:r>
    </w:p>
    <w:p w14:paraId="2AEC342C" w14:textId="77777777" w:rsidR="002C1BDB" w:rsidRDefault="002C1BDB" w:rsidP="00F26A8C">
      <w:pPr>
        <w:spacing w:after="240" w:line="240" w:lineRule="auto"/>
        <w:contextualSpacing/>
        <w:rPr>
          <w:rFonts w:cstheme="minorHAnsi"/>
        </w:rPr>
      </w:pPr>
    </w:p>
    <w:p w14:paraId="36512C06" w14:textId="77777777" w:rsidR="002C1BDB" w:rsidRDefault="002C1BDB" w:rsidP="00F26A8C">
      <w:pPr>
        <w:spacing w:after="240" w:line="240" w:lineRule="auto"/>
        <w:contextualSpacing/>
        <w:rPr>
          <w:rFonts w:cstheme="minorHAnsi"/>
        </w:rPr>
      </w:pPr>
    </w:p>
    <w:p w14:paraId="5E5F9908" w14:textId="77777777" w:rsidR="002C1BDB" w:rsidRDefault="002C1BDB" w:rsidP="00F26A8C">
      <w:pPr>
        <w:spacing w:after="240" w:line="240" w:lineRule="auto"/>
        <w:contextualSpacing/>
        <w:rPr>
          <w:rFonts w:cstheme="minorHAnsi"/>
        </w:rPr>
      </w:pPr>
    </w:p>
    <w:p w14:paraId="7FF97EF9" w14:textId="77777777" w:rsidR="00DF5928" w:rsidRDefault="00DF5928" w:rsidP="00F26A8C">
      <w:pPr>
        <w:spacing w:after="240" w:line="240" w:lineRule="auto"/>
        <w:contextualSpacing/>
        <w:rPr>
          <w:rFonts w:cstheme="minorHAnsi"/>
        </w:rPr>
      </w:pPr>
    </w:p>
    <w:p w14:paraId="2498B350" w14:textId="5CFA18A0" w:rsidR="00DF5928" w:rsidRDefault="00DF5928" w:rsidP="00F26A8C">
      <w:pPr>
        <w:spacing w:after="240" w:line="240" w:lineRule="auto"/>
        <w:contextualSpacing/>
        <w:rPr>
          <w:rFonts w:cstheme="minorHAnsi"/>
        </w:rPr>
      </w:pPr>
      <w:r>
        <w:rPr>
          <w:rFonts w:cstheme="minorHAnsi"/>
        </w:rPr>
        <w:t xml:space="preserve">Learning Objectives: </w:t>
      </w:r>
    </w:p>
    <w:p w14:paraId="7D43BA04" w14:textId="5E099102" w:rsidR="00DF5928" w:rsidRDefault="00DF5928" w:rsidP="00F26A8C">
      <w:pPr>
        <w:spacing w:after="240" w:line="240" w:lineRule="auto"/>
        <w:contextualSpacing/>
        <w:rPr>
          <w:rFonts w:cstheme="minorHAnsi"/>
        </w:rPr>
      </w:pPr>
      <w:r>
        <w:rPr>
          <w:rFonts w:cstheme="minorHAnsi"/>
        </w:rPr>
        <w:t xml:space="preserve">At the conclusion of this activity, readers should be able to: </w:t>
      </w:r>
    </w:p>
    <w:p w14:paraId="2D0DB174" w14:textId="0C9D6BAA" w:rsidR="00B50842" w:rsidRDefault="00C23C1F" w:rsidP="004558BD">
      <w:pPr>
        <w:pStyle w:val="ListParagraph"/>
        <w:numPr>
          <w:ilvl w:val="0"/>
          <w:numId w:val="11"/>
        </w:numPr>
        <w:spacing w:after="240" w:line="240" w:lineRule="auto"/>
        <w:rPr>
          <w:rFonts w:cstheme="minorHAnsi"/>
        </w:rPr>
      </w:pPr>
      <w:r>
        <w:rPr>
          <w:rFonts w:cstheme="minorHAnsi"/>
        </w:rPr>
        <w:t xml:space="preserve">Describe the prevalence and clinical impact of osteoporosis in the United States </w:t>
      </w:r>
    </w:p>
    <w:p w14:paraId="2C7BB095" w14:textId="170EC7A5" w:rsidR="004558BD" w:rsidRDefault="004558BD" w:rsidP="004558BD">
      <w:pPr>
        <w:pStyle w:val="ListParagraph"/>
        <w:numPr>
          <w:ilvl w:val="0"/>
          <w:numId w:val="11"/>
        </w:numPr>
        <w:spacing w:after="240" w:line="240" w:lineRule="auto"/>
        <w:rPr>
          <w:rFonts w:cstheme="minorHAnsi"/>
        </w:rPr>
      </w:pPr>
      <w:r>
        <w:rPr>
          <w:rFonts w:cstheme="minorHAnsi"/>
        </w:rPr>
        <w:t xml:space="preserve">Discuss the role of DXA in the assessment of BMD </w:t>
      </w:r>
    </w:p>
    <w:p w14:paraId="3CE17B88" w14:textId="6E5FD170" w:rsidR="004558BD" w:rsidRDefault="004558BD" w:rsidP="004558BD">
      <w:pPr>
        <w:pStyle w:val="ListParagraph"/>
        <w:numPr>
          <w:ilvl w:val="0"/>
          <w:numId w:val="11"/>
        </w:numPr>
        <w:spacing w:after="240" w:line="240" w:lineRule="auto"/>
        <w:rPr>
          <w:rFonts w:cstheme="minorHAnsi"/>
        </w:rPr>
      </w:pPr>
      <w:r>
        <w:rPr>
          <w:rFonts w:cstheme="minorHAnsi"/>
        </w:rPr>
        <w:t xml:space="preserve">Summarize the appropriateness of DXA in several clinical scenarios </w:t>
      </w:r>
    </w:p>
    <w:p w14:paraId="00A9F094" w14:textId="7C7F1A55" w:rsidR="004558BD" w:rsidRPr="00B50842" w:rsidRDefault="00C23C1F" w:rsidP="00CD0D17">
      <w:pPr>
        <w:pStyle w:val="ListParagraph"/>
        <w:numPr>
          <w:ilvl w:val="0"/>
          <w:numId w:val="11"/>
        </w:numPr>
        <w:spacing w:after="240" w:line="240" w:lineRule="auto"/>
        <w:rPr>
          <w:rFonts w:cstheme="minorHAnsi"/>
        </w:rPr>
      </w:pPr>
      <w:r>
        <w:rPr>
          <w:rFonts w:cstheme="minorHAnsi"/>
        </w:rPr>
        <w:t>List</w:t>
      </w:r>
      <w:r w:rsidR="004558BD" w:rsidRPr="00B50842">
        <w:rPr>
          <w:rFonts w:cstheme="minorHAnsi"/>
        </w:rPr>
        <w:t xml:space="preserve"> steps to improve DXA image acquisition in the evaluation of osteoporosis, as well as potential artifacts and contraindications </w:t>
      </w:r>
    </w:p>
    <w:p w14:paraId="781A27F7" w14:textId="77777777" w:rsidR="00DF5928" w:rsidRDefault="00DF5928" w:rsidP="00F26A8C">
      <w:pPr>
        <w:spacing w:after="240" w:line="240" w:lineRule="auto"/>
        <w:contextualSpacing/>
        <w:rPr>
          <w:rFonts w:cstheme="minorHAnsi"/>
        </w:rPr>
      </w:pPr>
    </w:p>
    <w:p w14:paraId="1A75375A" w14:textId="77777777" w:rsidR="00DF5928" w:rsidRPr="00594434" w:rsidRDefault="00DF5928" w:rsidP="00F26A8C">
      <w:pPr>
        <w:spacing w:after="240" w:line="240" w:lineRule="auto"/>
        <w:contextualSpacing/>
        <w:rPr>
          <w:rFonts w:cstheme="minorHAnsi"/>
        </w:rPr>
      </w:pPr>
    </w:p>
    <w:p w14:paraId="615FF2B8" w14:textId="77777777" w:rsidR="000F76CB" w:rsidRDefault="000F76CB" w:rsidP="00F26A8C">
      <w:pPr>
        <w:spacing w:after="240" w:line="240" w:lineRule="auto"/>
        <w:contextualSpacing/>
        <w:rPr>
          <w:rFonts w:cstheme="minorHAnsi"/>
        </w:rPr>
      </w:pPr>
    </w:p>
    <w:p w14:paraId="40B3D898" w14:textId="1ED2C91C" w:rsidR="00DF5928" w:rsidRDefault="00DF5928" w:rsidP="00DF5928">
      <w:r>
        <w:t xml:space="preserve">Outline: </w:t>
      </w:r>
    </w:p>
    <w:p w14:paraId="4E891888" w14:textId="77777777" w:rsidR="00DF5928" w:rsidRDefault="00DF5928" w:rsidP="00DF5928">
      <w:pPr>
        <w:spacing w:after="240" w:line="240" w:lineRule="auto"/>
        <w:contextualSpacing/>
        <w:rPr>
          <w:rFonts w:cstheme="minorHAnsi"/>
          <w:b/>
          <w:bCs/>
        </w:rPr>
      </w:pPr>
      <w:r w:rsidRPr="00594434">
        <w:rPr>
          <w:rFonts w:cstheme="minorHAnsi"/>
          <w:b/>
          <w:bCs/>
        </w:rPr>
        <w:t xml:space="preserve">Osteoporosis: A common but silent disorder </w:t>
      </w:r>
    </w:p>
    <w:p w14:paraId="7C7F0706" w14:textId="77777777" w:rsidR="00DF5928" w:rsidRPr="00594434" w:rsidRDefault="00DF5928" w:rsidP="00DF5928">
      <w:pPr>
        <w:spacing w:after="240" w:line="240" w:lineRule="auto"/>
        <w:contextualSpacing/>
        <w:rPr>
          <w:rFonts w:cstheme="minorHAnsi"/>
          <w:b/>
          <w:bCs/>
        </w:rPr>
      </w:pPr>
      <w:r w:rsidRPr="00594434">
        <w:rPr>
          <w:rFonts w:cstheme="minorHAnsi"/>
          <w:b/>
          <w:bCs/>
        </w:rPr>
        <w:t xml:space="preserve">Bone strength, bone mineral density, and bone quality </w:t>
      </w:r>
    </w:p>
    <w:p w14:paraId="303D676B" w14:textId="77777777" w:rsidR="00DF5928" w:rsidRPr="00594434" w:rsidRDefault="00DF5928" w:rsidP="00DF5928">
      <w:pPr>
        <w:spacing w:after="240" w:line="240" w:lineRule="auto"/>
        <w:contextualSpacing/>
        <w:rPr>
          <w:rFonts w:cstheme="minorHAnsi"/>
          <w:b/>
          <w:bCs/>
        </w:rPr>
      </w:pPr>
      <w:r w:rsidRPr="00594434">
        <w:rPr>
          <w:rFonts w:cstheme="minorHAnsi"/>
          <w:b/>
          <w:bCs/>
        </w:rPr>
        <w:t xml:space="preserve">Clinical Consequences of Osteoporosis </w:t>
      </w:r>
    </w:p>
    <w:p w14:paraId="3EB53FA0" w14:textId="77777777" w:rsidR="00DF5928" w:rsidRDefault="00DF5928" w:rsidP="00DF5928">
      <w:pPr>
        <w:spacing w:after="240" w:line="240" w:lineRule="auto"/>
        <w:contextualSpacing/>
        <w:rPr>
          <w:rFonts w:cstheme="minorHAnsi"/>
          <w:b/>
          <w:bCs/>
        </w:rPr>
      </w:pPr>
      <w:r w:rsidRPr="00594434">
        <w:rPr>
          <w:rFonts w:cstheme="minorHAnsi"/>
          <w:b/>
          <w:bCs/>
        </w:rPr>
        <w:t>Guideline Recommendations for Screening and Diagnosis of Osteoporosis</w:t>
      </w:r>
    </w:p>
    <w:p w14:paraId="4A56A91A" w14:textId="77777777" w:rsidR="00DF5928" w:rsidRPr="00594434" w:rsidRDefault="00DF5928" w:rsidP="00DF5928">
      <w:pPr>
        <w:spacing w:after="240" w:line="240" w:lineRule="auto"/>
        <w:contextualSpacing/>
        <w:rPr>
          <w:rFonts w:cstheme="minorHAnsi"/>
          <w:b/>
          <w:bCs/>
        </w:rPr>
      </w:pPr>
      <w:r w:rsidRPr="00594434">
        <w:rPr>
          <w:rFonts w:cstheme="minorHAnsi"/>
          <w:b/>
          <w:bCs/>
        </w:rPr>
        <w:t xml:space="preserve">Role of DXA in Determining BMD </w:t>
      </w:r>
    </w:p>
    <w:p w14:paraId="79A22B53" w14:textId="77777777" w:rsidR="00DF5928" w:rsidRPr="00594434" w:rsidRDefault="00DF5928" w:rsidP="00D33A72">
      <w:pPr>
        <w:spacing w:after="240" w:line="240" w:lineRule="auto"/>
        <w:ind w:left="720"/>
        <w:contextualSpacing/>
        <w:rPr>
          <w:rFonts w:cstheme="minorHAnsi"/>
          <w:i/>
          <w:iCs/>
        </w:rPr>
      </w:pPr>
      <w:r w:rsidRPr="00594434">
        <w:rPr>
          <w:rFonts w:cstheme="minorHAnsi"/>
          <w:i/>
          <w:iCs/>
        </w:rPr>
        <w:t xml:space="preserve">Peripheral Versus Central DXA </w:t>
      </w:r>
    </w:p>
    <w:p w14:paraId="5D650A09" w14:textId="77777777" w:rsidR="00DF5928" w:rsidRPr="00594434" w:rsidRDefault="00DF5928" w:rsidP="00D33A72">
      <w:pPr>
        <w:spacing w:after="240" w:line="240" w:lineRule="auto"/>
        <w:ind w:left="720"/>
        <w:contextualSpacing/>
        <w:rPr>
          <w:rFonts w:cstheme="minorHAnsi"/>
          <w:i/>
          <w:iCs/>
        </w:rPr>
      </w:pPr>
      <w:r w:rsidRPr="00594434">
        <w:rPr>
          <w:rFonts w:cstheme="minorHAnsi"/>
          <w:i/>
          <w:iCs/>
        </w:rPr>
        <w:t xml:space="preserve">Vertebral Fracture Assessment </w:t>
      </w:r>
    </w:p>
    <w:p w14:paraId="083ED0EB" w14:textId="77777777" w:rsidR="00DF5928" w:rsidRPr="00594434" w:rsidRDefault="00DF5928" w:rsidP="00D33A72">
      <w:pPr>
        <w:spacing w:after="240" w:line="240" w:lineRule="auto"/>
        <w:ind w:left="720"/>
        <w:contextualSpacing/>
        <w:rPr>
          <w:rFonts w:cstheme="minorHAnsi"/>
          <w:i/>
          <w:iCs/>
        </w:rPr>
      </w:pPr>
      <w:r w:rsidRPr="00594434">
        <w:rPr>
          <w:rFonts w:cstheme="minorHAnsi"/>
          <w:i/>
          <w:iCs/>
        </w:rPr>
        <w:t>FRAX® Score</w:t>
      </w:r>
    </w:p>
    <w:p w14:paraId="6CE16C15" w14:textId="77777777" w:rsidR="00DF5928" w:rsidRPr="00594434" w:rsidRDefault="00DF5928" w:rsidP="00D33A72">
      <w:pPr>
        <w:spacing w:after="240" w:line="240" w:lineRule="auto"/>
        <w:ind w:left="720"/>
        <w:contextualSpacing/>
        <w:rPr>
          <w:rFonts w:cstheme="minorHAnsi"/>
          <w:i/>
          <w:iCs/>
        </w:rPr>
      </w:pPr>
      <w:r w:rsidRPr="00594434">
        <w:rPr>
          <w:rFonts w:cstheme="minorHAnsi"/>
          <w:i/>
          <w:iCs/>
        </w:rPr>
        <w:t>Monitoring Response to Treatment</w:t>
      </w:r>
    </w:p>
    <w:p w14:paraId="1EFC61FC" w14:textId="77777777" w:rsidR="00DF5928" w:rsidRDefault="00DF5928" w:rsidP="00DF5928">
      <w:pPr>
        <w:spacing w:after="240" w:line="240" w:lineRule="auto"/>
        <w:contextualSpacing/>
        <w:rPr>
          <w:rFonts w:cstheme="minorHAnsi"/>
          <w:b/>
          <w:bCs/>
        </w:rPr>
      </w:pPr>
      <w:r w:rsidRPr="00594434">
        <w:rPr>
          <w:rFonts w:cstheme="minorHAnsi"/>
          <w:b/>
          <w:bCs/>
        </w:rPr>
        <w:t xml:space="preserve">Appropriateness of DXA in Specific Clinical Scenarios </w:t>
      </w:r>
    </w:p>
    <w:p w14:paraId="5347B9DE" w14:textId="77777777" w:rsidR="00DF5928" w:rsidRDefault="00DF5928" w:rsidP="00DF5928">
      <w:pPr>
        <w:spacing w:after="240" w:line="240" w:lineRule="auto"/>
        <w:contextualSpacing/>
        <w:rPr>
          <w:rFonts w:cstheme="minorHAnsi"/>
          <w:b/>
          <w:bCs/>
        </w:rPr>
      </w:pPr>
      <w:r w:rsidRPr="00097D11">
        <w:rPr>
          <w:rFonts w:cstheme="minorHAnsi"/>
          <w:b/>
          <w:bCs/>
        </w:rPr>
        <w:t>Improving Image Acquisition</w:t>
      </w:r>
    </w:p>
    <w:p w14:paraId="01B251C5" w14:textId="77777777" w:rsidR="00DF5928" w:rsidRPr="00594434" w:rsidRDefault="00DF5928" w:rsidP="00D33A72">
      <w:pPr>
        <w:spacing w:after="240" w:line="240" w:lineRule="auto"/>
        <w:ind w:left="720"/>
        <w:contextualSpacing/>
        <w:rPr>
          <w:rFonts w:cstheme="minorHAnsi"/>
          <w:i/>
          <w:iCs/>
        </w:rPr>
      </w:pPr>
      <w:r w:rsidRPr="00594434">
        <w:rPr>
          <w:rFonts w:cstheme="minorHAnsi"/>
          <w:i/>
          <w:iCs/>
        </w:rPr>
        <w:t xml:space="preserve">Lumbar spine </w:t>
      </w:r>
    </w:p>
    <w:p w14:paraId="30F7970F" w14:textId="77777777" w:rsidR="00DF5928" w:rsidRPr="00594434" w:rsidRDefault="00DF5928" w:rsidP="00D33A72">
      <w:pPr>
        <w:spacing w:after="240" w:line="240" w:lineRule="auto"/>
        <w:ind w:left="720"/>
        <w:contextualSpacing/>
        <w:rPr>
          <w:rFonts w:cstheme="minorHAnsi"/>
          <w:i/>
          <w:iCs/>
        </w:rPr>
      </w:pPr>
      <w:r w:rsidRPr="00594434">
        <w:rPr>
          <w:rFonts w:cstheme="minorHAnsi"/>
          <w:i/>
          <w:iCs/>
        </w:rPr>
        <w:t xml:space="preserve">Proximal femur </w:t>
      </w:r>
    </w:p>
    <w:p w14:paraId="256ADF8A" w14:textId="77777777" w:rsidR="00DF5928" w:rsidRDefault="00DF5928" w:rsidP="00D33A72">
      <w:pPr>
        <w:spacing w:after="240" w:line="240" w:lineRule="auto"/>
        <w:ind w:left="720"/>
        <w:contextualSpacing/>
        <w:rPr>
          <w:rFonts w:cstheme="minorHAnsi"/>
          <w:i/>
          <w:iCs/>
        </w:rPr>
      </w:pPr>
      <w:r w:rsidRPr="00594434">
        <w:rPr>
          <w:rFonts w:cstheme="minorHAnsi"/>
          <w:i/>
          <w:iCs/>
        </w:rPr>
        <w:t>Forearm</w:t>
      </w:r>
    </w:p>
    <w:p w14:paraId="100E6762" w14:textId="77777777" w:rsidR="00DF5928" w:rsidRPr="00594434" w:rsidRDefault="00DF5928" w:rsidP="00D33A72">
      <w:pPr>
        <w:spacing w:after="240" w:line="240" w:lineRule="auto"/>
        <w:ind w:left="720"/>
        <w:contextualSpacing/>
        <w:rPr>
          <w:rFonts w:cstheme="minorHAnsi"/>
          <w:i/>
          <w:iCs/>
        </w:rPr>
      </w:pPr>
      <w:r w:rsidRPr="00594434">
        <w:rPr>
          <w:rFonts w:cstheme="minorHAnsi"/>
          <w:i/>
          <w:iCs/>
        </w:rPr>
        <w:t xml:space="preserve">Potential Artifacts </w:t>
      </w:r>
    </w:p>
    <w:p w14:paraId="13A0E190" w14:textId="77777777" w:rsidR="00DF5928" w:rsidRPr="00594434" w:rsidRDefault="00DF5928" w:rsidP="00D33A72">
      <w:pPr>
        <w:spacing w:after="240" w:line="240" w:lineRule="auto"/>
        <w:ind w:left="720"/>
        <w:contextualSpacing/>
        <w:rPr>
          <w:rFonts w:cstheme="minorHAnsi"/>
          <w:i/>
          <w:iCs/>
        </w:rPr>
      </w:pPr>
      <w:r w:rsidRPr="00594434">
        <w:rPr>
          <w:rFonts w:cstheme="minorHAnsi"/>
          <w:i/>
          <w:iCs/>
        </w:rPr>
        <w:t xml:space="preserve">Patient Preparation </w:t>
      </w:r>
    </w:p>
    <w:p w14:paraId="1DFA0551" w14:textId="77777777" w:rsidR="00DF5928" w:rsidRPr="00594434" w:rsidRDefault="00DF5928" w:rsidP="00D33A72">
      <w:pPr>
        <w:spacing w:after="240" w:line="240" w:lineRule="auto"/>
        <w:ind w:left="720"/>
        <w:contextualSpacing/>
        <w:rPr>
          <w:rFonts w:cstheme="minorHAnsi"/>
          <w:i/>
          <w:iCs/>
        </w:rPr>
      </w:pPr>
      <w:r w:rsidRPr="00594434">
        <w:rPr>
          <w:rFonts w:cstheme="minorHAnsi"/>
          <w:i/>
          <w:iCs/>
        </w:rPr>
        <w:t>Contraindications for DXA</w:t>
      </w:r>
    </w:p>
    <w:p w14:paraId="1BAAAA27" w14:textId="77777777" w:rsidR="00DF5928" w:rsidRPr="00594434" w:rsidRDefault="00DF5928" w:rsidP="00DF5928">
      <w:pPr>
        <w:spacing w:after="240" w:line="240" w:lineRule="auto"/>
        <w:contextualSpacing/>
        <w:rPr>
          <w:rFonts w:cstheme="minorHAnsi"/>
          <w:b/>
          <w:bCs/>
        </w:rPr>
      </w:pPr>
      <w:r w:rsidRPr="00594434">
        <w:rPr>
          <w:rFonts w:cstheme="minorHAnsi"/>
          <w:b/>
          <w:bCs/>
        </w:rPr>
        <w:t xml:space="preserve">Summary and Conclusions </w:t>
      </w:r>
    </w:p>
    <w:p w14:paraId="2FA29BC6" w14:textId="77777777" w:rsidR="00DF5928" w:rsidRDefault="00DF5928" w:rsidP="00F26A8C">
      <w:pPr>
        <w:spacing w:after="240" w:line="240" w:lineRule="auto"/>
        <w:contextualSpacing/>
        <w:rPr>
          <w:rFonts w:cstheme="minorHAnsi"/>
        </w:rPr>
      </w:pPr>
    </w:p>
    <w:p w14:paraId="60F4010E" w14:textId="77777777" w:rsidR="00DF5928" w:rsidRPr="00594434" w:rsidRDefault="00DF5928" w:rsidP="00F26A8C">
      <w:pPr>
        <w:spacing w:after="240" w:line="240" w:lineRule="auto"/>
        <w:contextualSpacing/>
        <w:rPr>
          <w:rFonts w:cstheme="minorHAnsi"/>
        </w:rPr>
      </w:pPr>
    </w:p>
    <w:p w14:paraId="5B4AED01" w14:textId="50D5C81E" w:rsidR="007C419E" w:rsidRPr="00594434" w:rsidRDefault="00615975" w:rsidP="00F26A8C">
      <w:pPr>
        <w:spacing w:after="240" w:line="240" w:lineRule="auto"/>
        <w:contextualSpacing/>
        <w:rPr>
          <w:rFonts w:cstheme="minorHAnsi"/>
          <w:b/>
          <w:bCs/>
        </w:rPr>
      </w:pPr>
      <w:bookmarkStart w:id="0" w:name="_Hlk158385689"/>
      <w:r w:rsidRPr="00594434">
        <w:rPr>
          <w:rFonts w:cstheme="minorHAnsi"/>
          <w:b/>
          <w:bCs/>
        </w:rPr>
        <w:t>Osteoporosis: A</w:t>
      </w:r>
      <w:r w:rsidR="00D61909" w:rsidRPr="00594434">
        <w:rPr>
          <w:rFonts w:cstheme="minorHAnsi"/>
          <w:b/>
          <w:bCs/>
        </w:rPr>
        <w:t xml:space="preserve"> </w:t>
      </w:r>
      <w:r w:rsidR="00590C6C" w:rsidRPr="00594434">
        <w:rPr>
          <w:rFonts w:cstheme="minorHAnsi"/>
          <w:b/>
          <w:bCs/>
        </w:rPr>
        <w:t>c</w:t>
      </w:r>
      <w:r w:rsidR="00D61909" w:rsidRPr="00594434">
        <w:rPr>
          <w:rFonts w:cstheme="minorHAnsi"/>
          <w:b/>
          <w:bCs/>
        </w:rPr>
        <w:t>ommon</w:t>
      </w:r>
      <w:r w:rsidR="00590C6C" w:rsidRPr="00594434">
        <w:rPr>
          <w:rFonts w:cstheme="minorHAnsi"/>
          <w:b/>
          <w:bCs/>
        </w:rPr>
        <w:t xml:space="preserve"> </w:t>
      </w:r>
      <w:r w:rsidR="00D61909" w:rsidRPr="00594434">
        <w:rPr>
          <w:rFonts w:cstheme="minorHAnsi"/>
          <w:b/>
          <w:bCs/>
        </w:rPr>
        <w:t xml:space="preserve">but silent disorder </w:t>
      </w:r>
    </w:p>
    <w:bookmarkEnd w:id="0"/>
    <w:p w14:paraId="4FC2779B" w14:textId="5BF3A44D" w:rsidR="00BE2FD6" w:rsidRPr="00594434" w:rsidRDefault="00EC4FCC" w:rsidP="00BE2FD6">
      <w:pPr>
        <w:spacing w:after="240" w:line="240" w:lineRule="auto"/>
        <w:contextualSpacing/>
        <w:rPr>
          <w:rFonts w:cstheme="minorHAnsi"/>
        </w:rPr>
      </w:pPr>
      <w:r w:rsidRPr="00594434">
        <w:rPr>
          <w:rFonts w:cstheme="minorHAnsi"/>
        </w:rPr>
        <w:t>Osteoporosis is a</w:t>
      </w:r>
      <w:r w:rsidR="00B8323D" w:rsidRPr="00594434">
        <w:rPr>
          <w:rFonts w:cstheme="minorHAnsi"/>
        </w:rPr>
        <w:t xml:space="preserve"> chronic</w:t>
      </w:r>
      <w:r w:rsidRPr="00594434">
        <w:rPr>
          <w:rFonts w:cstheme="minorHAnsi"/>
        </w:rPr>
        <w:t xml:space="preserve"> skeletal disorder</w:t>
      </w:r>
      <w:r w:rsidR="00B8323D" w:rsidRPr="00594434">
        <w:rPr>
          <w:rFonts w:cstheme="minorHAnsi"/>
        </w:rPr>
        <w:t xml:space="preserve"> that is</w:t>
      </w:r>
      <w:r w:rsidRPr="00594434">
        <w:rPr>
          <w:rFonts w:cstheme="minorHAnsi"/>
        </w:rPr>
        <w:t xml:space="preserve"> characterized by reduced bone mineral content, </w:t>
      </w:r>
      <w:r w:rsidR="008E5720" w:rsidRPr="00594434">
        <w:rPr>
          <w:rFonts w:cstheme="minorHAnsi"/>
        </w:rPr>
        <w:t>loss of bone density</w:t>
      </w:r>
      <w:r w:rsidR="00272FE1" w:rsidRPr="00594434">
        <w:rPr>
          <w:rFonts w:cstheme="minorHAnsi"/>
        </w:rPr>
        <w:t>,</w:t>
      </w:r>
      <w:r w:rsidR="00AD1D11" w:rsidRPr="00594434">
        <w:rPr>
          <w:rFonts w:cstheme="minorHAnsi"/>
        </w:rPr>
        <w:t xml:space="preserve"> microscopic structural changes that</w:t>
      </w:r>
      <w:r w:rsidR="00272FE1" w:rsidRPr="00594434">
        <w:rPr>
          <w:rFonts w:cstheme="minorHAnsi"/>
        </w:rPr>
        <w:t xml:space="preserve"> decrease</w:t>
      </w:r>
      <w:r w:rsidR="008E5720" w:rsidRPr="00594434">
        <w:rPr>
          <w:rFonts w:cstheme="minorHAnsi"/>
        </w:rPr>
        <w:t xml:space="preserve"> </w:t>
      </w:r>
      <w:r w:rsidR="00AD1D11" w:rsidRPr="00594434">
        <w:rPr>
          <w:rFonts w:cstheme="minorHAnsi"/>
        </w:rPr>
        <w:t>bone strength,</w:t>
      </w:r>
      <w:r w:rsidR="008E5720" w:rsidRPr="00594434">
        <w:rPr>
          <w:rFonts w:cstheme="minorHAnsi"/>
        </w:rPr>
        <w:t xml:space="preserve"> and increased risk of fracture.</w:t>
      </w:r>
      <w:bookmarkStart w:id="1" w:name="_Ref158635679"/>
      <w:r w:rsidR="00F074A1">
        <w:rPr>
          <w:rStyle w:val="EndnoteReference"/>
          <w:rFonts w:cstheme="minorHAnsi"/>
        </w:rPr>
        <w:endnoteReference w:id="1"/>
      </w:r>
      <w:bookmarkEnd w:id="1"/>
      <w:r w:rsidR="00FF119C">
        <w:rPr>
          <w:rFonts w:cstheme="minorHAnsi"/>
        </w:rPr>
        <w:t xml:space="preserve"> </w:t>
      </w:r>
      <w:r w:rsidR="00F35FDA" w:rsidRPr="00594434">
        <w:rPr>
          <w:rFonts w:cstheme="minorHAnsi"/>
        </w:rPr>
        <w:t>Often referred to</w:t>
      </w:r>
      <w:r w:rsidR="00C37518" w:rsidRPr="00594434">
        <w:rPr>
          <w:rFonts w:cstheme="minorHAnsi"/>
        </w:rPr>
        <w:t xml:space="preserve"> as a “silent disease,” o</w:t>
      </w:r>
      <w:r w:rsidR="00867C37" w:rsidRPr="00594434">
        <w:rPr>
          <w:rFonts w:cstheme="minorHAnsi"/>
        </w:rPr>
        <w:t>steoporosis</w:t>
      </w:r>
      <w:r w:rsidR="00F43AAA" w:rsidRPr="00594434">
        <w:rPr>
          <w:rFonts w:cstheme="minorHAnsi"/>
        </w:rPr>
        <w:t xml:space="preserve"> is</w:t>
      </w:r>
      <w:r w:rsidR="00867C37" w:rsidRPr="00594434">
        <w:rPr>
          <w:rFonts w:cstheme="minorHAnsi"/>
        </w:rPr>
        <w:t xml:space="preserve"> the most common metabolic bone </w:t>
      </w:r>
      <w:r w:rsidR="00C37518" w:rsidRPr="00594434">
        <w:rPr>
          <w:rFonts w:cstheme="minorHAnsi"/>
        </w:rPr>
        <w:t>disorder</w:t>
      </w:r>
      <w:r w:rsidR="00867C37" w:rsidRPr="00594434">
        <w:rPr>
          <w:rFonts w:cstheme="minorHAnsi"/>
        </w:rPr>
        <w:t xml:space="preserve"> in the </w:t>
      </w:r>
      <w:r w:rsidR="00F35FDA" w:rsidRPr="00594434">
        <w:rPr>
          <w:rFonts w:cstheme="minorHAnsi"/>
        </w:rPr>
        <w:t>United States (US)</w:t>
      </w:r>
      <w:r w:rsidR="00C37518" w:rsidRPr="00594434">
        <w:rPr>
          <w:rFonts w:cstheme="minorHAnsi"/>
        </w:rPr>
        <w:t xml:space="preserve">, </w:t>
      </w:r>
      <w:r w:rsidR="00391CC1" w:rsidRPr="00594434">
        <w:rPr>
          <w:rFonts w:cstheme="minorHAnsi"/>
        </w:rPr>
        <w:t>yet</w:t>
      </w:r>
      <w:r w:rsidR="00C37518" w:rsidRPr="00594434">
        <w:rPr>
          <w:rFonts w:cstheme="minorHAnsi"/>
        </w:rPr>
        <w:t xml:space="preserve"> it often goes undiagnosed</w:t>
      </w:r>
      <w:r w:rsidR="00912051" w:rsidRPr="00594434">
        <w:rPr>
          <w:rFonts w:cstheme="minorHAnsi"/>
        </w:rPr>
        <w:t xml:space="preserve"> until </w:t>
      </w:r>
      <w:r w:rsidR="00391CC1" w:rsidRPr="00594434">
        <w:rPr>
          <w:rFonts w:cstheme="minorHAnsi"/>
        </w:rPr>
        <w:t>a fracture occurs</w:t>
      </w:r>
      <w:r w:rsidR="00F43AAA" w:rsidRPr="00594434">
        <w:rPr>
          <w:rFonts w:cstheme="minorHAnsi"/>
        </w:rPr>
        <w:t>.</w:t>
      </w:r>
      <w:r w:rsidR="001B1A96">
        <w:rPr>
          <w:rStyle w:val="EndnoteReference"/>
          <w:rFonts w:cstheme="minorHAnsi"/>
        </w:rPr>
        <w:endnoteReference w:id="2"/>
      </w:r>
      <w:r w:rsidR="00D65E42" w:rsidRPr="00D65E42">
        <w:rPr>
          <w:rFonts w:cstheme="minorHAnsi"/>
          <w:vertAlign w:val="superscript"/>
        </w:rPr>
        <w:t>,</w:t>
      </w:r>
      <w:bookmarkStart w:id="2" w:name="_Ref158629712"/>
      <w:r w:rsidR="00D65E42">
        <w:rPr>
          <w:rStyle w:val="EndnoteReference"/>
          <w:rFonts w:cstheme="minorHAnsi"/>
        </w:rPr>
        <w:endnoteReference w:id="3"/>
      </w:r>
      <w:bookmarkEnd w:id="2"/>
      <w:r w:rsidR="001B1A96">
        <w:rPr>
          <w:rFonts w:cstheme="minorHAnsi"/>
        </w:rPr>
        <w:t xml:space="preserve"> </w:t>
      </w:r>
      <w:r w:rsidR="00391CC1" w:rsidRPr="00594434">
        <w:rPr>
          <w:rFonts w:cstheme="minorHAnsi"/>
        </w:rPr>
        <w:t>It is e</w:t>
      </w:r>
      <w:r w:rsidR="00F8264C" w:rsidRPr="00594434">
        <w:rPr>
          <w:rFonts w:cstheme="minorHAnsi"/>
        </w:rPr>
        <w:t xml:space="preserve">stimated that </w:t>
      </w:r>
      <w:r w:rsidR="00C27987" w:rsidRPr="00594434">
        <w:rPr>
          <w:rFonts w:cstheme="minorHAnsi"/>
        </w:rPr>
        <w:t>approximately</w:t>
      </w:r>
      <w:r w:rsidR="00F8264C" w:rsidRPr="00594434">
        <w:rPr>
          <w:rFonts w:cstheme="minorHAnsi"/>
        </w:rPr>
        <w:t xml:space="preserve"> 10 million Americans have osteoporosis, and another 4</w:t>
      </w:r>
      <w:r w:rsidR="00C27987" w:rsidRPr="00594434">
        <w:rPr>
          <w:rFonts w:cstheme="minorHAnsi"/>
        </w:rPr>
        <w:t>4</w:t>
      </w:r>
      <w:r w:rsidR="00F8264C" w:rsidRPr="00594434">
        <w:rPr>
          <w:rFonts w:cstheme="minorHAnsi"/>
        </w:rPr>
        <w:t xml:space="preserve"> million have low </w:t>
      </w:r>
      <w:r w:rsidR="00365326" w:rsidRPr="00594434">
        <w:rPr>
          <w:rFonts w:cstheme="minorHAnsi"/>
        </w:rPr>
        <w:t>b</w:t>
      </w:r>
      <w:r w:rsidR="00F8264C" w:rsidRPr="00594434">
        <w:rPr>
          <w:rFonts w:cstheme="minorHAnsi"/>
        </w:rPr>
        <w:t>one density</w:t>
      </w:r>
      <w:r w:rsidR="00062F28" w:rsidRPr="00594434">
        <w:rPr>
          <w:rFonts w:cstheme="minorHAnsi"/>
        </w:rPr>
        <w:t xml:space="preserve"> that puts them at risk for developing osteoporosis in the future</w:t>
      </w:r>
      <w:r w:rsidR="00F8264C" w:rsidRPr="00594434">
        <w:rPr>
          <w:rFonts w:cstheme="minorHAnsi"/>
        </w:rPr>
        <w:t xml:space="preserve">. </w:t>
      </w:r>
      <w:r w:rsidR="009E27BA" w:rsidRPr="00594434">
        <w:rPr>
          <w:rFonts w:cstheme="minorHAnsi"/>
        </w:rPr>
        <w:t xml:space="preserve">In addition, </w:t>
      </w:r>
      <w:commentRangeStart w:id="3"/>
      <w:r w:rsidR="009E27BA" w:rsidRPr="0023138D">
        <w:rPr>
          <w:rFonts w:cstheme="minorHAnsi"/>
          <w:highlight w:val="yellow"/>
        </w:rPr>
        <w:t>a</w:t>
      </w:r>
      <w:r w:rsidR="00365326" w:rsidRPr="0023138D">
        <w:rPr>
          <w:rFonts w:cstheme="minorHAnsi"/>
          <w:highlight w:val="yellow"/>
        </w:rPr>
        <w:t>pproximately</w:t>
      </w:r>
      <w:commentRangeEnd w:id="3"/>
      <w:r w:rsidR="0023138D">
        <w:rPr>
          <w:rStyle w:val="CommentReference"/>
        </w:rPr>
        <w:commentReference w:id="3"/>
      </w:r>
      <w:r w:rsidR="00365326" w:rsidRPr="0023138D">
        <w:rPr>
          <w:rFonts w:cstheme="minorHAnsi"/>
          <w:highlight w:val="yellow"/>
        </w:rPr>
        <w:t xml:space="preserve"> 50% of women and 20% of men over the age of 50 will experience an osteoporosis-related fracture</w:t>
      </w:r>
      <w:r w:rsidR="00365326" w:rsidRPr="00594434">
        <w:rPr>
          <w:rFonts w:cstheme="minorHAnsi"/>
        </w:rPr>
        <w:t>.</w:t>
      </w:r>
      <w:r w:rsidR="009E27BA" w:rsidRPr="00594434">
        <w:rPr>
          <w:rFonts w:cstheme="minorHAnsi"/>
        </w:rPr>
        <w:t xml:space="preserve"> However, </w:t>
      </w:r>
      <w:r w:rsidR="009E27BA" w:rsidRPr="00594434">
        <w:rPr>
          <w:rFonts w:cstheme="minorHAnsi"/>
        </w:rPr>
        <w:lastRenderedPageBreak/>
        <w:t>despite the high prevalence of osteoporosis and osteoporotic fractures, only about 20% of people over the age of 50 are tested or treated for oste</w:t>
      </w:r>
      <w:r w:rsidR="00794F77" w:rsidRPr="00594434">
        <w:rPr>
          <w:rFonts w:cstheme="minorHAnsi"/>
        </w:rPr>
        <w:t>oporosis</w:t>
      </w:r>
      <w:r w:rsidR="00015333" w:rsidRPr="00594434">
        <w:rPr>
          <w:rFonts w:cstheme="minorHAnsi"/>
        </w:rPr>
        <w:t xml:space="preserve"> in the US</w:t>
      </w:r>
      <w:r w:rsidR="00794F77" w:rsidRPr="00594434">
        <w:rPr>
          <w:rFonts w:cstheme="minorHAnsi"/>
        </w:rPr>
        <w:t>.</w:t>
      </w:r>
      <w:r w:rsidR="006A53F0">
        <w:rPr>
          <w:rFonts w:cstheme="minorHAnsi"/>
        </w:rPr>
        <w:fldChar w:fldCharType="begin"/>
      </w:r>
      <w:r w:rsidR="006A53F0">
        <w:rPr>
          <w:rFonts w:cstheme="minorHAnsi"/>
        </w:rPr>
        <w:instrText xml:space="preserve"> NOTEREF _Ref158629712 \f \h </w:instrText>
      </w:r>
      <w:r w:rsidR="006A53F0">
        <w:rPr>
          <w:rFonts w:cstheme="minorHAnsi"/>
        </w:rPr>
      </w:r>
      <w:r w:rsidR="006A53F0">
        <w:rPr>
          <w:rFonts w:cstheme="minorHAnsi"/>
        </w:rPr>
        <w:fldChar w:fldCharType="separate"/>
      </w:r>
      <w:r w:rsidR="006A53F0" w:rsidRPr="006A53F0">
        <w:rPr>
          <w:rStyle w:val="EndnoteReference"/>
        </w:rPr>
        <w:t>3</w:t>
      </w:r>
      <w:r w:rsidR="006A53F0">
        <w:rPr>
          <w:rFonts w:cstheme="minorHAnsi"/>
        </w:rPr>
        <w:fldChar w:fldCharType="end"/>
      </w:r>
      <w:r w:rsidR="00CB2FEE">
        <w:rPr>
          <w:rFonts w:cstheme="minorHAnsi"/>
        </w:rPr>
        <w:t xml:space="preserve"> </w:t>
      </w:r>
      <w:r w:rsidR="00BE2FD6" w:rsidRPr="00594434">
        <w:rPr>
          <w:rFonts w:cstheme="minorHAnsi"/>
        </w:rPr>
        <w:t xml:space="preserve"> </w:t>
      </w:r>
    </w:p>
    <w:p w14:paraId="09CD46E3" w14:textId="72735238" w:rsidR="001A7BCB" w:rsidRPr="00594434" w:rsidRDefault="001A7BCB" w:rsidP="0037245C">
      <w:pPr>
        <w:spacing w:after="240" w:line="240" w:lineRule="auto"/>
        <w:contextualSpacing/>
        <w:rPr>
          <w:rFonts w:cstheme="minorHAnsi"/>
        </w:rPr>
      </w:pPr>
    </w:p>
    <w:p w14:paraId="623910CF" w14:textId="4F650DD7" w:rsidR="00707FA9" w:rsidRPr="00594434" w:rsidRDefault="00EA698B" w:rsidP="0037245C">
      <w:pPr>
        <w:spacing w:after="240" w:line="240" w:lineRule="auto"/>
        <w:contextualSpacing/>
        <w:rPr>
          <w:rFonts w:cstheme="minorHAnsi"/>
        </w:rPr>
      </w:pPr>
      <w:r w:rsidRPr="00594434">
        <w:rPr>
          <w:rFonts w:cstheme="minorHAnsi"/>
        </w:rPr>
        <w:t>R</w:t>
      </w:r>
      <w:r w:rsidR="00AF03CE" w:rsidRPr="00594434">
        <w:rPr>
          <w:rFonts w:cstheme="minorHAnsi"/>
        </w:rPr>
        <w:t xml:space="preserve">adiographers </w:t>
      </w:r>
      <w:r w:rsidR="00590C6C" w:rsidRPr="00594434">
        <w:rPr>
          <w:rFonts w:cstheme="minorHAnsi"/>
        </w:rPr>
        <w:t>are responsible for</w:t>
      </w:r>
      <w:r w:rsidR="00AF03CE" w:rsidRPr="00594434">
        <w:rPr>
          <w:rFonts w:cstheme="minorHAnsi"/>
        </w:rPr>
        <w:t xml:space="preserve"> several </w:t>
      </w:r>
      <w:r w:rsidR="001A7BCB" w:rsidRPr="00594434">
        <w:rPr>
          <w:rFonts w:cstheme="minorHAnsi"/>
        </w:rPr>
        <w:t>critical</w:t>
      </w:r>
      <w:r w:rsidR="00AF03CE" w:rsidRPr="00594434">
        <w:rPr>
          <w:rFonts w:cstheme="minorHAnsi"/>
        </w:rPr>
        <w:t xml:space="preserve"> tasks in their interactions with patients with osteoporosis, including clinical history taking, advice and guidance for patients or colleagues, fracture risk assessment and reporting,</w:t>
      </w:r>
      <w:r w:rsidR="00E61173" w:rsidRPr="00594434">
        <w:rPr>
          <w:rFonts w:cstheme="minorHAnsi"/>
        </w:rPr>
        <w:t xml:space="preserve"> </w:t>
      </w:r>
      <w:r w:rsidR="00E1791A" w:rsidRPr="00594434">
        <w:rPr>
          <w:rFonts w:cstheme="minorHAnsi"/>
        </w:rPr>
        <w:t>performing examinations at a variety of skeletal sites,</w:t>
      </w:r>
      <w:r w:rsidRPr="00594434">
        <w:rPr>
          <w:rFonts w:cstheme="minorHAnsi"/>
        </w:rPr>
        <w:t xml:space="preserve"> </w:t>
      </w:r>
      <w:r w:rsidR="00E1791A" w:rsidRPr="00594434">
        <w:rPr>
          <w:rFonts w:cstheme="minorHAnsi"/>
        </w:rPr>
        <w:t xml:space="preserve">staff </w:t>
      </w:r>
      <w:r w:rsidR="00AF03CE" w:rsidRPr="00594434">
        <w:rPr>
          <w:rFonts w:cstheme="minorHAnsi"/>
        </w:rPr>
        <w:t>training and education, and research.</w:t>
      </w:r>
      <w:r w:rsidR="003B491F">
        <w:rPr>
          <w:rStyle w:val="EndnoteReference"/>
          <w:rFonts w:cstheme="minorHAnsi"/>
        </w:rPr>
        <w:endnoteReference w:id="4"/>
      </w:r>
      <w:r w:rsidR="003B491F">
        <w:rPr>
          <w:rFonts w:cstheme="minorHAnsi"/>
        </w:rPr>
        <w:t xml:space="preserve"> </w:t>
      </w:r>
      <w:r w:rsidR="00AF03CE" w:rsidRPr="00594434">
        <w:rPr>
          <w:rFonts w:cstheme="minorHAnsi"/>
        </w:rPr>
        <w:t>This activity</w:t>
      </w:r>
      <w:r w:rsidR="00F6175E" w:rsidRPr="00594434">
        <w:rPr>
          <w:rFonts w:cstheme="minorHAnsi"/>
        </w:rPr>
        <w:t xml:space="preserve"> provides an overview of</w:t>
      </w:r>
      <w:r w:rsidR="000C0FC2" w:rsidRPr="00594434">
        <w:rPr>
          <w:rFonts w:cstheme="minorHAnsi"/>
        </w:rPr>
        <w:t xml:space="preserve"> dual x-ray absorptiometry (DXA) in osteoporosis management</w:t>
      </w:r>
      <w:r w:rsidR="00F6175E" w:rsidRPr="00594434">
        <w:rPr>
          <w:rFonts w:cstheme="minorHAnsi"/>
        </w:rPr>
        <w:t xml:space="preserve"> for radiologic technologists</w:t>
      </w:r>
      <w:r w:rsidR="000C0FC2" w:rsidRPr="00594434">
        <w:rPr>
          <w:rFonts w:cstheme="minorHAnsi"/>
        </w:rPr>
        <w:t>. T</w:t>
      </w:r>
      <w:r w:rsidR="00F03603" w:rsidRPr="00594434">
        <w:rPr>
          <w:rFonts w:cstheme="minorHAnsi"/>
        </w:rPr>
        <w:t>he activity reviews the</w:t>
      </w:r>
      <w:r w:rsidR="00F6175E" w:rsidRPr="00594434">
        <w:rPr>
          <w:rFonts w:cstheme="minorHAnsi"/>
        </w:rPr>
        <w:t xml:space="preserve"> </w:t>
      </w:r>
      <w:r w:rsidR="00AF03CE" w:rsidRPr="00594434">
        <w:rPr>
          <w:rFonts w:cstheme="minorHAnsi"/>
        </w:rPr>
        <w:t>impact of osteoporosis, indications for screening and diagnosis</w:t>
      </w:r>
      <w:r w:rsidR="00F6175E" w:rsidRPr="00594434">
        <w:rPr>
          <w:rFonts w:cstheme="minorHAnsi"/>
        </w:rPr>
        <w:t xml:space="preserve"> of at-risk individuals</w:t>
      </w:r>
      <w:r w:rsidR="00AF03CE" w:rsidRPr="00594434">
        <w:rPr>
          <w:rFonts w:cstheme="minorHAnsi"/>
        </w:rPr>
        <w:t>, the role of DXA in osteoporosis diagnosis and management</w:t>
      </w:r>
      <w:r w:rsidR="003169DC" w:rsidRPr="00594434">
        <w:rPr>
          <w:rFonts w:cstheme="minorHAnsi"/>
        </w:rPr>
        <w:t xml:space="preserve">, and </w:t>
      </w:r>
      <w:r w:rsidR="00AF03CE" w:rsidRPr="00594434">
        <w:rPr>
          <w:rFonts w:cstheme="minorHAnsi"/>
        </w:rPr>
        <w:t>recommendations for</w:t>
      </w:r>
      <w:r w:rsidR="00F03603" w:rsidRPr="00594434">
        <w:rPr>
          <w:rFonts w:cstheme="minorHAnsi"/>
        </w:rPr>
        <w:t xml:space="preserve"> bone mineral density (BMD) </w:t>
      </w:r>
      <w:r w:rsidR="00AF03CE" w:rsidRPr="00594434">
        <w:rPr>
          <w:rFonts w:cstheme="minorHAnsi"/>
        </w:rPr>
        <w:t>assessment and the appropriateness of various DXA techniques across a range of clinical scenarios</w:t>
      </w:r>
      <w:r w:rsidR="0077032B" w:rsidRPr="00594434">
        <w:rPr>
          <w:rFonts w:cstheme="minorHAnsi"/>
        </w:rPr>
        <w:t xml:space="preserve">. It also reviews </w:t>
      </w:r>
      <w:r w:rsidR="00AF03CE" w:rsidRPr="00594434">
        <w:rPr>
          <w:rFonts w:cstheme="minorHAnsi"/>
        </w:rPr>
        <w:t xml:space="preserve">some practical tips and recommendations for patient management. </w:t>
      </w:r>
      <w:r w:rsidR="002D49BC" w:rsidRPr="00594434">
        <w:rPr>
          <w:rFonts w:cstheme="minorHAnsi"/>
        </w:rPr>
        <w:t xml:space="preserve">This activity focuses primarily on osteoporosis in older adults, who make up </w:t>
      </w:r>
      <w:proofErr w:type="gramStart"/>
      <w:r w:rsidR="002D49BC" w:rsidRPr="00594434">
        <w:rPr>
          <w:rFonts w:cstheme="minorHAnsi"/>
        </w:rPr>
        <w:t>the large majority of</w:t>
      </w:r>
      <w:proofErr w:type="gramEnd"/>
      <w:r w:rsidR="002D49BC" w:rsidRPr="00594434">
        <w:rPr>
          <w:rFonts w:cstheme="minorHAnsi"/>
        </w:rPr>
        <w:t xml:space="preserve"> osteoporosis cases</w:t>
      </w:r>
      <w:r w:rsidR="007856E4" w:rsidRPr="00594434">
        <w:rPr>
          <w:rFonts w:cstheme="minorHAnsi"/>
        </w:rPr>
        <w:t xml:space="preserve"> seen in clinical practice</w:t>
      </w:r>
      <w:r w:rsidR="002D49BC" w:rsidRPr="00594434">
        <w:rPr>
          <w:rFonts w:cstheme="minorHAnsi"/>
        </w:rPr>
        <w:t xml:space="preserve">. However, it should be noted that osteoporosis </w:t>
      </w:r>
      <w:r w:rsidR="00504A2E" w:rsidRPr="00594434">
        <w:rPr>
          <w:rFonts w:cstheme="minorHAnsi"/>
        </w:rPr>
        <w:t xml:space="preserve">can occur in younger </w:t>
      </w:r>
      <w:r w:rsidR="006A7C75" w:rsidRPr="00594434">
        <w:rPr>
          <w:rFonts w:cstheme="minorHAnsi"/>
        </w:rPr>
        <w:t>adults or even children</w:t>
      </w:r>
      <w:r w:rsidR="007856E4" w:rsidRPr="00594434">
        <w:rPr>
          <w:rFonts w:cstheme="minorHAnsi"/>
        </w:rPr>
        <w:t>,</w:t>
      </w:r>
      <w:r w:rsidR="00CA6C28">
        <w:rPr>
          <w:rStyle w:val="EndnoteReference"/>
          <w:rFonts w:cstheme="minorHAnsi"/>
        </w:rPr>
        <w:endnoteReference w:id="5"/>
      </w:r>
      <w:r w:rsidR="007856E4" w:rsidRPr="00594434">
        <w:rPr>
          <w:rFonts w:cstheme="minorHAnsi"/>
        </w:rPr>
        <w:t xml:space="preserve"> although t</w:t>
      </w:r>
      <w:r w:rsidR="00D4127B" w:rsidRPr="00594434">
        <w:rPr>
          <w:rFonts w:cstheme="minorHAnsi"/>
        </w:rPr>
        <w:t>he diagnosis and management of osteoporosis in younger patients</w:t>
      </w:r>
      <w:r w:rsidR="008E54A7" w:rsidRPr="00594434">
        <w:rPr>
          <w:rFonts w:cstheme="minorHAnsi"/>
        </w:rPr>
        <w:t xml:space="preserve"> present several unique challenges</w:t>
      </w:r>
      <w:r w:rsidR="008A4BE6" w:rsidRPr="00594434">
        <w:rPr>
          <w:rFonts w:cstheme="minorHAnsi"/>
        </w:rPr>
        <w:t xml:space="preserve"> and barriers to optimal care</w:t>
      </w:r>
      <w:r w:rsidR="003E4D46" w:rsidRPr="00594434">
        <w:rPr>
          <w:rFonts w:cstheme="minorHAnsi"/>
        </w:rPr>
        <w:t xml:space="preserve"> that are beyond the scope of this activity</w:t>
      </w:r>
      <w:r w:rsidR="008A4BE6" w:rsidRPr="00594434">
        <w:rPr>
          <w:rFonts w:cstheme="minorHAnsi"/>
        </w:rPr>
        <w:t>.</w:t>
      </w:r>
      <w:r w:rsidR="00CA6C28">
        <w:rPr>
          <w:rStyle w:val="EndnoteReference"/>
          <w:rFonts w:cstheme="minorHAnsi"/>
        </w:rPr>
        <w:endnoteReference w:id="6"/>
      </w:r>
      <w:r w:rsidR="008A4BE6" w:rsidRPr="00594434">
        <w:rPr>
          <w:rFonts w:cstheme="minorHAnsi"/>
        </w:rPr>
        <w:t xml:space="preserve"> </w:t>
      </w:r>
      <w:r w:rsidR="008101CD" w:rsidRPr="00594434">
        <w:rPr>
          <w:rFonts w:cstheme="minorHAnsi"/>
        </w:rPr>
        <w:t xml:space="preserve"> </w:t>
      </w:r>
    </w:p>
    <w:p w14:paraId="13390E52" w14:textId="77777777" w:rsidR="002B0D92" w:rsidRPr="00594434" w:rsidRDefault="002B0D92" w:rsidP="00F26A8C">
      <w:pPr>
        <w:spacing w:after="240" w:line="240" w:lineRule="auto"/>
        <w:contextualSpacing/>
        <w:rPr>
          <w:rFonts w:cstheme="minorHAnsi"/>
        </w:rPr>
      </w:pPr>
    </w:p>
    <w:p w14:paraId="75906D10" w14:textId="2A065059" w:rsidR="001B0058" w:rsidRPr="00594434" w:rsidRDefault="001B0058" w:rsidP="00F26A8C">
      <w:pPr>
        <w:spacing w:after="240" w:line="240" w:lineRule="auto"/>
        <w:contextualSpacing/>
        <w:rPr>
          <w:rFonts w:cstheme="minorHAnsi"/>
          <w:b/>
          <w:bCs/>
        </w:rPr>
      </w:pPr>
      <w:bookmarkStart w:id="4" w:name="_Hlk158385700"/>
      <w:r w:rsidRPr="00594434">
        <w:rPr>
          <w:rFonts w:cstheme="minorHAnsi"/>
          <w:b/>
          <w:bCs/>
        </w:rPr>
        <w:t>Bone strength</w:t>
      </w:r>
      <w:r w:rsidR="00867707" w:rsidRPr="00594434">
        <w:rPr>
          <w:rFonts w:cstheme="minorHAnsi"/>
          <w:b/>
          <w:bCs/>
        </w:rPr>
        <w:t xml:space="preserve">, </w:t>
      </w:r>
      <w:r w:rsidR="00C05CE5" w:rsidRPr="00594434">
        <w:rPr>
          <w:rFonts w:cstheme="minorHAnsi"/>
          <w:b/>
          <w:bCs/>
        </w:rPr>
        <w:t xml:space="preserve">bone mineral density, and bone </w:t>
      </w:r>
      <w:r w:rsidR="00867707" w:rsidRPr="00594434">
        <w:rPr>
          <w:rFonts w:cstheme="minorHAnsi"/>
          <w:b/>
          <w:bCs/>
        </w:rPr>
        <w:t>quality</w:t>
      </w:r>
      <w:r w:rsidR="00C05CE5" w:rsidRPr="00594434">
        <w:rPr>
          <w:rFonts w:cstheme="minorHAnsi"/>
          <w:b/>
          <w:bCs/>
        </w:rPr>
        <w:t xml:space="preserve"> </w:t>
      </w:r>
    </w:p>
    <w:bookmarkEnd w:id="4"/>
    <w:p w14:paraId="1E37354C" w14:textId="5AF1FADD" w:rsidR="00504A2E" w:rsidRPr="00594434" w:rsidRDefault="00504A2E" w:rsidP="00F26A8C">
      <w:pPr>
        <w:spacing w:after="240" w:line="240" w:lineRule="auto"/>
        <w:contextualSpacing/>
        <w:rPr>
          <w:rFonts w:cstheme="minorHAnsi"/>
        </w:rPr>
      </w:pPr>
      <w:r w:rsidRPr="00594434">
        <w:rPr>
          <w:rFonts w:cstheme="minorHAnsi"/>
        </w:rPr>
        <w:t>The maintenance of the skeleton is an active process that takes place throughout the lifespan, involving a balance between formation of new bone tissue and removal</w:t>
      </w:r>
      <w:r w:rsidR="00846B63" w:rsidRPr="00594434">
        <w:rPr>
          <w:rFonts w:cstheme="minorHAnsi"/>
        </w:rPr>
        <w:t xml:space="preserve"> (resorption)</w:t>
      </w:r>
      <w:r w:rsidRPr="00594434">
        <w:rPr>
          <w:rFonts w:cstheme="minorHAnsi"/>
        </w:rPr>
        <w:t xml:space="preserve"> of existing bone.</w:t>
      </w:r>
      <w:r w:rsidR="002E79F6">
        <w:rPr>
          <w:rStyle w:val="EndnoteReference"/>
          <w:rFonts w:cstheme="minorHAnsi"/>
        </w:rPr>
        <w:endnoteReference w:id="7"/>
      </w:r>
      <w:r w:rsidR="002E79F6">
        <w:rPr>
          <w:rFonts w:cstheme="minorHAnsi"/>
        </w:rPr>
        <w:t xml:space="preserve"> </w:t>
      </w:r>
      <w:r w:rsidRPr="00594434">
        <w:rPr>
          <w:rFonts w:cstheme="minorHAnsi"/>
        </w:rPr>
        <w:t>In people with osteoporosis, this balance</w:t>
      </w:r>
      <w:r w:rsidR="00561898" w:rsidRPr="00594434">
        <w:rPr>
          <w:rFonts w:cstheme="minorHAnsi"/>
        </w:rPr>
        <w:t xml:space="preserve"> has</w:t>
      </w:r>
      <w:r w:rsidRPr="00594434">
        <w:rPr>
          <w:rFonts w:cstheme="minorHAnsi"/>
        </w:rPr>
        <w:t xml:space="preserve"> become shifted toward excessive bone resorption</w:t>
      </w:r>
      <w:r w:rsidR="00737E1A" w:rsidRPr="00594434">
        <w:rPr>
          <w:rFonts w:cstheme="minorHAnsi"/>
        </w:rPr>
        <w:t>, which results in</w:t>
      </w:r>
      <w:r w:rsidRPr="00594434">
        <w:rPr>
          <w:rFonts w:cstheme="minorHAnsi"/>
        </w:rPr>
        <w:t xml:space="preserve"> loss of bone mass</w:t>
      </w:r>
      <w:r w:rsidR="00737E1A" w:rsidRPr="00594434">
        <w:rPr>
          <w:rFonts w:cstheme="minorHAnsi"/>
        </w:rPr>
        <w:t xml:space="preserve"> and </w:t>
      </w:r>
      <w:r w:rsidR="004A19F2" w:rsidRPr="00594434">
        <w:rPr>
          <w:rFonts w:cstheme="minorHAnsi"/>
        </w:rPr>
        <w:t>increased bone fragility</w:t>
      </w:r>
      <w:r w:rsidRPr="00594434">
        <w:rPr>
          <w:rFonts w:cstheme="minorHAnsi"/>
        </w:rPr>
        <w:t>.</w:t>
      </w:r>
      <w:r w:rsidR="002E79F6">
        <w:rPr>
          <w:rStyle w:val="EndnoteReference"/>
          <w:rFonts w:cstheme="minorHAnsi"/>
        </w:rPr>
        <w:endnoteReference w:id="8"/>
      </w:r>
      <w:r w:rsidR="002E79F6">
        <w:rPr>
          <w:rFonts w:cstheme="minorHAnsi"/>
        </w:rPr>
        <w:t xml:space="preserve"> </w:t>
      </w:r>
      <w:r w:rsidR="008A6BB5" w:rsidRPr="00594434">
        <w:rPr>
          <w:rFonts w:cstheme="minorHAnsi"/>
        </w:rPr>
        <w:t xml:space="preserve">Bone formation typically peaks in young adulthood, and declining bone mass </w:t>
      </w:r>
      <w:r w:rsidRPr="00594434">
        <w:rPr>
          <w:rFonts w:cstheme="minorHAnsi"/>
        </w:rPr>
        <w:t>occur</w:t>
      </w:r>
      <w:r w:rsidR="008A6BB5" w:rsidRPr="00594434">
        <w:rPr>
          <w:rFonts w:cstheme="minorHAnsi"/>
        </w:rPr>
        <w:t>s</w:t>
      </w:r>
      <w:r w:rsidRPr="00594434">
        <w:rPr>
          <w:rFonts w:cstheme="minorHAnsi"/>
        </w:rPr>
        <w:t xml:space="preserve"> as part of the aging process</w:t>
      </w:r>
      <w:r w:rsidR="008A6BB5" w:rsidRPr="00594434">
        <w:rPr>
          <w:rFonts w:cstheme="minorHAnsi"/>
        </w:rPr>
        <w:t xml:space="preserve">. Bone loss also occurs </w:t>
      </w:r>
      <w:r w:rsidRPr="00594434">
        <w:rPr>
          <w:rFonts w:cstheme="minorHAnsi"/>
        </w:rPr>
        <w:t>in response to alterations in hormone levels (eg, following menopause), from certain medications (eg, corticosteroids), or</w:t>
      </w:r>
      <w:r w:rsidR="003D4629" w:rsidRPr="00594434">
        <w:rPr>
          <w:rFonts w:cstheme="minorHAnsi"/>
        </w:rPr>
        <w:t xml:space="preserve"> secondary to other medical conditions</w:t>
      </w:r>
      <w:r w:rsidR="001167E4" w:rsidRPr="00594434">
        <w:rPr>
          <w:rFonts w:cstheme="minorHAnsi"/>
        </w:rPr>
        <w:t xml:space="preserve"> (eg, resulting from prolonged immobilization)</w:t>
      </w:r>
      <w:r w:rsidRPr="00594434">
        <w:rPr>
          <w:rFonts w:cstheme="minorHAnsi"/>
        </w:rPr>
        <w:t>.</w:t>
      </w:r>
      <w:bookmarkStart w:id="5" w:name="_Ref158630149"/>
      <w:r w:rsidR="0098361B">
        <w:rPr>
          <w:rStyle w:val="EndnoteReference"/>
          <w:rFonts w:cstheme="minorHAnsi"/>
        </w:rPr>
        <w:endnoteReference w:id="9"/>
      </w:r>
      <w:bookmarkEnd w:id="5"/>
      <w:r w:rsidR="0098361B">
        <w:rPr>
          <w:rFonts w:cstheme="minorHAnsi"/>
        </w:rPr>
        <w:t xml:space="preserve"> </w:t>
      </w:r>
      <w:r w:rsidR="008A6BB5" w:rsidRPr="00594434">
        <w:rPr>
          <w:rFonts w:cstheme="minorHAnsi"/>
        </w:rPr>
        <w:t>Bone loss</w:t>
      </w:r>
      <w:r w:rsidRPr="00594434">
        <w:rPr>
          <w:rFonts w:cstheme="minorHAnsi"/>
        </w:rPr>
        <w:t xml:space="preserve"> is also affected by several modifiable risk factors, including physical inactivity, smoking, excessive alcohol consumption, and low calcium and/or vitamin D intake.</w:t>
      </w:r>
      <w:r w:rsidR="0098361B">
        <w:rPr>
          <w:rFonts w:cstheme="minorHAnsi"/>
        </w:rPr>
        <w:fldChar w:fldCharType="begin"/>
      </w:r>
      <w:r w:rsidR="0098361B">
        <w:rPr>
          <w:rFonts w:cstheme="minorHAnsi"/>
        </w:rPr>
        <w:instrText xml:space="preserve"> NOTEREF _Ref158630149 \f \h </w:instrText>
      </w:r>
      <w:r w:rsidR="0098361B">
        <w:rPr>
          <w:rFonts w:cstheme="minorHAnsi"/>
        </w:rPr>
      </w:r>
      <w:r w:rsidR="0098361B">
        <w:rPr>
          <w:rFonts w:cstheme="minorHAnsi"/>
        </w:rPr>
        <w:fldChar w:fldCharType="separate"/>
      </w:r>
      <w:r w:rsidR="0098361B" w:rsidRPr="0098361B">
        <w:rPr>
          <w:rStyle w:val="EndnoteReference"/>
        </w:rPr>
        <w:t>9</w:t>
      </w:r>
      <w:r w:rsidR="0098361B">
        <w:rPr>
          <w:rFonts w:cstheme="minorHAnsi"/>
        </w:rPr>
        <w:fldChar w:fldCharType="end"/>
      </w:r>
      <w:r w:rsidR="0098361B">
        <w:rPr>
          <w:rFonts w:cstheme="minorHAnsi"/>
        </w:rPr>
        <w:t xml:space="preserve"> </w:t>
      </w:r>
      <w:r w:rsidRPr="00594434">
        <w:rPr>
          <w:rFonts w:cstheme="minorHAnsi"/>
        </w:rPr>
        <w:t xml:space="preserve">  </w:t>
      </w:r>
    </w:p>
    <w:p w14:paraId="1241101F" w14:textId="77777777" w:rsidR="00E008AE" w:rsidRPr="00594434" w:rsidRDefault="00E008AE" w:rsidP="00F26A8C">
      <w:pPr>
        <w:spacing w:after="240" w:line="240" w:lineRule="auto"/>
        <w:contextualSpacing/>
        <w:rPr>
          <w:rFonts w:cstheme="minorHAnsi"/>
        </w:rPr>
      </w:pPr>
    </w:p>
    <w:p w14:paraId="756165C5" w14:textId="7211FFF3" w:rsidR="007830A2" w:rsidRPr="00594434" w:rsidRDefault="006B49CA" w:rsidP="00F26A8C">
      <w:pPr>
        <w:spacing w:after="240" w:line="240" w:lineRule="auto"/>
        <w:contextualSpacing/>
        <w:rPr>
          <w:rFonts w:cstheme="minorHAnsi"/>
        </w:rPr>
      </w:pPr>
      <w:r w:rsidRPr="00594434">
        <w:rPr>
          <w:rFonts w:cstheme="minorHAnsi"/>
          <w:highlight w:val="green"/>
        </w:rPr>
        <w:t>Bone strength is influenced primarily by two factors: bone mineral density (BMD) and bone quality.</w:t>
      </w:r>
      <w:r w:rsidR="0098361B">
        <w:rPr>
          <w:rFonts w:cstheme="minorHAnsi"/>
          <w:highlight w:val="green"/>
        </w:rPr>
        <w:fldChar w:fldCharType="begin"/>
      </w:r>
      <w:r w:rsidR="0098361B">
        <w:rPr>
          <w:rFonts w:cstheme="minorHAnsi"/>
          <w:highlight w:val="green"/>
        </w:rPr>
        <w:instrText xml:space="preserve"> NOTEREF _Ref158630149 \f \h </w:instrText>
      </w:r>
      <w:r w:rsidR="0098361B">
        <w:rPr>
          <w:rFonts w:cstheme="minorHAnsi"/>
          <w:highlight w:val="green"/>
        </w:rPr>
      </w:r>
      <w:r w:rsidR="0098361B">
        <w:rPr>
          <w:rFonts w:cstheme="minorHAnsi"/>
          <w:highlight w:val="green"/>
        </w:rPr>
        <w:fldChar w:fldCharType="separate"/>
      </w:r>
      <w:r w:rsidR="0098361B" w:rsidRPr="0098361B">
        <w:rPr>
          <w:rStyle w:val="EndnoteReference"/>
          <w:highlight w:val="green"/>
        </w:rPr>
        <w:t>9</w:t>
      </w:r>
      <w:r w:rsidR="0098361B">
        <w:rPr>
          <w:rFonts w:cstheme="minorHAnsi"/>
          <w:highlight w:val="green"/>
        </w:rPr>
        <w:fldChar w:fldCharType="end"/>
      </w:r>
      <w:r w:rsidR="0098361B">
        <w:rPr>
          <w:rFonts w:cstheme="minorHAnsi"/>
        </w:rPr>
        <w:t xml:space="preserve"> </w:t>
      </w:r>
      <w:r w:rsidRPr="00594434">
        <w:rPr>
          <w:rFonts w:cstheme="minorHAnsi"/>
        </w:rPr>
        <w:t xml:space="preserve"> </w:t>
      </w:r>
    </w:p>
    <w:p w14:paraId="717763F2" w14:textId="120C912D" w:rsidR="009E449C" w:rsidRPr="00594434" w:rsidRDefault="00522D94" w:rsidP="00F26A8C">
      <w:pPr>
        <w:pStyle w:val="ListParagraph"/>
        <w:numPr>
          <w:ilvl w:val="0"/>
          <w:numId w:val="9"/>
        </w:numPr>
        <w:spacing w:after="240" w:line="240" w:lineRule="auto"/>
        <w:rPr>
          <w:rFonts w:cstheme="minorHAnsi"/>
        </w:rPr>
      </w:pPr>
      <w:r w:rsidRPr="00594434">
        <w:rPr>
          <w:rFonts w:cstheme="minorHAnsi"/>
        </w:rPr>
        <w:t>Although</w:t>
      </w:r>
      <w:r w:rsidR="0032034E" w:rsidRPr="00594434">
        <w:rPr>
          <w:rFonts w:cstheme="minorHAnsi"/>
        </w:rPr>
        <w:t xml:space="preserve"> </w:t>
      </w:r>
      <w:r w:rsidRPr="00594434">
        <w:rPr>
          <w:rFonts w:cstheme="minorHAnsi"/>
        </w:rPr>
        <w:t>density</w:t>
      </w:r>
      <w:r w:rsidR="0032034E" w:rsidRPr="00594434">
        <w:rPr>
          <w:rFonts w:cstheme="minorHAnsi"/>
        </w:rPr>
        <w:t xml:space="preserve"> is a</w:t>
      </w:r>
      <w:r w:rsidR="00E46313" w:rsidRPr="00594434">
        <w:rPr>
          <w:rFonts w:cstheme="minorHAnsi"/>
        </w:rPr>
        <w:t xml:space="preserve"> physical</w:t>
      </w:r>
      <w:r w:rsidR="0032034E" w:rsidRPr="00594434">
        <w:rPr>
          <w:rFonts w:cstheme="minorHAnsi"/>
        </w:rPr>
        <w:t xml:space="preserve"> property that</w:t>
      </w:r>
      <w:r w:rsidRPr="00594434">
        <w:rPr>
          <w:rFonts w:cstheme="minorHAnsi"/>
        </w:rPr>
        <w:t xml:space="preserve"> is usually defined </w:t>
      </w:r>
      <w:r w:rsidR="0099512C" w:rsidRPr="00594434">
        <w:rPr>
          <w:rFonts w:cstheme="minorHAnsi"/>
        </w:rPr>
        <w:t>as mass per unit of volume,</w:t>
      </w:r>
      <w:r w:rsidR="000143CC" w:rsidRPr="00594434">
        <w:rPr>
          <w:rFonts w:cstheme="minorHAnsi"/>
        </w:rPr>
        <w:t xml:space="preserve"> </w:t>
      </w:r>
      <w:r w:rsidR="0099512C" w:rsidRPr="00594434">
        <w:rPr>
          <w:rFonts w:cstheme="minorHAnsi"/>
        </w:rPr>
        <w:t xml:space="preserve">BMD </w:t>
      </w:r>
      <w:r w:rsidR="00C44470" w:rsidRPr="00594434">
        <w:rPr>
          <w:rFonts w:cstheme="minorHAnsi"/>
        </w:rPr>
        <w:t>is obtained from 2-dimensional (planar) images</w:t>
      </w:r>
      <w:r w:rsidR="00222688" w:rsidRPr="00594434">
        <w:rPr>
          <w:rFonts w:cstheme="minorHAnsi"/>
        </w:rPr>
        <w:t xml:space="preserve"> </w:t>
      </w:r>
      <w:r w:rsidR="00F96F88" w:rsidRPr="00594434">
        <w:rPr>
          <w:rFonts w:cstheme="minorHAnsi"/>
        </w:rPr>
        <w:t>that</w:t>
      </w:r>
      <w:r w:rsidR="00222688" w:rsidRPr="00594434">
        <w:rPr>
          <w:rFonts w:cstheme="minorHAnsi"/>
        </w:rPr>
        <w:t xml:space="preserve"> do not include a depth component. Therefore,</w:t>
      </w:r>
      <w:r w:rsidRPr="00594434">
        <w:rPr>
          <w:rFonts w:cstheme="minorHAnsi"/>
        </w:rPr>
        <w:t xml:space="preserve"> </w:t>
      </w:r>
      <w:r w:rsidR="007D4105" w:rsidRPr="00594434">
        <w:rPr>
          <w:rFonts w:cstheme="minorHAnsi"/>
        </w:rPr>
        <w:t>BMD</w:t>
      </w:r>
      <w:r w:rsidR="00222688" w:rsidRPr="00594434">
        <w:rPr>
          <w:rFonts w:cstheme="minorHAnsi"/>
        </w:rPr>
        <w:t xml:space="preserve"> </w:t>
      </w:r>
      <w:r w:rsidR="007D4105" w:rsidRPr="00594434">
        <w:rPr>
          <w:rFonts w:cstheme="minorHAnsi"/>
        </w:rPr>
        <w:t xml:space="preserve">is defined as the bone mass per </w:t>
      </w:r>
      <w:r w:rsidR="007D4105" w:rsidRPr="00594434">
        <w:rPr>
          <w:rFonts w:cstheme="minorHAnsi"/>
          <w:i/>
          <w:iCs/>
        </w:rPr>
        <w:t>area</w:t>
      </w:r>
      <w:r w:rsidR="000E6D70" w:rsidRPr="00594434">
        <w:rPr>
          <w:rFonts w:cstheme="minorHAnsi"/>
        </w:rPr>
        <w:t xml:space="preserve"> of the image of the bone projected in 2 dimensions</w:t>
      </w:r>
      <w:r w:rsidR="007D4105" w:rsidRPr="00594434">
        <w:rPr>
          <w:rFonts w:cstheme="minorHAnsi"/>
        </w:rPr>
        <w:t xml:space="preserve"> (</w:t>
      </w:r>
      <w:r w:rsidR="00277FBF" w:rsidRPr="00594434">
        <w:rPr>
          <w:rFonts w:cstheme="minorHAnsi"/>
        </w:rPr>
        <w:t>g/cm</w:t>
      </w:r>
      <w:r w:rsidR="00277FBF" w:rsidRPr="00594434">
        <w:rPr>
          <w:rFonts w:cstheme="minorHAnsi"/>
          <w:vertAlign w:val="superscript"/>
        </w:rPr>
        <w:t>2</w:t>
      </w:r>
      <w:r w:rsidR="00277FBF" w:rsidRPr="00594434">
        <w:rPr>
          <w:rFonts w:cstheme="minorHAnsi"/>
        </w:rPr>
        <w:t>)</w:t>
      </w:r>
      <w:r w:rsidR="00DF0417" w:rsidRPr="00594434">
        <w:rPr>
          <w:rFonts w:cstheme="minorHAnsi"/>
        </w:rPr>
        <w:t xml:space="preserve">, rather than </w:t>
      </w:r>
      <w:r w:rsidR="0013107C" w:rsidRPr="00594434">
        <w:rPr>
          <w:rFonts w:cstheme="minorHAnsi"/>
        </w:rPr>
        <w:t>by</w:t>
      </w:r>
      <w:r w:rsidR="00B032D0" w:rsidRPr="00594434">
        <w:rPr>
          <w:rFonts w:cstheme="minorHAnsi"/>
        </w:rPr>
        <w:t xml:space="preserve"> true</w:t>
      </w:r>
      <w:r w:rsidR="0013107C" w:rsidRPr="00594434">
        <w:rPr>
          <w:rFonts w:cstheme="minorHAnsi"/>
        </w:rPr>
        <w:t xml:space="preserve"> volume (g/cm</w:t>
      </w:r>
      <w:r w:rsidR="0013107C" w:rsidRPr="00594434">
        <w:rPr>
          <w:rFonts w:cstheme="minorHAnsi"/>
          <w:vertAlign w:val="superscript"/>
        </w:rPr>
        <w:t>3</w:t>
      </w:r>
      <w:r w:rsidR="0013107C" w:rsidRPr="00594434">
        <w:rPr>
          <w:rFonts w:cstheme="minorHAnsi"/>
        </w:rPr>
        <w:t>)</w:t>
      </w:r>
      <w:r w:rsidR="00277FBF" w:rsidRPr="00594434">
        <w:rPr>
          <w:rFonts w:cstheme="minorHAnsi"/>
        </w:rPr>
        <w:t>.</w:t>
      </w:r>
      <w:r w:rsidR="00D85152" w:rsidRPr="00594434">
        <w:rPr>
          <w:rFonts w:cstheme="minorHAnsi"/>
        </w:rPr>
        <w:t xml:space="preserve"> This is referred to as the </w:t>
      </w:r>
      <w:r w:rsidR="00D85152" w:rsidRPr="00594434">
        <w:rPr>
          <w:rFonts w:cstheme="minorHAnsi"/>
          <w:i/>
          <w:iCs/>
        </w:rPr>
        <w:t>areal density</w:t>
      </w:r>
      <w:r w:rsidR="00D85152" w:rsidRPr="00594434">
        <w:rPr>
          <w:rFonts w:cstheme="minorHAnsi"/>
        </w:rPr>
        <w:t xml:space="preserve"> of bone.</w:t>
      </w:r>
      <w:r w:rsidR="00601D09">
        <w:rPr>
          <w:rStyle w:val="EndnoteReference"/>
          <w:rFonts w:cstheme="minorHAnsi"/>
        </w:rPr>
        <w:endnoteReference w:id="10"/>
      </w:r>
      <w:r w:rsidR="00601D09" w:rsidRPr="00601D09">
        <w:rPr>
          <w:rFonts w:cstheme="minorHAnsi"/>
          <w:vertAlign w:val="superscript"/>
        </w:rPr>
        <w:t xml:space="preserve">, </w:t>
      </w:r>
      <w:r w:rsidR="00601D09">
        <w:rPr>
          <w:rStyle w:val="EndnoteReference"/>
          <w:rFonts w:cstheme="minorHAnsi"/>
        </w:rPr>
        <w:endnoteReference w:id="11"/>
      </w:r>
      <w:r w:rsidR="0098361B">
        <w:rPr>
          <w:rFonts w:cstheme="minorHAnsi"/>
        </w:rPr>
        <w:t xml:space="preserve"> </w:t>
      </w:r>
    </w:p>
    <w:p w14:paraId="7E72346D" w14:textId="45CC501F" w:rsidR="00BB7E17" w:rsidRPr="00594434" w:rsidRDefault="006058D8" w:rsidP="00F26A8C">
      <w:pPr>
        <w:pStyle w:val="ListParagraph"/>
        <w:numPr>
          <w:ilvl w:val="0"/>
          <w:numId w:val="9"/>
        </w:numPr>
        <w:spacing w:after="240" w:line="240" w:lineRule="auto"/>
        <w:rPr>
          <w:rFonts w:cstheme="minorHAnsi"/>
        </w:rPr>
      </w:pPr>
      <w:r w:rsidRPr="00594434">
        <w:rPr>
          <w:rFonts w:cstheme="minorHAnsi"/>
        </w:rPr>
        <w:t>Bone quality is influenced by a variety of factors that may includ</w:t>
      </w:r>
      <w:r w:rsidR="0019645A" w:rsidRPr="00594434">
        <w:rPr>
          <w:rFonts w:cstheme="minorHAnsi"/>
        </w:rPr>
        <w:t>e microscopic bone structure</w:t>
      </w:r>
      <w:r w:rsidR="009523E5" w:rsidRPr="00594434">
        <w:rPr>
          <w:rFonts w:cstheme="minorHAnsi"/>
        </w:rPr>
        <w:t xml:space="preserve">, accumulated microscopic damage, mineral crystal size, collagen structure, and </w:t>
      </w:r>
      <w:r w:rsidR="002203F2" w:rsidRPr="00594434">
        <w:rPr>
          <w:rFonts w:cstheme="minorHAnsi"/>
        </w:rPr>
        <w:t>the rate of bone loss and formation</w:t>
      </w:r>
      <w:r w:rsidR="00BF07A6" w:rsidRPr="00594434">
        <w:rPr>
          <w:rFonts w:cstheme="minorHAnsi"/>
        </w:rPr>
        <w:t xml:space="preserve"> over time</w:t>
      </w:r>
      <w:r w:rsidR="002203F2" w:rsidRPr="00594434">
        <w:rPr>
          <w:rFonts w:cstheme="minorHAnsi"/>
        </w:rPr>
        <w:t xml:space="preserve">. Bone quality </w:t>
      </w:r>
      <w:r w:rsidR="00995ED6" w:rsidRPr="00594434">
        <w:rPr>
          <w:rFonts w:cstheme="minorHAnsi"/>
        </w:rPr>
        <w:t xml:space="preserve">cannot be directly </w:t>
      </w:r>
      <w:r w:rsidR="00880C22" w:rsidRPr="00594434">
        <w:rPr>
          <w:rFonts w:cstheme="minorHAnsi"/>
        </w:rPr>
        <w:t>observed</w:t>
      </w:r>
      <w:r w:rsidR="00995ED6" w:rsidRPr="00594434">
        <w:rPr>
          <w:rFonts w:cstheme="minorHAnsi"/>
        </w:rPr>
        <w:t xml:space="preserve"> in the clinical setting</w:t>
      </w:r>
      <w:r w:rsidR="006B49CA" w:rsidRPr="00594434">
        <w:rPr>
          <w:rFonts w:cstheme="minorHAnsi"/>
        </w:rPr>
        <w:t>, although it may be evaluated using specialized tests</w:t>
      </w:r>
      <w:r w:rsidR="00995ED6" w:rsidRPr="00594434">
        <w:rPr>
          <w:rFonts w:cstheme="minorHAnsi"/>
        </w:rPr>
        <w:t xml:space="preserve">. </w:t>
      </w:r>
      <w:r w:rsidR="006B49CA" w:rsidRPr="00594434">
        <w:rPr>
          <w:rFonts w:cstheme="minorHAnsi"/>
        </w:rPr>
        <w:t>For example</w:t>
      </w:r>
      <w:r w:rsidR="000D670C" w:rsidRPr="00594434">
        <w:rPr>
          <w:rFonts w:cstheme="minorHAnsi"/>
        </w:rPr>
        <w:t>, bone turnover markers are used to assess biochemical changes associated with bone deposition and resorption.</w:t>
      </w:r>
      <w:r w:rsidR="00932F6F">
        <w:rPr>
          <w:rStyle w:val="EndnoteReference"/>
          <w:rFonts w:cstheme="minorHAnsi"/>
        </w:rPr>
        <w:endnoteReference w:id="12"/>
      </w:r>
      <w:r w:rsidR="00044FCE">
        <w:rPr>
          <w:rFonts w:cstheme="minorHAnsi"/>
        </w:rPr>
        <w:t xml:space="preserve"> </w:t>
      </w:r>
      <w:r w:rsidR="00E71B36" w:rsidRPr="00594434">
        <w:rPr>
          <w:rFonts w:cstheme="minorHAnsi"/>
        </w:rPr>
        <w:t xml:space="preserve">Although these </w:t>
      </w:r>
      <w:r w:rsidR="0000489C" w:rsidRPr="00594434">
        <w:rPr>
          <w:rFonts w:cstheme="minorHAnsi"/>
        </w:rPr>
        <w:t>tests</w:t>
      </w:r>
      <w:r w:rsidR="00E71B36" w:rsidRPr="00594434">
        <w:rPr>
          <w:rFonts w:cstheme="minorHAnsi"/>
        </w:rPr>
        <w:t xml:space="preserve"> are not </w:t>
      </w:r>
      <w:r w:rsidR="00880C22" w:rsidRPr="00594434">
        <w:rPr>
          <w:rFonts w:cstheme="minorHAnsi"/>
        </w:rPr>
        <w:t>required for</w:t>
      </w:r>
      <w:r w:rsidR="00E71B36" w:rsidRPr="00594434">
        <w:rPr>
          <w:rFonts w:cstheme="minorHAnsi"/>
        </w:rPr>
        <w:t xml:space="preserve"> the routine diagnosis of osteoporosis, they </w:t>
      </w:r>
      <w:r w:rsidR="0000489C" w:rsidRPr="00594434">
        <w:rPr>
          <w:rFonts w:cstheme="minorHAnsi"/>
        </w:rPr>
        <w:t>provide additional information</w:t>
      </w:r>
      <w:r w:rsidR="00AD1BEA" w:rsidRPr="00594434">
        <w:rPr>
          <w:rFonts w:cstheme="minorHAnsi"/>
        </w:rPr>
        <w:t xml:space="preserve"> about</w:t>
      </w:r>
      <w:r w:rsidR="004A28BF" w:rsidRPr="00594434">
        <w:rPr>
          <w:rFonts w:cstheme="minorHAnsi"/>
        </w:rPr>
        <w:t xml:space="preserve"> bone quality</w:t>
      </w:r>
      <w:r w:rsidR="00AD1BEA" w:rsidRPr="00594434">
        <w:rPr>
          <w:rFonts w:cstheme="minorHAnsi"/>
        </w:rPr>
        <w:t xml:space="preserve"> </w:t>
      </w:r>
      <w:r w:rsidR="0000489C" w:rsidRPr="00594434">
        <w:rPr>
          <w:rFonts w:cstheme="minorHAnsi"/>
        </w:rPr>
        <w:t>that can be used to guide decisions about whether</w:t>
      </w:r>
      <w:r w:rsidR="00880C22" w:rsidRPr="00594434">
        <w:rPr>
          <w:rFonts w:cstheme="minorHAnsi"/>
        </w:rPr>
        <w:t xml:space="preserve"> additional imaging is needed or about when </w:t>
      </w:r>
      <w:r w:rsidR="0000489C" w:rsidRPr="00594434">
        <w:rPr>
          <w:rFonts w:cstheme="minorHAnsi"/>
        </w:rPr>
        <w:t>to start or continue pharmacologic therapy for osteoporosis.</w:t>
      </w:r>
      <w:r w:rsidR="00932F6F">
        <w:rPr>
          <w:rFonts w:cstheme="minorHAnsi"/>
        </w:rPr>
        <w:t xml:space="preserve"> </w:t>
      </w:r>
      <w:r w:rsidR="001809E3" w:rsidRPr="00594434">
        <w:rPr>
          <w:rFonts w:cstheme="minorHAnsi"/>
        </w:rPr>
        <w:t xml:space="preserve"> </w:t>
      </w:r>
      <w:r w:rsidR="0000489C" w:rsidRPr="00594434">
        <w:rPr>
          <w:rFonts w:cstheme="minorHAnsi"/>
        </w:rPr>
        <w:t xml:space="preserve"> </w:t>
      </w:r>
    </w:p>
    <w:p w14:paraId="0D141254" w14:textId="5AD213FB" w:rsidR="00F41246" w:rsidRPr="00594434" w:rsidRDefault="00F41246" w:rsidP="00F26A8C">
      <w:pPr>
        <w:spacing w:after="240" w:line="240" w:lineRule="auto"/>
        <w:contextualSpacing/>
        <w:rPr>
          <w:rFonts w:cstheme="minorHAnsi"/>
          <w:highlight w:val="green"/>
        </w:rPr>
      </w:pPr>
      <w:r w:rsidRPr="00594434">
        <w:rPr>
          <w:rFonts w:cstheme="minorHAnsi"/>
        </w:rPr>
        <w:t>As noted above, BMD can</w:t>
      </w:r>
      <w:r w:rsidR="00594434" w:rsidRPr="00594434">
        <w:rPr>
          <w:rFonts w:cstheme="minorHAnsi"/>
        </w:rPr>
        <w:t xml:space="preserve"> be</w:t>
      </w:r>
      <w:r w:rsidRPr="00594434">
        <w:rPr>
          <w:rFonts w:cstheme="minorHAnsi"/>
        </w:rPr>
        <w:t xml:space="preserve"> described in absolute terms using an areal value, which represents the grams of bone mineral per square centimeter scanned</w:t>
      </w:r>
      <w:r w:rsidR="001809E3" w:rsidRPr="00594434">
        <w:rPr>
          <w:rFonts w:cstheme="minorHAnsi"/>
        </w:rPr>
        <w:t xml:space="preserve"> on a 2-</w:t>
      </w:r>
      <w:commentRangeStart w:id="6"/>
      <w:r w:rsidR="001809E3" w:rsidRPr="00594434">
        <w:rPr>
          <w:rFonts w:cstheme="minorHAnsi"/>
        </w:rPr>
        <w:t>dimensional</w:t>
      </w:r>
      <w:commentRangeEnd w:id="6"/>
      <w:r w:rsidR="00594434" w:rsidRPr="00594434">
        <w:rPr>
          <w:rStyle w:val="CommentReference"/>
          <w:rFonts w:cstheme="minorHAnsi"/>
          <w:sz w:val="22"/>
          <w:szCs w:val="22"/>
        </w:rPr>
        <w:commentReference w:id="6"/>
      </w:r>
      <w:r w:rsidR="001809E3" w:rsidRPr="00594434">
        <w:rPr>
          <w:rFonts w:cstheme="minorHAnsi"/>
        </w:rPr>
        <w:t xml:space="preserve"> projection</w:t>
      </w:r>
      <w:r w:rsidRPr="00594434">
        <w:rPr>
          <w:rFonts w:cstheme="minorHAnsi"/>
        </w:rPr>
        <w:t xml:space="preserve"> (g/cm2). </w:t>
      </w:r>
      <w:r w:rsidR="004A28BF" w:rsidRPr="00594434">
        <w:rPr>
          <w:rFonts w:cstheme="minorHAnsi"/>
        </w:rPr>
        <w:t xml:space="preserve">In the clinical setting, </w:t>
      </w:r>
      <w:r w:rsidRPr="00594434">
        <w:rPr>
          <w:rFonts w:cstheme="minorHAnsi"/>
        </w:rPr>
        <w:t xml:space="preserve">BMD </w:t>
      </w:r>
      <w:r w:rsidR="004A28BF" w:rsidRPr="00594434">
        <w:rPr>
          <w:rFonts w:cstheme="minorHAnsi"/>
        </w:rPr>
        <w:t xml:space="preserve">is more often </w:t>
      </w:r>
      <w:r w:rsidR="00CC433F" w:rsidRPr="00594434">
        <w:rPr>
          <w:rFonts w:cstheme="minorHAnsi"/>
        </w:rPr>
        <w:t>described</w:t>
      </w:r>
      <w:r w:rsidRPr="00594434">
        <w:rPr>
          <w:rFonts w:cstheme="minorHAnsi"/>
        </w:rPr>
        <w:t xml:space="preserve"> relative to the average BMD value for a reference population. </w:t>
      </w:r>
      <w:r w:rsidRPr="00594434">
        <w:rPr>
          <w:rFonts w:cstheme="minorHAnsi"/>
          <w:highlight w:val="green"/>
        </w:rPr>
        <w:t>Two BMD reference norms are used in osteoporosis diagnosis and monitoring:</w:t>
      </w:r>
      <w:bookmarkStart w:id="7" w:name="_Ref158630712"/>
      <w:r w:rsidR="00E70769">
        <w:rPr>
          <w:rStyle w:val="EndnoteReference"/>
          <w:rFonts w:cstheme="minorHAnsi"/>
          <w:highlight w:val="green"/>
        </w:rPr>
        <w:endnoteReference w:id="13"/>
      </w:r>
      <w:bookmarkEnd w:id="7"/>
    </w:p>
    <w:p w14:paraId="560FD890" w14:textId="780AC85A" w:rsidR="00F41246" w:rsidRPr="00594434" w:rsidRDefault="00F41246" w:rsidP="00F26A8C">
      <w:pPr>
        <w:pStyle w:val="ListParagraph"/>
        <w:numPr>
          <w:ilvl w:val="0"/>
          <w:numId w:val="4"/>
        </w:numPr>
        <w:spacing w:after="240" w:line="240" w:lineRule="auto"/>
        <w:rPr>
          <w:rFonts w:cstheme="minorHAnsi"/>
          <w:highlight w:val="green"/>
        </w:rPr>
      </w:pPr>
      <w:r w:rsidRPr="00594434">
        <w:rPr>
          <w:rFonts w:cstheme="minorHAnsi"/>
          <w:highlight w:val="green"/>
        </w:rPr>
        <w:lastRenderedPageBreak/>
        <w:t>Relative to a young-adult reference population (</w:t>
      </w:r>
      <w:r w:rsidR="007F6A15" w:rsidRPr="00594434">
        <w:rPr>
          <w:rFonts w:cstheme="minorHAnsi"/>
          <w:highlight w:val="green"/>
        </w:rPr>
        <w:t xml:space="preserve">used to calculate a </w:t>
      </w:r>
      <w:r w:rsidRPr="00594434">
        <w:rPr>
          <w:rFonts w:cstheme="minorHAnsi"/>
          <w:highlight w:val="green"/>
        </w:rPr>
        <w:t xml:space="preserve">T score) </w:t>
      </w:r>
    </w:p>
    <w:p w14:paraId="38F3E10F" w14:textId="0D5EF766" w:rsidR="00F41246" w:rsidRPr="00594434" w:rsidRDefault="00F41246" w:rsidP="00F26A8C">
      <w:pPr>
        <w:pStyle w:val="ListParagraph"/>
        <w:numPr>
          <w:ilvl w:val="0"/>
          <w:numId w:val="4"/>
        </w:numPr>
        <w:spacing w:after="240" w:line="240" w:lineRule="auto"/>
        <w:rPr>
          <w:rFonts w:cstheme="minorHAnsi"/>
          <w:highlight w:val="green"/>
        </w:rPr>
      </w:pPr>
      <w:r w:rsidRPr="00594434">
        <w:rPr>
          <w:rFonts w:cstheme="minorHAnsi"/>
          <w:highlight w:val="green"/>
        </w:rPr>
        <w:t>Relative to a reference population matched for the patient’s age, sex, and ethnicity (</w:t>
      </w:r>
      <w:r w:rsidR="007F6A15" w:rsidRPr="00594434">
        <w:rPr>
          <w:rFonts w:cstheme="minorHAnsi"/>
          <w:highlight w:val="green"/>
        </w:rPr>
        <w:t xml:space="preserve">used to calculate a </w:t>
      </w:r>
      <w:r w:rsidRPr="00594434">
        <w:rPr>
          <w:rFonts w:cstheme="minorHAnsi"/>
          <w:highlight w:val="green"/>
        </w:rPr>
        <w:t xml:space="preserve">Z score) </w:t>
      </w:r>
    </w:p>
    <w:p w14:paraId="7EB69050" w14:textId="262CDE97" w:rsidR="00F41246" w:rsidRPr="00594434" w:rsidRDefault="00F41246" w:rsidP="00F26A8C">
      <w:pPr>
        <w:spacing w:after="240" w:line="240" w:lineRule="auto"/>
        <w:contextualSpacing/>
        <w:rPr>
          <w:rFonts w:cstheme="minorHAnsi"/>
        </w:rPr>
      </w:pPr>
      <w:r w:rsidRPr="0023138D">
        <w:rPr>
          <w:rFonts w:cstheme="minorHAnsi"/>
          <w:highlight w:val="yellow"/>
        </w:rPr>
        <w:t>A T score or Z score is defined as the difference between the patient’s</w:t>
      </w:r>
      <w:r w:rsidR="0013245B" w:rsidRPr="0023138D">
        <w:rPr>
          <w:rFonts w:cstheme="minorHAnsi"/>
          <w:highlight w:val="yellow"/>
        </w:rPr>
        <w:t xml:space="preserve"> areal</w:t>
      </w:r>
      <w:r w:rsidRPr="0023138D">
        <w:rPr>
          <w:rFonts w:cstheme="minorHAnsi"/>
          <w:highlight w:val="yellow"/>
        </w:rPr>
        <w:t xml:space="preserve"> BMD value and the</w:t>
      </w:r>
      <w:r w:rsidR="0013245B" w:rsidRPr="0023138D">
        <w:rPr>
          <w:rFonts w:cstheme="minorHAnsi"/>
          <w:highlight w:val="yellow"/>
        </w:rPr>
        <w:t xml:space="preserve"> mean BMD</w:t>
      </w:r>
      <w:r w:rsidR="0025443E" w:rsidRPr="0023138D">
        <w:rPr>
          <w:rFonts w:cstheme="minorHAnsi"/>
          <w:highlight w:val="yellow"/>
        </w:rPr>
        <w:t xml:space="preserve"> value</w:t>
      </w:r>
      <w:r w:rsidR="0013245B" w:rsidRPr="0023138D">
        <w:rPr>
          <w:rFonts w:cstheme="minorHAnsi"/>
          <w:highlight w:val="yellow"/>
        </w:rPr>
        <w:t xml:space="preserve"> for the</w:t>
      </w:r>
      <w:r w:rsidRPr="0023138D">
        <w:rPr>
          <w:rFonts w:cstheme="minorHAnsi"/>
          <w:highlight w:val="yellow"/>
        </w:rPr>
        <w:t xml:space="preserve"> appropriate reference population, </w:t>
      </w:r>
      <w:commentRangeStart w:id="8"/>
      <w:r w:rsidRPr="0023138D">
        <w:rPr>
          <w:rFonts w:cstheme="minorHAnsi"/>
          <w:highlight w:val="yellow"/>
        </w:rPr>
        <w:t>divided</w:t>
      </w:r>
      <w:commentRangeEnd w:id="8"/>
      <w:r w:rsidR="0023138D">
        <w:rPr>
          <w:rStyle w:val="CommentReference"/>
        </w:rPr>
        <w:commentReference w:id="8"/>
      </w:r>
      <w:r w:rsidRPr="0023138D">
        <w:rPr>
          <w:rFonts w:cstheme="minorHAnsi"/>
          <w:highlight w:val="yellow"/>
        </w:rPr>
        <w:t xml:space="preserve"> by the standard deviation of the reference population. </w:t>
      </w:r>
      <w:r w:rsidR="001D24CC" w:rsidRPr="0023138D">
        <w:rPr>
          <w:rFonts w:cstheme="minorHAnsi"/>
          <w:highlight w:val="yellow"/>
        </w:rPr>
        <w:t>For example</w:t>
      </w:r>
      <w:r w:rsidRPr="0023138D">
        <w:rPr>
          <w:rFonts w:cstheme="minorHAnsi"/>
          <w:highlight w:val="yellow"/>
        </w:rPr>
        <w:t>, a T score of -2.5 indicates that the patient’s</w:t>
      </w:r>
      <w:r w:rsidR="007451F4" w:rsidRPr="0023138D">
        <w:rPr>
          <w:rFonts w:cstheme="minorHAnsi"/>
          <w:highlight w:val="yellow"/>
        </w:rPr>
        <w:t xml:space="preserve"> areal</w:t>
      </w:r>
      <w:r w:rsidRPr="0023138D">
        <w:rPr>
          <w:rFonts w:cstheme="minorHAnsi"/>
          <w:highlight w:val="yellow"/>
        </w:rPr>
        <w:t xml:space="preserve"> BMD value is 2.5 standard deviations below the</w:t>
      </w:r>
      <w:r w:rsidR="001D24CC" w:rsidRPr="0023138D">
        <w:rPr>
          <w:rFonts w:cstheme="minorHAnsi"/>
          <w:highlight w:val="yellow"/>
        </w:rPr>
        <w:t xml:space="preserve"> mean</w:t>
      </w:r>
      <w:r w:rsidR="0025443E" w:rsidRPr="0023138D">
        <w:rPr>
          <w:rFonts w:cstheme="minorHAnsi"/>
          <w:highlight w:val="yellow"/>
        </w:rPr>
        <w:t xml:space="preserve"> value</w:t>
      </w:r>
      <w:r w:rsidR="001D24CC" w:rsidRPr="0023138D">
        <w:rPr>
          <w:rFonts w:cstheme="minorHAnsi"/>
          <w:highlight w:val="yellow"/>
        </w:rPr>
        <w:t xml:space="preserve"> </w:t>
      </w:r>
      <w:r w:rsidR="0025443E" w:rsidRPr="0023138D">
        <w:rPr>
          <w:rFonts w:cstheme="minorHAnsi"/>
          <w:highlight w:val="yellow"/>
        </w:rPr>
        <w:t>of</w:t>
      </w:r>
      <w:r w:rsidR="001D24CC" w:rsidRPr="0023138D">
        <w:rPr>
          <w:rFonts w:cstheme="minorHAnsi"/>
          <w:highlight w:val="yellow"/>
        </w:rPr>
        <w:t xml:space="preserve"> the</w:t>
      </w:r>
      <w:r w:rsidRPr="0023138D">
        <w:rPr>
          <w:rFonts w:cstheme="minorHAnsi"/>
          <w:highlight w:val="yellow"/>
        </w:rPr>
        <w:t xml:space="preserve"> young-adult reference population</w:t>
      </w:r>
      <w:r w:rsidRPr="00594434">
        <w:rPr>
          <w:rFonts w:cstheme="minorHAnsi"/>
        </w:rPr>
        <w:t>, while a Z score of -2.5 indicates that the patient’s BMD falls 2.5 standard deviations below the</w:t>
      </w:r>
      <w:r w:rsidR="001D24CC" w:rsidRPr="00594434">
        <w:rPr>
          <w:rFonts w:cstheme="minorHAnsi"/>
        </w:rPr>
        <w:t xml:space="preserve"> mean of a</w:t>
      </w:r>
      <w:r w:rsidRPr="00594434">
        <w:rPr>
          <w:rFonts w:cstheme="minorHAnsi"/>
        </w:rPr>
        <w:t xml:space="preserve"> reference population matched to the patient’s age, sex, and race/ethnicity.</w:t>
      </w:r>
      <w:r w:rsidR="00013195">
        <w:rPr>
          <w:rFonts w:cstheme="minorHAnsi"/>
        </w:rPr>
        <w:fldChar w:fldCharType="begin"/>
      </w:r>
      <w:r w:rsidR="00013195">
        <w:rPr>
          <w:rFonts w:cstheme="minorHAnsi"/>
        </w:rPr>
        <w:instrText xml:space="preserve"> NOTEREF _Ref158630712 \f \h </w:instrText>
      </w:r>
      <w:r w:rsidR="00013195">
        <w:rPr>
          <w:rFonts w:cstheme="minorHAnsi"/>
        </w:rPr>
      </w:r>
      <w:r w:rsidR="00013195">
        <w:rPr>
          <w:rFonts w:cstheme="minorHAnsi"/>
        </w:rPr>
        <w:fldChar w:fldCharType="separate"/>
      </w:r>
      <w:r w:rsidR="00013195" w:rsidRPr="00013195">
        <w:rPr>
          <w:rStyle w:val="EndnoteReference"/>
        </w:rPr>
        <w:t>13</w:t>
      </w:r>
      <w:r w:rsidR="00013195">
        <w:rPr>
          <w:rFonts w:cstheme="minorHAnsi"/>
        </w:rPr>
        <w:fldChar w:fldCharType="end"/>
      </w:r>
      <w:r w:rsidR="00013195">
        <w:rPr>
          <w:rFonts w:cstheme="minorHAnsi"/>
        </w:rPr>
        <w:t xml:space="preserve"> </w:t>
      </w:r>
      <w:r w:rsidRPr="00594434">
        <w:rPr>
          <w:rFonts w:cstheme="minorHAnsi"/>
        </w:rPr>
        <w:t xml:space="preserve">T score is usually used to </w:t>
      </w:r>
      <w:r w:rsidR="001D24CC" w:rsidRPr="00594434">
        <w:rPr>
          <w:rFonts w:cstheme="minorHAnsi"/>
        </w:rPr>
        <w:t>report</w:t>
      </w:r>
      <w:r w:rsidRPr="00594434">
        <w:rPr>
          <w:rFonts w:cstheme="minorHAnsi"/>
        </w:rPr>
        <w:t xml:space="preserve"> BMD</w:t>
      </w:r>
      <w:r w:rsidR="001D24CC" w:rsidRPr="00594434">
        <w:rPr>
          <w:rFonts w:cstheme="minorHAnsi"/>
        </w:rPr>
        <w:t xml:space="preserve"> values</w:t>
      </w:r>
      <w:r w:rsidRPr="00594434">
        <w:rPr>
          <w:rFonts w:cstheme="minorHAnsi"/>
        </w:rPr>
        <w:t xml:space="preserve"> in postmenopausal women and men over the age of 50, whereas Z score is usually used for younger patients (and especially for children).</w:t>
      </w:r>
      <w:r w:rsidR="00013195">
        <w:rPr>
          <w:rFonts w:cstheme="minorHAnsi"/>
        </w:rPr>
        <w:fldChar w:fldCharType="begin"/>
      </w:r>
      <w:r w:rsidR="00013195">
        <w:rPr>
          <w:rFonts w:cstheme="minorHAnsi"/>
        </w:rPr>
        <w:instrText xml:space="preserve"> NOTEREF _Ref158630149 \f \h </w:instrText>
      </w:r>
      <w:r w:rsidR="00013195">
        <w:rPr>
          <w:rFonts w:cstheme="minorHAnsi"/>
        </w:rPr>
      </w:r>
      <w:r w:rsidR="00013195">
        <w:rPr>
          <w:rFonts w:cstheme="minorHAnsi"/>
        </w:rPr>
        <w:fldChar w:fldCharType="separate"/>
      </w:r>
      <w:r w:rsidR="00013195" w:rsidRPr="00013195">
        <w:rPr>
          <w:rStyle w:val="EndnoteReference"/>
        </w:rPr>
        <w:t>9</w:t>
      </w:r>
      <w:r w:rsidR="00013195">
        <w:rPr>
          <w:rFonts w:cstheme="minorHAnsi"/>
        </w:rPr>
        <w:fldChar w:fldCharType="end"/>
      </w:r>
      <w:r w:rsidR="00013195">
        <w:rPr>
          <w:rFonts w:cstheme="minorHAnsi"/>
        </w:rPr>
        <w:t xml:space="preserve">  </w:t>
      </w:r>
      <w:r w:rsidRPr="00594434">
        <w:rPr>
          <w:rFonts w:cstheme="minorHAnsi"/>
        </w:rPr>
        <w:t xml:space="preserve">   </w:t>
      </w:r>
    </w:p>
    <w:p w14:paraId="3CCB4F5D" w14:textId="77777777" w:rsidR="00F41246" w:rsidRPr="00594434" w:rsidRDefault="00F41246" w:rsidP="00F26A8C">
      <w:pPr>
        <w:spacing w:after="240" w:line="240" w:lineRule="auto"/>
        <w:contextualSpacing/>
        <w:rPr>
          <w:rFonts w:cstheme="minorHAnsi"/>
        </w:rPr>
      </w:pPr>
    </w:p>
    <w:p w14:paraId="373E2116" w14:textId="1E4C5A79" w:rsidR="00E80413" w:rsidRPr="00594434" w:rsidRDefault="00E80413" w:rsidP="00F26A8C">
      <w:pPr>
        <w:spacing w:after="240" w:line="240" w:lineRule="auto"/>
        <w:contextualSpacing/>
        <w:rPr>
          <w:rFonts w:cstheme="minorHAnsi"/>
        </w:rPr>
      </w:pPr>
      <w:r w:rsidRPr="00594434">
        <w:rPr>
          <w:rFonts w:cstheme="minorHAnsi"/>
        </w:rPr>
        <w:t xml:space="preserve">According to widely used diagnostic criteria developed by the World Health Organization (WHO), osteoporosis is defined clinically </w:t>
      </w:r>
      <w:r w:rsidR="00CF75AB" w:rsidRPr="00594434">
        <w:rPr>
          <w:rFonts w:cstheme="minorHAnsi"/>
        </w:rPr>
        <w:t xml:space="preserve">as a BMD </w:t>
      </w:r>
      <w:r w:rsidR="00BF293D" w:rsidRPr="00594434">
        <w:rPr>
          <w:rFonts w:cstheme="minorHAnsi"/>
        </w:rPr>
        <w:t xml:space="preserve">that is </w:t>
      </w:r>
      <w:r w:rsidR="009D1DD0" w:rsidRPr="00594434">
        <w:rPr>
          <w:rFonts w:cstheme="minorHAnsi"/>
        </w:rPr>
        <w:t>at least 2.5 standard deviations below the mean BMD value of a young adult reference population (</w:t>
      </w:r>
      <w:r w:rsidR="005734BB" w:rsidRPr="00594434">
        <w:rPr>
          <w:rFonts w:cstheme="minorHAnsi"/>
        </w:rPr>
        <w:t>ie, a</w:t>
      </w:r>
      <w:r w:rsidR="009D1DD0" w:rsidRPr="00594434">
        <w:rPr>
          <w:rFonts w:cstheme="minorHAnsi"/>
        </w:rPr>
        <w:t xml:space="preserve"> T </w:t>
      </w:r>
      <w:proofErr w:type="gramStart"/>
      <w:r w:rsidR="009D1DD0" w:rsidRPr="00594434">
        <w:rPr>
          <w:rFonts w:cstheme="minorHAnsi"/>
        </w:rPr>
        <w:t xml:space="preserve">score </w:t>
      </w:r>
      <w:r w:rsidR="000745FF">
        <w:rPr>
          <w:rFonts w:cstheme="minorHAnsi"/>
        </w:rPr>
        <w:t xml:space="preserve"> ≤</w:t>
      </w:r>
      <w:proofErr w:type="gramEnd"/>
      <w:r w:rsidR="000745FF">
        <w:rPr>
          <w:rFonts w:cstheme="minorHAnsi"/>
        </w:rPr>
        <w:t xml:space="preserve"> -</w:t>
      </w:r>
      <w:r w:rsidR="009D1DD0" w:rsidRPr="00594434">
        <w:rPr>
          <w:rFonts w:cstheme="minorHAnsi"/>
        </w:rPr>
        <w:t>2.5).</w:t>
      </w:r>
      <w:bookmarkStart w:id="9" w:name="_Ref158631837"/>
      <w:r w:rsidR="00C44F06">
        <w:rPr>
          <w:rStyle w:val="EndnoteReference"/>
          <w:rFonts w:cstheme="minorHAnsi"/>
        </w:rPr>
        <w:endnoteReference w:id="14"/>
      </w:r>
      <w:bookmarkEnd w:id="9"/>
      <w:r w:rsidR="00C44F06">
        <w:rPr>
          <w:rFonts w:cstheme="minorHAnsi"/>
        </w:rPr>
        <w:t xml:space="preserve">  </w:t>
      </w:r>
    </w:p>
    <w:p w14:paraId="4EBEDBAA" w14:textId="77777777" w:rsidR="00BB4D45" w:rsidRPr="00594434" w:rsidRDefault="00BB4D45" w:rsidP="00F26A8C">
      <w:pPr>
        <w:spacing w:after="240" w:line="240" w:lineRule="auto"/>
        <w:contextualSpacing/>
        <w:rPr>
          <w:rFonts w:cstheme="minorHAnsi"/>
        </w:rPr>
      </w:pPr>
    </w:p>
    <w:p w14:paraId="100D5956" w14:textId="0EB95530" w:rsidR="008F38C3" w:rsidRPr="00594434" w:rsidRDefault="00CB7B20" w:rsidP="00F26A8C">
      <w:pPr>
        <w:spacing w:after="240" w:line="240" w:lineRule="auto"/>
        <w:contextualSpacing/>
        <w:rPr>
          <w:rFonts w:cstheme="minorHAnsi"/>
          <w:b/>
          <w:bCs/>
        </w:rPr>
      </w:pPr>
      <w:bookmarkStart w:id="10" w:name="_Hlk158385711"/>
      <w:r w:rsidRPr="00594434">
        <w:rPr>
          <w:rFonts w:cstheme="minorHAnsi"/>
          <w:b/>
          <w:bCs/>
        </w:rPr>
        <w:t xml:space="preserve">Clinical Consequences of Osteoporosis </w:t>
      </w:r>
    </w:p>
    <w:bookmarkEnd w:id="10"/>
    <w:p w14:paraId="07F119B7" w14:textId="209A639E" w:rsidR="00F8264C" w:rsidRPr="00594434" w:rsidRDefault="00D76272" w:rsidP="00F26A8C">
      <w:pPr>
        <w:spacing w:after="240" w:line="240" w:lineRule="auto"/>
        <w:contextualSpacing/>
        <w:rPr>
          <w:rFonts w:cstheme="minorHAnsi"/>
        </w:rPr>
      </w:pPr>
      <w:r w:rsidRPr="00594434">
        <w:rPr>
          <w:rFonts w:cstheme="minorHAnsi"/>
        </w:rPr>
        <w:t>Osteoporosis is a risk factor for bone fractures, and the risk of fracture is greatest for individuals who have extremely low BMD values.</w:t>
      </w:r>
      <w:r w:rsidR="00C44F06">
        <w:rPr>
          <w:rFonts w:cstheme="minorHAnsi"/>
        </w:rPr>
        <w:fldChar w:fldCharType="begin"/>
      </w:r>
      <w:r w:rsidR="00C44F06">
        <w:rPr>
          <w:rFonts w:cstheme="minorHAnsi"/>
        </w:rPr>
        <w:instrText xml:space="preserve"> NOTEREF _Ref158630712 \f \h </w:instrText>
      </w:r>
      <w:r w:rsidR="00C44F06">
        <w:rPr>
          <w:rFonts w:cstheme="minorHAnsi"/>
        </w:rPr>
      </w:r>
      <w:r w:rsidR="00C44F06">
        <w:rPr>
          <w:rFonts w:cstheme="minorHAnsi"/>
        </w:rPr>
        <w:fldChar w:fldCharType="separate"/>
      </w:r>
      <w:r w:rsidR="00C44F06" w:rsidRPr="00C44F06">
        <w:rPr>
          <w:rStyle w:val="EndnoteReference"/>
        </w:rPr>
        <w:t>13</w:t>
      </w:r>
      <w:r w:rsidR="00C44F06">
        <w:rPr>
          <w:rFonts w:cstheme="minorHAnsi"/>
        </w:rPr>
        <w:fldChar w:fldCharType="end"/>
      </w:r>
      <w:r w:rsidR="00C44F06">
        <w:rPr>
          <w:rFonts w:cstheme="minorHAnsi"/>
        </w:rPr>
        <w:t xml:space="preserve"> </w:t>
      </w:r>
      <w:r w:rsidR="00F8264C" w:rsidRPr="00594434">
        <w:rPr>
          <w:rFonts w:cstheme="minorHAnsi"/>
        </w:rPr>
        <w:t xml:space="preserve">Osteoporotic fractures are often referred to as </w:t>
      </w:r>
      <w:r w:rsidR="00F8264C" w:rsidRPr="00594434">
        <w:rPr>
          <w:rFonts w:cstheme="minorHAnsi"/>
          <w:i/>
          <w:iCs/>
        </w:rPr>
        <w:t>fragility fractures</w:t>
      </w:r>
      <w:r w:rsidR="00F8264C" w:rsidRPr="00594434">
        <w:rPr>
          <w:rFonts w:cstheme="minorHAnsi"/>
        </w:rPr>
        <w:t xml:space="preserve"> because they can be caused by low-energy trauma (equal to or less than a fall from standing height).</w:t>
      </w:r>
      <w:bookmarkStart w:id="11" w:name="_Ref158630913"/>
      <w:r w:rsidR="005236B0">
        <w:rPr>
          <w:rStyle w:val="EndnoteReference"/>
          <w:rFonts w:cstheme="minorHAnsi"/>
        </w:rPr>
        <w:endnoteReference w:id="15"/>
      </w:r>
      <w:bookmarkEnd w:id="11"/>
      <w:r w:rsidR="00F8264C" w:rsidRPr="00594434">
        <w:rPr>
          <w:rFonts w:cstheme="minorHAnsi"/>
        </w:rPr>
        <w:t xml:space="preserve"> </w:t>
      </w:r>
      <w:r w:rsidR="00B81142" w:rsidRPr="00594434">
        <w:rPr>
          <w:rFonts w:cstheme="minorHAnsi"/>
        </w:rPr>
        <w:t xml:space="preserve">Osteoporosis </w:t>
      </w:r>
      <w:r w:rsidR="005A7E33" w:rsidRPr="00594434">
        <w:rPr>
          <w:rFonts w:cstheme="minorHAnsi"/>
        </w:rPr>
        <w:t>management</w:t>
      </w:r>
      <w:r w:rsidR="00B81142" w:rsidRPr="00594434">
        <w:rPr>
          <w:rFonts w:cstheme="minorHAnsi"/>
        </w:rPr>
        <w:t xml:space="preserve"> g</w:t>
      </w:r>
      <w:r w:rsidR="006F6744" w:rsidRPr="00594434">
        <w:rPr>
          <w:rFonts w:cstheme="minorHAnsi"/>
        </w:rPr>
        <w:t>uidelines note that most bone fractures in older adults are at least partly due</w:t>
      </w:r>
      <w:r w:rsidR="000A469C" w:rsidRPr="00594434">
        <w:rPr>
          <w:rFonts w:cstheme="minorHAnsi"/>
        </w:rPr>
        <w:t xml:space="preserve"> to</w:t>
      </w:r>
      <w:r w:rsidR="006F6744" w:rsidRPr="00594434">
        <w:rPr>
          <w:rFonts w:cstheme="minorHAnsi"/>
        </w:rPr>
        <w:t xml:space="preserve"> low bone mass, even when they are the result of considerable trauma.</w:t>
      </w:r>
      <w:r w:rsidR="00D37BED" w:rsidRPr="00594434">
        <w:rPr>
          <w:rFonts w:cstheme="minorHAnsi"/>
        </w:rPr>
        <w:t xml:space="preserve"> </w:t>
      </w:r>
      <w:r w:rsidR="00D37BED" w:rsidRPr="0023138D">
        <w:rPr>
          <w:rFonts w:cstheme="minorHAnsi"/>
          <w:highlight w:val="yellow"/>
        </w:rPr>
        <w:t xml:space="preserve">Fractures of the </w:t>
      </w:r>
      <w:commentRangeStart w:id="12"/>
      <w:r w:rsidR="00D37BED" w:rsidRPr="0023138D">
        <w:rPr>
          <w:rFonts w:cstheme="minorHAnsi"/>
          <w:highlight w:val="yellow"/>
        </w:rPr>
        <w:t>vertebrae</w:t>
      </w:r>
      <w:commentRangeEnd w:id="12"/>
      <w:r w:rsidR="0023138D">
        <w:rPr>
          <w:rStyle w:val="CommentReference"/>
        </w:rPr>
        <w:commentReference w:id="12"/>
      </w:r>
      <w:r w:rsidR="00D37BED" w:rsidRPr="0023138D">
        <w:rPr>
          <w:rFonts w:cstheme="minorHAnsi"/>
          <w:highlight w:val="yellow"/>
        </w:rPr>
        <w:t xml:space="preserve"> (especially the lumbar spine) are the most common type of osteoporotic fractures, and </w:t>
      </w:r>
      <w:r w:rsidR="008800F3" w:rsidRPr="0023138D">
        <w:rPr>
          <w:rFonts w:cstheme="minorHAnsi"/>
          <w:highlight w:val="yellow"/>
        </w:rPr>
        <w:t xml:space="preserve">they </w:t>
      </w:r>
      <w:r w:rsidR="00D37BED" w:rsidRPr="0023138D">
        <w:rPr>
          <w:rFonts w:cstheme="minorHAnsi"/>
          <w:highlight w:val="yellow"/>
        </w:rPr>
        <w:t>may be clinical or subclinical</w:t>
      </w:r>
      <w:r w:rsidR="00D37BED" w:rsidRPr="00594434">
        <w:rPr>
          <w:rFonts w:cstheme="minorHAnsi"/>
        </w:rPr>
        <w:t>. Other common sites of fractures in people with osteoporosis include the proximal femur (hip) and distal forearm (wrist).</w:t>
      </w:r>
      <w:r w:rsidR="003C2C9A">
        <w:rPr>
          <w:rFonts w:cstheme="minorHAnsi"/>
        </w:rPr>
        <w:fldChar w:fldCharType="begin"/>
      </w:r>
      <w:r w:rsidR="003C2C9A">
        <w:rPr>
          <w:rFonts w:cstheme="minorHAnsi"/>
        </w:rPr>
        <w:instrText xml:space="preserve"> NOTEREF _Ref158630712 \f \h </w:instrText>
      </w:r>
      <w:r w:rsidR="003C2C9A">
        <w:rPr>
          <w:rFonts w:cstheme="minorHAnsi"/>
        </w:rPr>
      </w:r>
      <w:r w:rsidR="003C2C9A">
        <w:rPr>
          <w:rFonts w:cstheme="minorHAnsi"/>
        </w:rPr>
        <w:fldChar w:fldCharType="separate"/>
      </w:r>
      <w:r w:rsidR="003C2C9A" w:rsidRPr="003C2C9A">
        <w:rPr>
          <w:rStyle w:val="EndnoteReference"/>
        </w:rPr>
        <w:t>13</w:t>
      </w:r>
      <w:r w:rsidR="003C2C9A">
        <w:rPr>
          <w:rFonts w:cstheme="minorHAnsi"/>
        </w:rPr>
        <w:fldChar w:fldCharType="end"/>
      </w:r>
      <w:r w:rsidR="003C2C9A">
        <w:rPr>
          <w:rFonts w:cstheme="minorHAnsi"/>
        </w:rPr>
        <w:t xml:space="preserve"> </w:t>
      </w:r>
      <w:r w:rsidR="00D37BED" w:rsidRPr="00594434">
        <w:rPr>
          <w:rFonts w:cstheme="minorHAnsi"/>
        </w:rPr>
        <w:t>O</w:t>
      </w:r>
      <w:r w:rsidR="00A336CE" w:rsidRPr="00594434">
        <w:rPr>
          <w:rFonts w:cstheme="minorHAnsi"/>
        </w:rPr>
        <w:t>steoporosis can also be related to fractures at a number of other sites, such as the humerus, ribs, tibia (typically, excluding the ankle), pelvis and other femoral fractures</w:t>
      </w:r>
      <w:r w:rsidR="00F077CC" w:rsidRPr="00594434">
        <w:rPr>
          <w:rFonts w:cstheme="minorHAnsi"/>
        </w:rPr>
        <w:t>.</w:t>
      </w:r>
      <w:r w:rsidR="005236B0">
        <w:rPr>
          <w:rFonts w:cstheme="minorHAnsi"/>
        </w:rPr>
        <w:fldChar w:fldCharType="begin"/>
      </w:r>
      <w:r w:rsidR="005236B0">
        <w:rPr>
          <w:rFonts w:cstheme="minorHAnsi"/>
        </w:rPr>
        <w:instrText xml:space="preserve"> NOTEREF _Ref158630913 \f \h </w:instrText>
      </w:r>
      <w:r w:rsidR="005236B0">
        <w:rPr>
          <w:rFonts w:cstheme="minorHAnsi"/>
        </w:rPr>
      </w:r>
      <w:r w:rsidR="005236B0">
        <w:rPr>
          <w:rFonts w:cstheme="minorHAnsi"/>
        </w:rPr>
        <w:fldChar w:fldCharType="separate"/>
      </w:r>
      <w:r w:rsidR="005236B0" w:rsidRPr="005236B0">
        <w:rPr>
          <w:rStyle w:val="EndnoteReference"/>
        </w:rPr>
        <w:t>15</w:t>
      </w:r>
      <w:r w:rsidR="005236B0">
        <w:rPr>
          <w:rFonts w:cstheme="minorHAnsi"/>
        </w:rPr>
        <w:fldChar w:fldCharType="end"/>
      </w:r>
      <w:r w:rsidR="003C2C9A">
        <w:rPr>
          <w:rFonts w:cstheme="minorHAnsi"/>
        </w:rPr>
        <w:t xml:space="preserve"> </w:t>
      </w:r>
      <w:r w:rsidR="00A336CE" w:rsidRPr="00594434">
        <w:rPr>
          <w:rFonts w:cstheme="minorHAnsi"/>
        </w:rPr>
        <w:t xml:space="preserve"> </w:t>
      </w:r>
      <w:r w:rsidR="00F077CC" w:rsidRPr="00594434">
        <w:rPr>
          <w:rFonts w:cstheme="minorHAnsi"/>
        </w:rPr>
        <w:t xml:space="preserve"> </w:t>
      </w:r>
    </w:p>
    <w:p w14:paraId="505FA9D4" w14:textId="77777777" w:rsidR="00F8264C" w:rsidRPr="00594434" w:rsidRDefault="00F8264C" w:rsidP="00F26A8C">
      <w:pPr>
        <w:spacing w:after="240" w:line="240" w:lineRule="auto"/>
        <w:contextualSpacing/>
        <w:rPr>
          <w:rFonts w:cstheme="minorHAnsi"/>
        </w:rPr>
      </w:pPr>
    </w:p>
    <w:p w14:paraId="5D10807A" w14:textId="6ABD1DE9" w:rsidR="00E360A2" w:rsidRPr="00594434" w:rsidRDefault="001371BC" w:rsidP="00F26A8C">
      <w:pPr>
        <w:spacing w:after="240" w:line="240" w:lineRule="auto"/>
        <w:contextualSpacing/>
        <w:rPr>
          <w:rFonts w:cstheme="minorHAnsi"/>
        </w:rPr>
      </w:pPr>
      <w:r w:rsidRPr="00594434">
        <w:rPr>
          <w:rFonts w:cstheme="minorHAnsi"/>
          <w:highlight w:val="green"/>
        </w:rPr>
        <w:t xml:space="preserve">Osteoporotic fractures are associated with </w:t>
      </w:r>
      <w:proofErr w:type="gramStart"/>
      <w:r w:rsidRPr="00594434">
        <w:rPr>
          <w:rFonts w:cstheme="minorHAnsi"/>
          <w:highlight w:val="green"/>
        </w:rPr>
        <w:t>a number of</w:t>
      </w:r>
      <w:proofErr w:type="gramEnd"/>
      <w:r w:rsidRPr="00594434">
        <w:rPr>
          <w:rFonts w:cstheme="minorHAnsi"/>
          <w:highlight w:val="green"/>
        </w:rPr>
        <w:t xml:space="preserve"> adverse health outcomes, including pain, decreased functional ability,</w:t>
      </w:r>
      <w:r w:rsidR="000F3B90" w:rsidRPr="00594434">
        <w:rPr>
          <w:rFonts w:cstheme="minorHAnsi"/>
          <w:highlight w:val="green"/>
        </w:rPr>
        <w:t xml:space="preserve"> reduced quality of life,</w:t>
      </w:r>
      <w:r w:rsidR="008824BB" w:rsidRPr="00594434">
        <w:rPr>
          <w:rFonts w:cstheme="minorHAnsi"/>
          <w:highlight w:val="green"/>
        </w:rPr>
        <w:t xml:space="preserve"> </w:t>
      </w:r>
      <w:r w:rsidR="009F35D5" w:rsidRPr="00594434">
        <w:rPr>
          <w:rFonts w:cstheme="minorHAnsi"/>
          <w:highlight w:val="green"/>
        </w:rPr>
        <w:t>and</w:t>
      </w:r>
      <w:r w:rsidR="000F3B90" w:rsidRPr="00594434">
        <w:rPr>
          <w:rFonts w:cstheme="minorHAnsi"/>
          <w:highlight w:val="green"/>
        </w:rPr>
        <w:t xml:space="preserve"> increased risk of</w:t>
      </w:r>
      <w:r w:rsidR="009F35D5" w:rsidRPr="00594434">
        <w:rPr>
          <w:rFonts w:cstheme="minorHAnsi"/>
          <w:highlight w:val="green"/>
        </w:rPr>
        <w:t xml:space="preserve"> </w:t>
      </w:r>
      <w:commentRangeStart w:id="13"/>
      <w:r w:rsidR="009F35D5" w:rsidRPr="00594434">
        <w:rPr>
          <w:rFonts w:cstheme="minorHAnsi"/>
          <w:highlight w:val="green"/>
        </w:rPr>
        <w:t>mortality</w:t>
      </w:r>
      <w:commentRangeEnd w:id="13"/>
      <w:r w:rsidR="00594434" w:rsidRPr="00594434">
        <w:rPr>
          <w:rStyle w:val="CommentReference"/>
          <w:rFonts w:cstheme="minorHAnsi"/>
          <w:sz w:val="22"/>
          <w:szCs w:val="22"/>
        </w:rPr>
        <w:commentReference w:id="13"/>
      </w:r>
      <w:r w:rsidR="009F35D5" w:rsidRPr="00594434">
        <w:rPr>
          <w:rFonts w:cstheme="minorHAnsi"/>
          <w:highlight w:val="green"/>
        </w:rPr>
        <w:t>.</w:t>
      </w:r>
      <w:r w:rsidR="008824BB" w:rsidRPr="00594434">
        <w:rPr>
          <w:rFonts w:cstheme="minorHAnsi"/>
        </w:rPr>
        <w:t xml:space="preserve"> </w:t>
      </w:r>
      <w:r w:rsidR="003F77F4" w:rsidRPr="00594434">
        <w:rPr>
          <w:rFonts w:cstheme="minorHAnsi"/>
        </w:rPr>
        <w:t xml:space="preserve">Vertebral fractures can cause pain, disability, </w:t>
      </w:r>
      <w:r w:rsidR="004330A3" w:rsidRPr="00594434">
        <w:rPr>
          <w:rFonts w:cstheme="minorHAnsi"/>
        </w:rPr>
        <w:t xml:space="preserve">postural changes, and limited mobility. </w:t>
      </w:r>
      <w:r w:rsidR="007346C7" w:rsidRPr="00594434">
        <w:rPr>
          <w:rFonts w:cstheme="minorHAnsi"/>
        </w:rPr>
        <w:t>In addition</w:t>
      </w:r>
      <w:r w:rsidR="00154C39" w:rsidRPr="00594434">
        <w:rPr>
          <w:rFonts w:cstheme="minorHAnsi"/>
        </w:rPr>
        <w:t xml:space="preserve">, </w:t>
      </w:r>
      <w:r w:rsidR="00E474F5" w:rsidRPr="00594434">
        <w:rPr>
          <w:rFonts w:cstheme="minorHAnsi"/>
        </w:rPr>
        <w:t xml:space="preserve">thoracic vertebral fractures can impair pulmonary function, </w:t>
      </w:r>
      <w:r w:rsidR="004732DD" w:rsidRPr="00594434">
        <w:rPr>
          <w:rFonts w:cstheme="minorHAnsi"/>
        </w:rPr>
        <w:t>while lumbar fractures may be associated with ab</w:t>
      </w:r>
      <w:r w:rsidR="00924D7A" w:rsidRPr="00594434">
        <w:rPr>
          <w:rFonts w:cstheme="minorHAnsi"/>
        </w:rPr>
        <w:t>dominal pain or changes in abdominal function, including constipation and weight loss.</w:t>
      </w:r>
      <w:r w:rsidR="005236B0">
        <w:rPr>
          <w:rFonts w:cstheme="minorHAnsi"/>
        </w:rPr>
        <w:fldChar w:fldCharType="begin"/>
      </w:r>
      <w:r w:rsidR="005236B0">
        <w:rPr>
          <w:rFonts w:cstheme="minorHAnsi"/>
        </w:rPr>
        <w:instrText xml:space="preserve"> NOTEREF _Ref158630712 \f \h </w:instrText>
      </w:r>
      <w:r w:rsidR="005236B0">
        <w:rPr>
          <w:rFonts w:cstheme="minorHAnsi"/>
        </w:rPr>
      </w:r>
      <w:r w:rsidR="005236B0">
        <w:rPr>
          <w:rFonts w:cstheme="minorHAnsi"/>
        </w:rPr>
        <w:fldChar w:fldCharType="separate"/>
      </w:r>
      <w:r w:rsidR="005236B0" w:rsidRPr="005236B0">
        <w:rPr>
          <w:rStyle w:val="EndnoteReference"/>
        </w:rPr>
        <w:t>13</w:t>
      </w:r>
      <w:r w:rsidR="005236B0">
        <w:rPr>
          <w:rFonts w:cstheme="minorHAnsi"/>
        </w:rPr>
        <w:fldChar w:fldCharType="end"/>
      </w:r>
      <w:r w:rsidR="005236B0">
        <w:rPr>
          <w:rFonts w:cstheme="minorHAnsi"/>
        </w:rPr>
        <w:t xml:space="preserve"> </w:t>
      </w:r>
      <w:r w:rsidR="00924D7A" w:rsidRPr="00594434">
        <w:rPr>
          <w:rFonts w:cstheme="minorHAnsi"/>
        </w:rPr>
        <w:t xml:space="preserve"> </w:t>
      </w:r>
      <w:r w:rsidR="00F077CC" w:rsidRPr="00594434">
        <w:rPr>
          <w:rFonts w:cstheme="minorHAnsi"/>
        </w:rPr>
        <w:t>H</w:t>
      </w:r>
      <w:r w:rsidR="00290228" w:rsidRPr="00594434">
        <w:rPr>
          <w:rFonts w:cstheme="minorHAnsi"/>
        </w:rPr>
        <w:t>ip fractures</w:t>
      </w:r>
      <w:r w:rsidR="00B006E3" w:rsidRPr="00594434">
        <w:rPr>
          <w:rFonts w:cstheme="minorHAnsi"/>
        </w:rPr>
        <w:t xml:space="preserve"> are associated with a high likelihood of long-term functional impairment, hospitalization, and mortality. </w:t>
      </w:r>
      <w:r w:rsidR="007C01D4" w:rsidRPr="00594434">
        <w:rPr>
          <w:rFonts w:cstheme="minorHAnsi"/>
        </w:rPr>
        <w:t xml:space="preserve">It has been estimated that only about 40% of people with hip fracture </w:t>
      </w:r>
      <w:r w:rsidR="008B5E05" w:rsidRPr="00594434">
        <w:rPr>
          <w:rFonts w:cstheme="minorHAnsi"/>
        </w:rPr>
        <w:t>regain the level of function and independence they had before their fracture, and that about 20% require long-term nursing home care.</w:t>
      </w:r>
      <w:r w:rsidR="00920403">
        <w:rPr>
          <w:rStyle w:val="EndnoteReference"/>
          <w:rFonts w:cstheme="minorHAnsi"/>
        </w:rPr>
        <w:endnoteReference w:id="16"/>
      </w:r>
      <w:r w:rsidR="00920403">
        <w:rPr>
          <w:rFonts w:cstheme="minorHAnsi"/>
        </w:rPr>
        <w:t xml:space="preserve"> </w:t>
      </w:r>
      <w:r w:rsidR="00603894">
        <w:rPr>
          <w:rFonts w:cstheme="minorHAnsi"/>
        </w:rPr>
        <w:t xml:space="preserve">In addition, hip fracture is associated with </w:t>
      </w:r>
      <w:r w:rsidR="00947B12">
        <w:rPr>
          <w:rFonts w:cstheme="minorHAnsi"/>
        </w:rPr>
        <w:t>about a doubling in the risk of mortality over the next year.</w:t>
      </w:r>
      <w:r w:rsidR="005E25EB">
        <w:rPr>
          <w:rStyle w:val="EndnoteReference"/>
          <w:rFonts w:cstheme="minorHAnsi"/>
        </w:rPr>
        <w:endnoteReference w:id="17"/>
      </w:r>
    </w:p>
    <w:p w14:paraId="557E0995" w14:textId="77777777" w:rsidR="00E360A2" w:rsidRPr="00594434" w:rsidRDefault="00E360A2" w:rsidP="00F26A8C">
      <w:pPr>
        <w:spacing w:after="240" w:line="240" w:lineRule="auto"/>
        <w:contextualSpacing/>
        <w:rPr>
          <w:rFonts w:cstheme="minorHAnsi"/>
        </w:rPr>
      </w:pPr>
    </w:p>
    <w:p w14:paraId="39F60599" w14:textId="417A90D3" w:rsidR="00AF6086" w:rsidRPr="00594434" w:rsidRDefault="00E360A2" w:rsidP="00F26A8C">
      <w:pPr>
        <w:spacing w:after="240" w:line="240" w:lineRule="auto"/>
        <w:contextualSpacing/>
        <w:rPr>
          <w:rFonts w:cstheme="minorHAnsi"/>
        </w:rPr>
      </w:pPr>
      <w:r w:rsidRPr="00594434">
        <w:rPr>
          <w:rFonts w:cstheme="minorHAnsi"/>
        </w:rPr>
        <w:t xml:space="preserve">In addition, because weight-bearing physical activity is an important part of maintaining bone health and preserving bone mass, the pain and activity restriction caused by osteoporotic fractures often produce a “vicious circle” of decreased physical activity, declining bone health, and risk of further fractures and disability. </w:t>
      </w:r>
      <w:r w:rsidR="00BC622C" w:rsidRPr="00594434">
        <w:rPr>
          <w:rFonts w:cstheme="minorHAnsi"/>
        </w:rPr>
        <w:t xml:space="preserve">Fractures in an individual over the age of 50 years are associated with </w:t>
      </w:r>
      <w:r w:rsidR="00547DB9" w:rsidRPr="00594434">
        <w:rPr>
          <w:rFonts w:cstheme="minorHAnsi"/>
        </w:rPr>
        <w:t>increased</w:t>
      </w:r>
      <w:r w:rsidR="00BC622C" w:rsidRPr="00594434">
        <w:rPr>
          <w:rFonts w:cstheme="minorHAnsi"/>
        </w:rPr>
        <w:t xml:space="preserve"> risk of new fractures, especially during the following year.</w:t>
      </w:r>
      <w:r w:rsidR="006E034F">
        <w:rPr>
          <w:rFonts w:cstheme="minorHAnsi"/>
        </w:rPr>
        <w:fldChar w:fldCharType="begin"/>
      </w:r>
      <w:r w:rsidR="006E034F">
        <w:rPr>
          <w:rFonts w:cstheme="minorHAnsi"/>
        </w:rPr>
        <w:instrText xml:space="preserve"> NOTEREF _Ref158630712 \f \h </w:instrText>
      </w:r>
      <w:r w:rsidR="006E034F">
        <w:rPr>
          <w:rFonts w:cstheme="minorHAnsi"/>
        </w:rPr>
      </w:r>
      <w:r w:rsidR="006E034F">
        <w:rPr>
          <w:rFonts w:cstheme="minorHAnsi"/>
        </w:rPr>
        <w:fldChar w:fldCharType="separate"/>
      </w:r>
      <w:r w:rsidR="006E034F" w:rsidRPr="006E034F">
        <w:rPr>
          <w:rStyle w:val="EndnoteReference"/>
        </w:rPr>
        <w:t>13</w:t>
      </w:r>
      <w:r w:rsidR="006E034F">
        <w:rPr>
          <w:rFonts w:cstheme="minorHAnsi"/>
        </w:rPr>
        <w:fldChar w:fldCharType="end"/>
      </w:r>
      <w:r w:rsidR="000745FF">
        <w:rPr>
          <w:rFonts w:cstheme="minorHAnsi"/>
        </w:rPr>
        <w:t xml:space="preserve"> </w:t>
      </w:r>
      <w:r w:rsidR="00BC622C" w:rsidRPr="00594434">
        <w:rPr>
          <w:rFonts w:cstheme="minorHAnsi"/>
        </w:rPr>
        <w:t xml:space="preserve">Vertebral fractures are associated with a 5-fold risk of additional vertebral fractures and a 2-fold to 3-fold risk of fractures at other sites. Hip fractures are also associated with as much as a </w:t>
      </w:r>
      <w:proofErr w:type="gramStart"/>
      <w:r w:rsidR="00BC622C" w:rsidRPr="00594434">
        <w:rPr>
          <w:rFonts w:cstheme="minorHAnsi"/>
        </w:rPr>
        <w:t>2-5 fold</w:t>
      </w:r>
      <w:proofErr w:type="gramEnd"/>
      <w:r w:rsidR="00BC622C" w:rsidRPr="00594434">
        <w:rPr>
          <w:rFonts w:cstheme="minorHAnsi"/>
        </w:rPr>
        <w:t xml:space="preserve"> increased risk of additional fractures at other sites.</w:t>
      </w:r>
      <w:r w:rsidR="005E25EB">
        <w:rPr>
          <w:rFonts w:cstheme="minorHAnsi"/>
        </w:rPr>
        <w:fldChar w:fldCharType="begin"/>
      </w:r>
      <w:r w:rsidR="005E25EB">
        <w:rPr>
          <w:rFonts w:cstheme="minorHAnsi"/>
        </w:rPr>
        <w:instrText xml:space="preserve"> NOTEREF _Ref158630712 \f \h </w:instrText>
      </w:r>
      <w:r w:rsidR="005E25EB">
        <w:rPr>
          <w:rFonts w:cstheme="minorHAnsi"/>
        </w:rPr>
      </w:r>
      <w:r w:rsidR="005E25EB">
        <w:rPr>
          <w:rFonts w:cstheme="minorHAnsi"/>
        </w:rPr>
        <w:fldChar w:fldCharType="separate"/>
      </w:r>
      <w:r w:rsidR="005E25EB" w:rsidRPr="005E25EB">
        <w:rPr>
          <w:rStyle w:val="EndnoteReference"/>
        </w:rPr>
        <w:t>13</w:t>
      </w:r>
      <w:r w:rsidR="005E25EB">
        <w:rPr>
          <w:rFonts w:cstheme="minorHAnsi"/>
        </w:rPr>
        <w:fldChar w:fldCharType="end"/>
      </w:r>
      <w:r w:rsidRPr="00594434">
        <w:rPr>
          <w:rFonts w:cstheme="minorHAnsi"/>
        </w:rPr>
        <w:t xml:space="preserve"> </w:t>
      </w:r>
    </w:p>
    <w:p w14:paraId="4A35FA79" w14:textId="77777777" w:rsidR="00BE2FD6" w:rsidRPr="00594434" w:rsidRDefault="00BE2FD6" w:rsidP="00F26A8C">
      <w:pPr>
        <w:spacing w:after="240" w:line="240" w:lineRule="auto"/>
        <w:contextualSpacing/>
        <w:rPr>
          <w:rFonts w:cstheme="minorHAnsi"/>
        </w:rPr>
      </w:pPr>
    </w:p>
    <w:p w14:paraId="31D00639" w14:textId="5BA605DC" w:rsidR="00BE2FD6" w:rsidRPr="00594434" w:rsidRDefault="00BE2FD6" w:rsidP="00F26A8C">
      <w:pPr>
        <w:spacing w:after="240" w:line="240" w:lineRule="auto"/>
        <w:contextualSpacing/>
        <w:rPr>
          <w:rFonts w:cstheme="minorHAnsi"/>
        </w:rPr>
      </w:pPr>
      <w:r w:rsidRPr="00594434">
        <w:rPr>
          <w:rFonts w:cstheme="minorHAnsi"/>
        </w:rPr>
        <w:lastRenderedPageBreak/>
        <w:t xml:space="preserve">Despite the widespread and </w:t>
      </w:r>
      <w:r w:rsidR="00337D5A" w:rsidRPr="00594434">
        <w:rPr>
          <w:rFonts w:cstheme="minorHAnsi"/>
        </w:rPr>
        <w:t>significant health consequences of osteoporosis, the</w:t>
      </w:r>
      <w:r w:rsidRPr="00594434">
        <w:rPr>
          <w:rFonts w:cstheme="minorHAnsi"/>
        </w:rPr>
        <w:t xml:space="preserve"> </w:t>
      </w:r>
      <w:r w:rsidR="008F68C1" w:rsidRPr="00594434">
        <w:rPr>
          <w:rFonts w:cstheme="minorHAnsi"/>
        </w:rPr>
        <w:t xml:space="preserve">Bone </w:t>
      </w:r>
      <w:proofErr w:type="gramStart"/>
      <w:r w:rsidR="008F68C1" w:rsidRPr="00594434">
        <w:rPr>
          <w:rFonts w:cstheme="minorHAnsi"/>
        </w:rPr>
        <w:t>Health</w:t>
      </w:r>
      <w:proofErr w:type="gramEnd"/>
      <w:r w:rsidR="008F68C1" w:rsidRPr="00594434">
        <w:rPr>
          <w:rFonts w:cstheme="minorHAnsi"/>
        </w:rPr>
        <w:t xml:space="preserve"> and Osteoporosis Foundation (</w:t>
      </w:r>
      <w:r w:rsidRPr="00594434">
        <w:rPr>
          <w:rFonts w:cstheme="minorHAnsi"/>
        </w:rPr>
        <w:t>BHOF</w:t>
      </w:r>
      <w:r w:rsidR="008F68C1" w:rsidRPr="00594434">
        <w:rPr>
          <w:rFonts w:cstheme="minorHAnsi"/>
        </w:rPr>
        <w:t>) – formerly</w:t>
      </w:r>
      <w:r w:rsidR="00496D2B" w:rsidRPr="00594434">
        <w:rPr>
          <w:rFonts w:cstheme="minorHAnsi"/>
        </w:rPr>
        <w:t>, the National Osteoporosis Foundation (NOF) – has emphasized</w:t>
      </w:r>
      <w:r w:rsidR="00337D5A" w:rsidRPr="00594434">
        <w:rPr>
          <w:rFonts w:cstheme="minorHAnsi"/>
        </w:rPr>
        <w:t xml:space="preserve"> that </w:t>
      </w:r>
      <w:r w:rsidRPr="00594434">
        <w:rPr>
          <w:rFonts w:cstheme="minorHAnsi"/>
        </w:rPr>
        <w:t>access to care for people with osteoporosis in the US has decreased in recent years. This includes a reduction in the availability of office-based DXA facilities and a decrease in the number of DXA studies being performed.</w:t>
      </w:r>
      <w:r w:rsidR="005E25EB">
        <w:rPr>
          <w:rFonts w:cstheme="minorHAnsi"/>
        </w:rPr>
        <w:fldChar w:fldCharType="begin"/>
      </w:r>
      <w:r w:rsidR="005E25EB">
        <w:rPr>
          <w:rFonts w:cstheme="minorHAnsi"/>
        </w:rPr>
        <w:instrText xml:space="preserve"> NOTEREF _Ref158630712 \f \h </w:instrText>
      </w:r>
      <w:r w:rsidR="005E25EB">
        <w:rPr>
          <w:rFonts w:cstheme="minorHAnsi"/>
        </w:rPr>
      </w:r>
      <w:r w:rsidR="005E25EB">
        <w:rPr>
          <w:rFonts w:cstheme="minorHAnsi"/>
        </w:rPr>
        <w:fldChar w:fldCharType="separate"/>
      </w:r>
      <w:r w:rsidR="005E25EB" w:rsidRPr="005E25EB">
        <w:rPr>
          <w:rStyle w:val="EndnoteReference"/>
        </w:rPr>
        <w:t>13</w:t>
      </w:r>
      <w:r w:rsidR="005E25EB">
        <w:rPr>
          <w:rFonts w:cstheme="minorHAnsi"/>
        </w:rPr>
        <w:fldChar w:fldCharType="end"/>
      </w:r>
      <w:r w:rsidR="005E25EB">
        <w:rPr>
          <w:rFonts w:cstheme="minorHAnsi"/>
        </w:rPr>
        <w:t xml:space="preserve"> </w:t>
      </w:r>
      <w:r w:rsidR="007871E0" w:rsidRPr="00594434">
        <w:rPr>
          <w:rFonts w:cstheme="minorHAnsi"/>
        </w:rPr>
        <w:t>Declining osteoporosis screening has been</w:t>
      </w:r>
      <w:r w:rsidRPr="00594434">
        <w:rPr>
          <w:rFonts w:cstheme="minorHAnsi"/>
        </w:rPr>
        <w:t xml:space="preserve"> accompanied by a decrease in the number of people being diagnosed with osteoporosis, fewer patients entering treatment, and an increase in the number of fractures for the US population</w:t>
      </w:r>
      <w:r w:rsidR="007871E0" w:rsidRPr="00594434">
        <w:rPr>
          <w:rFonts w:cstheme="minorHAnsi"/>
        </w:rPr>
        <w:t>, many of which are potentially avoidable with adequate care.</w:t>
      </w:r>
      <w:r w:rsidR="005E25EB">
        <w:rPr>
          <w:rFonts w:cstheme="minorHAnsi"/>
        </w:rPr>
        <w:fldChar w:fldCharType="begin"/>
      </w:r>
      <w:r w:rsidR="005E25EB">
        <w:rPr>
          <w:rFonts w:cstheme="minorHAnsi"/>
        </w:rPr>
        <w:instrText xml:space="preserve"> NOTEREF _Ref158630712 \f \h </w:instrText>
      </w:r>
      <w:r w:rsidR="005E25EB">
        <w:rPr>
          <w:rFonts w:cstheme="minorHAnsi"/>
        </w:rPr>
      </w:r>
      <w:r w:rsidR="005E25EB">
        <w:rPr>
          <w:rFonts w:cstheme="minorHAnsi"/>
        </w:rPr>
        <w:fldChar w:fldCharType="separate"/>
      </w:r>
      <w:r w:rsidR="005E25EB" w:rsidRPr="005E25EB">
        <w:rPr>
          <w:rStyle w:val="EndnoteReference"/>
        </w:rPr>
        <w:t>13</w:t>
      </w:r>
      <w:r w:rsidR="005E25EB">
        <w:rPr>
          <w:rFonts w:cstheme="minorHAnsi"/>
        </w:rPr>
        <w:fldChar w:fldCharType="end"/>
      </w:r>
      <w:r w:rsidR="005E25EB">
        <w:rPr>
          <w:rFonts w:cstheme="minorHAnsi"/>
        </w:rPr>
        <w:t xml:space="preserve"> </w:t>
      </w:r>
    </w:p>
    <w:p w14:paraId="6854F527" w14:textId="77777777" w:rsidR="0059231B" w:rsidRPr="00594434" w:rsidRDefault="0059231B" w:rsidP="00F26A8C">
      <w:pPr>
        <w:spacing w:after="240" w:line="240" w:lineRule="auto"/>
        <w:contextualSpacing/>
        <w:rPr>
          <w:rFonts w:cstheme="minorHAnsi"/>
        </w:rPr>
      </w:pPr>
    </w:p>
    <w:p w14:paraId="35CDFF8E" w14:textId="34F6E3A6" w:rsidR="00064EB4" w:rsidRPr="00594434" w:rsidRDefault="009338EF" w:rsidP="00F26A8C">
      <w:pPr>
        <w:spacing w:after="240" w:line="240" w:lineRule="auto"/>
        <w:contextualSpacing/>
        <w:rPr>
          <w:rFonts w:cstheme="minorHAnsi"/>
          <w:b/>
          <w:bCs/>
        </w:rPr>
      </w:pPr>
      <w:r w:rsidRPr="00594434">
        <w:rPr>
          <w:rFonts w:cstheme="minorHAnsi"/>
        </w:rPr>
        <w:t xml:space="preserve"> </w:t>
      </w:r>
      <w:bookmarkStart w:id="14" w:name="_Hlk158385720"/>
      <w:r w:rsidR="002979FB" w:rsidRPr="00594434">
        <w:rPr>
          <w:rFonts w:cstheme="minorHAnsi"/>
          <w:b/>
          <w:bCs/>
        </w:rPr>
        <w:t>Guideline Recommendations for</w:t>
      </w:r>
      <w:r w:rsidR="001D2CD8" w:rsidRPr="00594434">
        <w:rPr>
          <w:rFonts w:cstheme="minorHAnsi"/>
          <w:b/>
          <w:bCs/>
        </w:rPr>
        <w:t xml:space="preserve"> Screening and</w:t>
      </w:r>
      <w:r w:rsidR="002979FB" w:rsidRPr="00594434">
        <w:rPr>
          <w:rFonts w:cstheme="minorHAnsi"/>
          <w:b/>
          <w:bCs/>
        </w:rPr>
        <w:t xml:space="preserve"> </w:t>
      </w:r>
      <w:r w:rsidR="009F63FF" w:rsidRPr="00594434">
        <w:rPr>
          <w:rFonts w:cstheme="minorHAnsi"/>
          <w:b/>
          <w:bCs/>
        </w:rPr>
        <w:t xml:space="preserve">Diagnosis of Osteoporosis </w:t>
      </w:r>
      <w:bookmarkEnd w:id="14"/>
    </w:p>
    <w:p w14:paraId="3C0F520E" w14:textId="6485115A" w:rsidR="00924255" w:rsidRPr="00594434" w:rsidRDefault="009F63FF" w:rsidP="00F26A8C">
      <w:pPr>
        <w:spacing w:after="240" w:line="240" w:lineRule="auto"/>
        <w:contextualSpacing/>
        <w:rPr>
          <w:rFonts w:cstheme="minorHAnsi"/>
        </w:rPr>
      </w:pPr>
      <w:r w:rsidRPr="00594434">
        <w:rPr>
          <w:rFonts w:cstheme="minorHAnsi"/>
        </w:rPr>
        <w:t xml:space="preserve">The </w:t>
      </w:r>
      <w:r w:rsidR="000B1D5D" w:rsidRPr="00594434">
        <w:rPr>
          <w:rFonts w:cstheme="minorHAnsi"/>
        </w:rPr>
        <w:t>BHOF</w:t>
      </w:r>
      <w:r w:rsidR="0062735F" w:rsidRPr="00594434">
        <w:rPr>
          <w:rFonts w:cstheme="minorHAnsi"/>
        </w:rPr>
        <w:t xml:space="preserve"> </w:t>
      </w:r>
      <w:r w:rsidR="000B1D5D" w:rsidRPr="00594434">
        <w:rPr>
          <w:rFonts w:cstheme="minorHAnsi"/>
        </w:rPr>
        <w:t xml:space="preserve">has </w:t>
      </w:r>
      <w:r w:rsidR="004F0670" w:rsidRPr="00594434">
        <w:rPr>
          <w:rFonts w:cstheme="minorHAnsi"/>
        </w:rPr>
        <w:t xml:space="preserve">developed </w:t>
      </w:r>
      <w:r w:rsidR="0062735F" w:rsidRPr="00594434">
        <w:rPr>
          <w:rFonts w:cstheme="minorHAnsi"/>
        </w:rPr>
        <w:t>extensive</w:t>
      </w:r>
      <w:r w:rsidR="004F0670" w:rsidRPr="00594434">
        <w:rPr>
          <w:rFonts w:cstheme="minorHAnsi"/>
        </w:rPr>
        <w:t xml:space="preserve"> evidence-based recommendations</w:t>
      </w:r>
      <w:r w:rsidR="007420A3" w:rsidRPr="00594434">
        <w:rPr>
          <w:rFonts w:cstheme="minorHAnsi"/>
        </w:rPr>
        <w:t xml:space="preserve"> that describe which patients should be assessed for</w:t>
      </w:r>
      <w:r w:rsidR="004F0670" w:rsidRPr="00594434">
        <w:rPr>
          <w:rFonts w:cstheme="minorHAnsi"/>
        </w:rPr>
        <w:t xml:space="preserve"> osteoporosis</w:t>
      </w:r>
      <w:r w:rsidR="00B47F7E" w:rsidRPr="00594434">
        <w:rPr>
          <w:rFonts w:cstheme="minorHAnsi"/>
        </w:rPr>
        <w:t>.</w:t>
      </w:r>
      <w:r w:rsidR="005E25EB">
        <w:rPr>
          <w:rFonts w:cstheme="minorHAnsi"/>
        </w:rPr>
        <w:fldChar w:fldCharType="begin"/>
      </w:r>
      <w:r w:rsidR="005E25EB">
        <w:rPr>
          <w:rFonts w:cstheme="minorHAnsi"/>
        </w:rPr>
        <w:instrText xml:space="preserve"> NOTEREF _Ref158630712 \f \h </w:instrText>
      </w:r>
      <w:r w:rsidR="005E25EB">
        <w:rPr>
          <w:rFonts w:cstheme="minorHAnsi"/>
        </w:rPr>
      </w:r>
      <w:r w:rsidR="005E25EB">
        <w:rPr>
          <w:rFonts w:cstheme="minorHAnsi"/>
        </w:rPr>
        <w:fldChar w:fldCharType="separate"/>
      </w:r>
      <w:r w:rsidR="005E25EB" w:rsidRPr="005E25EB">
        <w:rPr>
          <w:rStyle w:val="EndnoteReference"/>
        </w:rPr>
        <w:t>13</w:t>
      </w:r>
      <w:r w:rsidR="005E25EB">
        <w:rPr>
          <w:rFonts w:cstheme="minorHAnsi"/>
        </w:rPr>
        <w:fldChar w:fldCharType="end"/>
      </w:r>
      <w:r w:rsidR="005E25EB">
        <w:rPr>
          <w:rFonts w:cstheme="minorHAnsi"/>
        </w:rPr>
        <w:t xml:space="preserve"> </w:t>
      </w:r>
      <w:r w:rsidR="00924255" w:rsidRPr="00594434">
        <w:rPr>
          <w:rFonts w:cstheme="minorHAnsi"/>
        </w:rPr>
        <w:t xml:space="preserve">These recommendations are available online: </w:t>
      </w:r>
    </w:p>
    <w:p w14:paraId="0DD9046E" w14:textId="77777777" w:rsidR="00924255" w:rsidRPr="00594434" w:rsidRDefault="00924255" w:rsidP="00F26A8C">
      <w:pPr>
        <w:spacing w:after="240" w:line="240" w:lineRule="auto"/>
        <w:contextualSpacing/>
        <w:rPr>
          <w:rFonts w:cstheme="minorHAnsi"/>
        </w:rPr>
      </w:pPr>
    </w:p>
    <w:p w14:paraId="5FBE9231" w14:textId="639F1AE4" w:rsidR="00924255" w:rsidRPr="00594434" w:rsidRDefault="002C1BDB" w:rsidP="00F26A8C">
      <w:pPr>
        <w:spacing w:after="240" w:line="240" w:lineRule="auto"/>
        <w:contextualSpacing/>
        <w:rPr>
          <w:rFonts w:cstheme="minorHAnsi"/>
        </w:rPr>
      </w:pPr>
      <w:hyperlink r:id="rId12" w:history="1">
        <w:r w:rsidR="00DA1268" w:rsidRPr="00594434">
          <w:rPr>
            <w:rStyle w:val="Hyperlink"/>
            <w:rFonts w:cstheme="minorHAnsi"/>
          </w:rPr>
          <w:t>https://www.bonehealthandosteoporosis.org/news/bone-health-and-osteoporosis-foundations-updated-clinicians-guide-to-prevention-and-treatment-of-osteoporosis-is-now-available/</w:t>
        </w:r>
      </w:hyperlink>
      <w:r w:rsidR="00DA1268" w:rsidRPr="00594434">
        <w:rPr>
          <w:rFonts w:cstheme="minorHAnsi"/>
        </w:rPr>
        <w:t xml:space="preserve"> </w:t>
      </w:r>
    </w:p>
    <w:p w14:paraId="31550D19" w14:textId="77777777" w:rsidR="00B61841" w:rsidRPr="00594434" w:rsidRDefault="00B61841" w:rsidP="00F26A8C">
      <w:pPr>
        <w:spacing w:after="240" w:line="240" w:lineRule="auto"/>
        <w:contextualSpacing/>
        <w:rPr>
          <w:rFonts w:cstheme="minorHAnsi"/>
        </w:rPr>
      </w:pPr>
    </w:p>
    <w:p w14:paraId="39D44C97" w14:textId="56188DB6" w:rsidR="000B4194" w:rsidRPr="00594434" w:rsidRDefault="00A4007B" w:rsidP="00F26A8C">
      <w:pPr>
        <w:spacing w:after="240" w:line="240" w:lineRule="auto"/>
        <w:contextualSpacing/>
        <w:rPr>
          <w:rFonts w:cstheme="minorHAnsi"/>
        </w:rPr>
      </w:pPr>
      <w:r w:rsidRPr="00594434">
        <w:rPr>
          <w:rFonts w:cstheme="minorHAnsi"/>
        </w:rPr>
        <w:t xml:space="preserve">In general, </w:t>
      </w:r>
      <w:r w:rsidR="00452E81" w:rsidRPr="00594434">
        <w:rPr>
          <w:rFonts w:cstheme="minorHAnsi"/>
        </w:rPr>
        <w:t>BHOF guidelines</w:t>
      </w:r>
      <w:r w:rsidRPr="00594434">
        <w:rPr>
          <w:rFonts w:cstheme="minorHAnsi"/>
        </w:rPr>
        <w:t xml:space="preserve"> recommend</w:t>
      </w:r>
      <w:r w:rsidR="00452E81" w:rsidRPr="00594434">
        <w:rPr>
          <w:rFonts w:cstheme="minorHAnsi"/>
        </w:rPr>
        <w:t xml:space="preserve"> </w:t>
      </w:r>
      <w:r w:rsidR="009C3D81" w:rsidRPr="00594434">
        <w:rPr>
          <w:rFonts w:cstheme="minorHAnsi"/>
        </w:rPr>
        <w:t>DXA-based</w:t>
      </w:r>
      <w:r w:rsidR="00C04A22" w:rsidRPr="00594434">
        <w:rPr>
          <w:rFonts w:cstheme="minorHAnsi"/>
        </w:rPr>
        <w:t xml:space="preserve"> BMD</w:t>
      </w:r>
      <w:r w:rsidR="00B940D8" w:rsidRPr="00594434">
        <w:rPr>
          <w:rFonts w:cstheme="minorHAnsi"/>
        </w:rPr>
        <w:t xml:space="preserve"> </w:t>
      </w:r>
      <w:r w:rsidR="005B67F8" w:rsidRPr="00594434">
        <w:rPr>
          <w:rFonts w:cstheme="minorHAnsi"/>
        </w:rPr>
        <w:t>testing</w:t>
      </w:r>
      <w:r w:rsidR="000B4194" w:rsidRPr="00594434">
        <w:rPr>
          <w:rFonts w:cstheme="minorHAnsi"/>
        </w:rPr>
        <w:t xml:space="preserve"> for the following</w:t>
      </w:r>
      <w:r w:rsidR="00996487" w:rsidRPr="00594434">
        <w:rPr>
          <w:rFonts w:cstheme="minorHAnsi"/>
        </w:rPr>
        <w:t xml:space="preserve"> patient groups</w:t>
      </w:r>
      <w:r w:rsidR="000B4194" w:rsidRPr="00594434">
        <w:rPr>
          <w:rFonts w:cstheme="minorHAnsi"/>
        </w:rPr>
        <w:t xml:space="preserve">: </w:t>
      </w:r>
    </w:p>
    <w:p w14:paraId="5086C382" w14:textId="38E67D04" w:rsidR="000D5A49" w:rsidRPr="00594434" w:rsidRDefault="000D5A49" w:rsidP="00F26A8C">
      <w:pPr>
        <w:pStyle w:val="ListParagraph"/>
        <w:numPr>
          <w:ilvl w:val="0"/>
          <w:numId w:val="2"/>
        </w:numPr>
        <w:spacing w:after="240" w:line="240" w:lineRule="auto"/>
        <w:rPr>
          <w:rFonts w:cstheme="minorHAnsi"/>
        </w:rPr>
      </w:pPr>
      <w:r w:rsidRPr="00594434">
        <w:rPr>
          <w:rFonts w:cstheme="minorHAnsi"/>
        </w:rPr>
        <w:t>Women aged ≥ 65 years and men aged ≥ 70 years</w:t>
      </w:r>
      <w:r w:rsidR="00FA463A" w:rsidRPr="00594434">
        <w:rPr>
          <w:rFonts w:cstheme="minorHAnsi"/>
        </w:rPr>
        <w:t xml:space="preserve"> regardless of </w:t>
      </w:r>
      <w:r w:rsidR="005713AC" w:rsidRPr="00594434">
        <w:rPr>
          <w:rFonts w:cstheme="minorHAnsi"/>
        </w:rPr>
        <w:t>clinical risk factors</w:t>
      </w:r>
      <w:r w:rsidRPr="00594434">
        <w:rPr>
          <w:rFonts w:cstheme="minorHAnsi"/>
        </w:rPr>
        <w:t>.</w:t>
      </w:r>
    </w:p>
    <w:p w14:paraId="7893E9F0" w14:textId="4792AB1F" w:rsidR="000D5A49" w:rsidRPr="00594434" w:rsidRDefault="000D5A49" w:rsidP="00F26A8C">
      <w:pPr>
        <w:pStyle w:val="ListParagraph"/>
        <w:numPr>
          <w:ilvl w:val="0"/>
          <w:numId w:val="2"/>
        </w:numPr>
        <w:spacing w:after="240" w:line="240" w:lineRule="auto"/>
        <w:rPr>
          <w:rFonts w:cstheme="minorHAnsi"/>
        </w:rPr>
      </w:pPr>
      <w:r w:rsidRPr="00594434">
        <w:rPr>
          <w:rFonts w:cstheme="minorHAnsi"/>
        </w:rPr>
        <w:t>Postmenopausal women</w:t>
      </w:r>
      <w:r w:rsidR="006A46C3" w:rsidRPr="00594434">
        <w:rPr>
          <w:rFonts w:cstheme="minorHAnsi"/>
        </w:rPr>
        <w:t xml:space="preserve"> and</w:t>
      </w:r>
      <w:r w:rsidR="003575BC" w:rsidRPr="00594434">
        <w:rPr>
          <w:rFonts w:cstheme="minorHAnsi"/>
        </w:rPr>
        <w:t xml:space="preserve"> </w:t>
      </w:r>
      <w:r w:rsidRPr="00594434">
        <w:rPr>
          <w:rFonts w:cstheme="minorHAnsi"/>
        </w:rPr>
        <w:t>men aged 50–69 years,</w:t>
      </w:r>
      <w:r w:rsidR="00F83D5A" w:rsidRPr="00594434">
        <w:rPr>
          <w:rFonts w:cstheme="minorHAnsi"/>
        </w:rPr>
        <w:t xml:space="preserve"> </w:t>
      </w:r>
      <w:r w:rsidRPr="00594434">
        <w:rPr>
          <w:rFonts w:cstheme="minorHAnsi"/>
        </w:rPr>
        <w:t>based on risk profile.</w:t>
      </w:r>
    </w:p>
    <w:p w14:paraId="756BE8DF" w14:textId="4B540A30" w:rsidR="000D5A49" w:rsidRPr="00594434" w:rsidRDefault="000D5A49" w:rsidP="00F26A8C">
      <w:pPr>
        <w:pStyle w:val="ListParagraph"/>
        <w:numPr>
          <w:ilvl w:val="0"/>
          <w:numId w:val="2"/>
        </w:numPr>
        <w:spacing w:after="240" w:line="240" w:lineRule="auto"/>
        <w:rPr>
          <w:rFonts w:cstheme="minorHAnsi"/>
        </w:rPr>
      </w:pPr>
      <w:r w:rsidRPr="00594434">
        <w:rPr>
          <w:rFonts w:cstheme="minorHAnsi"/>
        </w:rPr>
        <w:t>Postmenopausal women and men aged ≥ 50 years</w:t>
      </w:r>
      <w:r w:rsidR="00F83D5A" w:rsidRPr="00594434">
        <w:rPr>
          <w:rFonts w:cstheme="minorHAnsi"/>
        </w:rPr>
        <w:t xml:space="preserve"> </w:t>
      </w:r>
      <w:r w:rsidRPr="00594434">
        <w:rPr>
          <w:rFonts w:cstheme="minorHAnsi"/>
        </w:rPr>
        <w:t>with history of adult-age fracture.</w:t>
      </w:r>
    </w:p>
    <w:p w14:paraId="4F0C6262" w14:textId="1C6F21A6" w:rsidR="000D5A49" w:rsidRPr="00594434" w:rsidRDefault="000D5A49" w:rsidP="00F26A8C">
      <w:pPr>
        <w:pStyle w:val="ListParagraph"/>
        <w:numPr>
          <w:ilvl w:val="0"/>
          <w:numId w:val="2"/>
        </w:numPr>
        <w:spacing w:after="240" w:line="240" w:lineRule="auto"/>
        <w:rPr>
          <w:rFonts w:cstheme="minorHAnsi"/>
        </w:rPr>
      </w:pPr>
      <w:r w:rsidRPr="00594434">
        <w:rPr>
          <w:rFonts w:cstheme="minorHAnsi"/>
        </w:rPr>
        <w:t>DXA facilities</w:t>
      </w:r>
      <w:r w:rsidR="00B23F55" w:rsidRPr="00594434">
        <w:rPr>
          <w:rFonts w:cstheme="minorHAnsi"/>
        </w:rPr>
        <w:t xml:space="preserve"> are available</w:t>
      </w:r>
      <w:r w:rsidRPr="00594434">
        <w:rPr>
          <w:rFonts w:cstheme="minorHAnsi"/>
        </w:rPr>
        <w:t xml:space="preserve"> that employ accepted quality assurance</w:t>
      </w:r>
      <w:r w:rsidR="00F83D5A" w:rsidRPr="00594434">
        <w:rPr>
          <w:rFonts w:cstheme="minorHAnsi"/>
        </w:rPr>
        <w:t xml:space="preserve"> </w:t>
      </w:r>
      <w:r w:rsidRPr="00594434">
        <w:rPr>
          <w:rFonts w:cstheme="minorHAnsi"/>
        </w:rPr>
        <w:t>measures</w:t>
      </w:r>
    </w:p>
    <w:p w14:paraId="0517FB79" w14:textId="4BFFF7A9" w:rsidR="009F63FF" w:rsidRPr="00594434" w:rsidRDefault="00996487" w:rsidP="00F26A8C">
      <w:pPr>
        <w:spacing w:after="240" w:line="240" w:lineRule="auto"/>
        <w:contextualSpacing/>
        <w:rPr>
          <w:rFonts w:cstheme="minorHAnsi"/>
        </w:rPr>
      </w:pPr>
      <w:r w:rsidRPr="00594434">
        <w:rPr>
          <w:rFonts w:cstheme="minorHAnsi"/>
        </w:rPr>
        <w:t xml:space="preserve">Testing may also be reasonable for people outside these groups </w:t>
      </w:r>
      <w:r w:rsidR="00892E62" w:rsidRPr="00594434">
        <w:rPr>
          <w:rFonts w:cstheme="minorHAnsi"/>
        </w:rPr>
        <w:t xml:space="preserve">based on clinical assessment of fracture risk. </w:t>
      </w:r>
      <w:r w:rsidR="00B23F55" w:rsidRPr="00594434">
        <w:rPr>
          <w:rFonts w:cstheme="minorHAnsi"/>
        </w:rPr>
        <w:t>Guidelines note that</w:t>
      </w:r>
      <w:r w:rsidR="00750A0C" w:rsidRPr="00594434">
        <w:rPr>
          <w:rFonts w:cstheme="minorHAnsi"/>
        </w:rPr>
        <w:t xml:space="preserve"> BMD</w:t>
      </w:r>
      <w:r w:rsidR="00B23F55" w:rsidRPr="00594434">
        <w:rPr>
          <w:rFonts w:cstheme="minorHAnsi"/>
        </w:rPr>
        <w:t xml:space="preserve"> testing should be performed at t</w:t>
      </w:r>
      <w:r w:rsidR="000D5A49" w:rsidRPr="00594434">
        <w:rPr>
          <w:rFonts w:cstheme="minorHAnsi"/>
        </w:rPr>
        <w:t>he same facility and on the same densitometry device</w:t>
      </w:r>
      <w:r w:rsidR="00B23F55" w:rsidRPr="00594434">
        <w:rPr>
          <w:rFonts w:cstheme="minorHAnsi"/>
        </w:rPr>
        <w:t xml:space="preserve"> </w:t>
      </w:r>
      <w:r w:rsidR="000D5A49" w:rsidRPr="00594434">
        <w:rPr>
          <w:rFonts w:cstheme="minorHAnsi"/>
        </w:rPr>
        <w:t>for each test whenever possible.</w:t>
      </w:r>
    </w:p>
    <w:p w14:paraId="2ED8B9ED" w14:textId="77777777" w:rsidR="003C4D69" w:rsidRPr="00594434" w:rsidRDefault="003C4D69" w:rsidP="00F26A8C">
      <w:pPr>
        <w:spacing w:after="240" w:line="240" w:lineRule="auto"/>
        <w:contextualSpacing/>
        <w:rPr>
          <w:rFonts w:cstheme="minorHAnsi"/>
        </w:rPr>
      </w:pPr>
    </w:p>
    <w:p w14:paraId="0D668943" w14:textId="24AAAA40" w:rsidR="00D91062" w:rsidRPr="00594434" w:rsidRDefault="00D91062" w:rsidP="00D91062">
      <w:pPr>
        <w:spacing w:after="240" w:line="240" w:lineRule="auto"/>
        <w:contextualSpacing/>
        <w:rPr>
          <w:rFonts w:cstheme="minorHAnsi"/>
        </w:rPr>
      </w:pPr>
      <w:r w:rsidRPr="00594434">
        <w:rPr>
          <w:rFonts w:cstheme="minorHAnsi"/>
        </w:rPr>
        <w:t>These guidelines note that any bone broken in adulthood should be considered as suggestive of an osteoporosis diagnosis, regardless of cause; and a recent fracture at a major skeletal site in any person over the age of 50 should be considered a potential sign of osteoporosis that requires urgent assessment. However, guidelines note that fractures of the fingers, toes, face, and skull are not usually considered osteoporotic fractures since these fractures are often caused directly by trauma and are not related specifically to bone fragility.</w:t>
      </w:r>
      <w:r w:rsidR="00EB05CB">
        <w:rPr>
          <w:rFonts w:cstheme="minorHAnsi"/>
        </w:rPr>
        <w:fldChar w:fldCharType="begin"/>
      </w:r>
      <w:r w:rsidR="00EB05CB">
        <w:rPr>
          <w:rFonts w:cstheme="minorHAnsi"/>
        </w:rPr>
        <w:instrText xml:space="preserve"> NOTEREF _Ref158630712 \f \h </w:instrText>
      </w:r>
      <w:r w:rsidR="00EB05CB">
        <w:rPr>
          <w:rFonts w:cstheme="minorHAnsi"/>
        </w:rPr>
      </w:r>
      <w:r w:rsidR="00EB05CB">
        <w:rPr>
          <w:rFonts w:cstheme="minorHAnsi"/>
        </w:rPr>
        <w:fldChar w:fldCharType="separate"/>
      </w:r>
      <w:r w:rsidR="00EB05CB" w:rsidRPr="00EB05CB">
        <w:rPr>
          <w:rStyle w:val="EndnoteReference"/>
        </w:rPr>
        <w:t>13</w:t>
      </w:r>
      <w:r w:rsidR="00EB05CB">
        <w:rPr>
          <w:rFonts w:cstheme="minorHAnsi"/>
        </w:rPr>
        <w:fldChar w:fldCharType="end"/>
      </w:r>
      <w:r w:rsidR="00EB05CB">
        <w:rPr>
          <w:rFonts w:cstheme="minorHAnsi"/>
        </w:rPr>
        <w:t xml:space="preserve"> </w:t>
      </w:r>
      <w:r w:rsidRPr="00594434">
        <w:rPr>
          <w:rFonts w:cstheme="minorHAnsi"/>
        </w:rPr>
        <w:t>Guidelines also note that skeletal health should be evaluated before elective orthopedic procedures, with BMD included in the evaluation as needed based on the patient’s individual risk profile (eg, inflammatory arthritis, osteoarthritis, chronic kidney disease, adverse events from surgery, or other risk factors. The diagnostic process should rule out any secondary causes of bone loss, osteoporosis, or fractures, such as medical conditions or medications that can influence bone health. Testing for biochemical markers of bone turnover can help to identify the rate of bone loss in selected patients.</w:t>
      </w:r>
      <w:r w:rsidR="00EB05CB">
        <w:rPr>
          <w:rFonts w:cstheme="minorHAnsi"/>
        </w:rPr>
        <w:fldChar w:fldCharType="begin"/>
      </w:r>
      <w:r w:rsidR="00EB05CB">
        <w:rPr>
          <w:rFonts w:cstheme="minorHAnsi"/>
        </w:rPr>
        <w:instrText xml:space="preserve"> NOTEREF _Ref158630712 \f \h </w:instrText>
      </w:r>
      <w:r w:rsidR="00EB05CB">
        <w:rPr>
          <w:rFonts w:cstheme="minorHAnsi"/>
        </w:rPr>
      </w:r>
      <w:r w:rsidR="00EB05CB">
        <w:rPr>
          <w:rFonts w:cstheme="minorHAnsi"/>
        </w:rPr>
        <w:fldChar w:fldCharType="separate"/>
      </w:r>
      <w:r w:rsidR="00EB05CB" w:rsidRPr="00EB05CB">
        <w:rPr>
          <w:rStyle w:val="EndnoteReference"/>
        </w:rPr>
        <w:t>13</w:t>
      </w:r>
      <w:r w:rsidR="00EB05CB">
        <w:rPr>
          <w:rFonts w:cstheme="minorHAnsi"/>
        </w:rPr>
        <w:fldChar w:fldCharType="end"/>
      </w:r>
      <w:r w:rsidR="00EB05CB">
        <w:rPr>
          <w:rFonts w:cstheme="minorHAnsi"/>
        </w:rPr>
        <w:t xml:space="preserve"> </w:t>
      </w:r>
      <w:r w:rsidRPr="00594434">
        <w:rPr>
          <w:rFonts w:cstheme="minorHAnsi"/>
        </w:rPr>
        <w:t xml:space="preserve"> </w:t>
      </w:r>
    </w:p>
    <w:p w14:paraId="1C1193F4" w14:textId="77777777" w:rsidR="0028241E" w:rsidRPr="00594434" w:rsidRDefault="0028241E" w:rsidP="0028241E">
      <w:pPr>
        <w:spacing w:after="240" w:line="240" w:lineRule="auto"/>
        <w:contextualSpacing/>
        <w:rPr>
          <w:rFonts w:cstheme="minorHAnsi"/>
        </w:rPr>
      </w:pPr>
    </w:p>
    <w:p w14:paraId="10B3E8FC" w14:textId="5E1E8DF4" w:rsidR="0028241E" w:rsidRPr="00594434" w:rsidRDefault="0028241E" w:rsidP="0028241E">
      <w:pPr>
        <w:spacing w:after="240" w:line="240" w:lineRule="auto"/>
        <w:contextualSpacing/>
        <w:rPr>
          <w:rFonts w:cstheme="minorHAnsi"/>
        </w:rPr>
      </w:pPr>
      <w:r w:rsidRPr="00594434">
        <w:rPr>
          <w:rFonts w:cstheme="minorHAnsi"/>
          <w:highlight w:val="green"/>
        </w:rPr>
        <w:t xml:space="preserve">It is important to note that for someone with a diagnosis of osteoporosis based on adulthood fracture or T score (-2.5 or below), the diagnosis of </w:t>
      </w:r>
      <w:commentRangeStart w:id="15"/>
      <w:r w:rsidRPr="00594434">
        <w:rPr>
          <w:rFonts w:cstheme="minorHAnsi"/>
          <w:highlight w:val="green"/>
        </w:rPr>
        <w:t>osteoporosis</w:t>
      </w:r>
      <w:commentRangeEnd w:id="15"/>
      <w:r w:rsidR="00594434" w:rsidRPr="00594434">
        <w:rPr>
          <w:rStyle w:val="CommentReference"/>
          <w:rFonts w:cstheme="minorHAnsi"/>
          <w:sz w:val="22"/>
          <w:szCs w:val="22"/>
        </w:rPr>
        <w:commentReference w:id="15"/>
      </w:r>
      <w:r w:rsidRPr="00594434">
        <w:rPr>
          <w:rFonts w:cstheme="minorHAnsi"/>
          <w:highlight w:val="green"/>
        </w:rPr>
        <w:t xml:space="preserve"> is maintained even if </w:t>
      </w:r>
      <w:r w:rsidRPr="00862E3D">
        <w:rPr>
          <w:rFonts w:cstheme="minorHAnsi"/>
          <w:highlight w:val="yellow"/>
        </w:rPr>
        <w:t>subsequent DXA testing provides a T score reading above -2.5 (for example, after beginning treatment).</w:t>
      </w:r>
      <w:r w:rsidR="00EB05CB">
        <w:rPr>
          <w:rFonts w:cstheme="minorHAnsi"/>
          <w:highlight w:val="yellow"/>
        </w:rPr>
        <w:fldChar w:fldCharType="begin"/>
      </w:r>
      <w:r w:rsidR="00EB05CB">
        <w:rPr>
          <w:rFonts w:cstheme="minorHAnsi"/>
          <w:highlight w:val="yellow"/>
        </w:rPr>
        <w:instrText xml:space="preserve"> NOTEREF _Ref158630712 \f \h </w:instrText>
      </w:r>
      <w:r w:rsidR="00EB05CB">
        <w:rPr>
          <w:rFonts w:cstheme="minorHAnsi"/>
          <w:highlight w:val="yellow"/>
        </w:rPr>
      </w:r>
      <w:r w:rsidR="00EB05CB">
        <w:rPr>
          <w:rFonts w:cstheme="minorHAnsi"/>
          <w:highlight w:val="yellow"/>
        </w:rPr>
        <w:fldChar w:fldCharType="separate"/>
      </w:r>
      <w:r w:rsidR="00EB05CB" w:rsidRPr="00EB05CB">
        <w:rPr>
          <w:rStyle w:val="EndnoteReference"/>
          <w:highlight w:val="yellow"/>
        </w:rPr>
        <w:t>13</w:t>
      </w:r>
      <w:r w:rsidR="00EB05CB">
        <w:rPr>
          <w:rFonts w:cstheme="minorHAnsi"/>
          <w:highlight w:val="yellow"/>
        </w:rPr>
        <w:fldChar w:fldCharType="end"/>
      </w:r>
      <w:r w:rsidR="00EB05CB">
        <w:rPr>
          <w:rFonts w:cstheme="minorHAnsi"/>
        </w:rPr>
        <w:t xml:space="preserve"> </w:t>
      </w:r>
      <w:r w:rsidRPr="00594434">
        <w:rPr>
          <w:rFonts w:cstheme="minorHAnsi"/>
        </w:rPr>
        <w:t xml:space="preserve">  </w:t>
      </w:r>
    </w:p>
    <w:p w14:paraId="56837D30" w14:textId="77777777" w:rsidR="00D91062" w:rsidRPr="00594434" w:rsidRDefault="00D91062" w:rsidP="00F26A8C">
      <w:pPr>
        <w:spacing w:after="240" w:line="240" w:lineRule="auto"/>
        <w:contextualSpacing/>
        <w:rPr>
          <w:rFonts w:cstheme="minorHAnsi"/>
          <w:b/>
          <w:bCs/>
        </w:rPr>
      </w:pPr>
    </w:p>
    <w:p w14:paraId="5847E2A2" w14:textId="36631A99" w:rsidR="00BA3540" w:rsidRPr="00594434" w:rsidRDefault="000E394C" w:rsidP="00F26A8C">
      <w:pPr>
        <w:spacing w:after="240" w:line="240" w:lineRule="auto"/>
        <w:contextualSpacing/>
        <w:rPr>
          <w:rFonts w:cstheme="minorHAnsi"/>
          <w:b/>
          <w:bCs/>
        </w:rPr>
      </w:pPr>
      <w:bookmarkStart w:id="16" w:name="_Hlk158385729"/>
      <w:r w:rsidRPr="00594434">
        <w:rPr>
          <w:rFonts w:cstheme="minorHAnsi"/>
          <w:b/>
          <w:bCs/>
        </w:rPr>
        <w:t>Role of DXA</w:t>
      </w:r>
      <w:r w:rsidR="00EF4793" w:rsidRPr="00594434">
        <w:rPr>
          <w:rFonts w:cstheme="minorHAnsi"/>
          <w:b/>
          <w:bCs/>
        </w:rPr>
        <w:t xml:space="preserve"> in Determining BMD</w:t>
      </w:r>
      <w:r w:rsidRPr="00594434">
        <w:rPr>
          <w:rFonts w:cstheme="minorHAnsi"/>
          <w:b/>
          <w:bCs/>
        </w:rPr>
        <w:t xml:space="preserve"> </w:t>
      </w:r>
    </w:p>
    <w:bookmarkEnd w:id="16"/>
    <w:p w14:paraId="23141ECB" w14:textId="0312B028" w:rsidR="004A45BE" w:rsidRPr="00594434" w:rsidRDefault="00F462E9" w:rsidP="00F26A8C">
      <w:pPr>
        <w:spacing w:after="240" w:line="240" w:lineRule="auto"/>
        <w:contextualSpacing/>
        <w:rPr>
          <w:rFonts w:cstheme="minorHAnsi"/>
        </w:rPr>
      </w:pPr>
      <w:r w:rsidRPr="00594434">
        <w:rPr>
          <w:rFonts w:cstheme="minorHAnsi"/>
        </w:rPr>
        <w:t>The use of DXA for assessment of BMD is based on differing absorption of x-ray photons between bone and soft tissues. An x-ray source produces alternating high-energy (140 kVp) and low-energy (70-100 kVp) pulses, which allow bone to be measured separately from soft tissue.</w:t>
      </w:r>
      <w:r w:rsidR="00461A63">
        <w:rPr>
          <w:rFonts w:cstheme="minorHAnsi"/>
        </w:rPr>
        <w:fldChar w:fldCharType="begin"/>
      </w:r>
      <w:r w:rsidR="00461A63">
        <w:rPr>
          <w:rFonts w:cstheme="minorHAnsi"/>
        </w:rPr>
        <w:instrText xml:space="preserve"> NOTEREF _Ref158630149 \f \h </w:instrText>
      </w:r>
      <w:r w:rsidR="00461A63">
        <w:rPr>
          <w:rFonts w:cstheme="minorHAnsi"/>
        </w:rPr>
      </w:r>
      <w:r w:rsidR="00461A63">
        <w:rPr>
          <w:rFonts w:cstheme="minorHAnsi"/>
        </w:rPr>
        <w:fldChar w:fldCharType="separate"/>
      </w:r>
      <w:r w:rsidR="00461A63" w:rsidRPr="00461A63">
        <w:rPr>
          <w:rStyle w:val="EndnoteReference"/>
        </w:rPr>
        <w:t>9</w:t>
      </w:r>
      <w:r w:rsidR="00461A63">
        <w:rPr>
          <w:rFonts w:cstheme="minorHAnsi"/>
        </w:rPr>
        <w:fldChar w:fldCharType="end"/>
      </w:r>
      <w:r w:rsidR="00461A63">
        <w:rPr>
          <w:rFonts w:cstheme="minorHAnsi"/>
        </w:rPr>
        <w:t xml:space="preserve"> </w:t>
      </w:r>
      <w:r w:rsidRPr="00594434">
        <w:rPr>
          <w:rFonts w:cstheme="minorHAnsi"/>
        </w:rPr>
        <w:t xml:space="preserve"> </w:t>
      </w:r>
      <w:r w:rsidR="009F0C47" w:rsidRPr="00594434">
        <w:rPr>
          <w:rFonts w:cstheme="minorHAnsi"/>
          <w:highlight w:val="green"/>
        </w:rPr>
        <w:t>G</w:t>
      </w:r>
      <w:r w:rsidR="00BA3540" w:rsidRPr="00594434">
        <w:rPr>
          <w:rFonts w:cstheme="minorHAnsi"/>
          <w:highlight w:val="green"/>
        </w:rPr>
        <w:t xml:space="preserve">uidelines from the BHOF, </w:t>
      </w:r>
      <w:r w:rsidR="00BA3540" w:rsidRPr="00594434">
        <w:rPr>
          <w:rFonts w:cstheme="minorHAnsi"/>
          <w:highlight w:val="green"/>
        </w:rPr>
        <w:lastRenderedPageBreak/>
        <w:t>the American College of Radiology</w:t>
      </w:r>
      <w:r w:rsidR="002F34E4" w:rsidRPr="00594434">
        <w:rPr>
          <w:rFonts w:cstheme="minorHAnsi"/>
          <w:highlight w:val="green"/>
        </w:rPr>
        <w:t xml:space="preserve"> (ACR)</w:t>
      </w:r>
      <w:r w:rsidR="00BA3540" w:rsidRPr="00594434">
        <w:rPr>
          <w:rFonts w:cstheme="minorHAnsi"/>
          <w:highlight w:val="green"/>
        </w:rPr>
        <w:t>, the International Society of Clinical Densitometry (ISCD), and other organizations</w:t>
      </w:r>
      <w:r w:rsidR="009F0C47" w:rsidRPr="00594434">
        <w:rPr>
          <w:rFonts w:cstheme="minorHAnsi"/>
          <w:highlight w:val="green"/>
        </w:rPr>
        <w:t xml:space="preserve"> have established </w:t>
      </w:r>
      <w:r w:rsidR="00BA3540" w:rsidRPr="00594434">
        <w:rPr>
          <w:rFonts w:cstheme="minorHAnsi"/>
          <w:highlight w:val="green"/>
        </w:rPr>
        <w:t xml:space="preserve">DXA </w:t>
      </w:r>
      <w:r w:rsidR="00BA3540" w:rsidRPr="008A12A2">
        <w:rPr>
          <w:rFonts w:cstheme="minorHAnsi"/>
          <w:highlight w:val="yellow"/>
        </w:rPr>
        <w:t xml:space="preserve">measurement of hip and lumbar spine </w:t>
      </w:r>
      <w:r w:rsidR="009F0C47" w:rsidRPr="008A12A2">
        <w:rPr>
          <w:rFonts w:cstheme="minorHAnsi"/>
          <w:highlight w:val="yellow"/>
        </w:rPr>
        <w:t>a</w:t>
      </w:r>
      <w:r w:rsidR="00BA3540" w:rsidRPr="008A12A2">
        <w:rPr>
          <w:rFonts w:cstheme="minorHAnsi"/>
          <w:highlight w:val="yellow"/>
        </w:rPr>
        <w:t xml:space="preserve">s the preferred method for </w:t>
      </w:r>
      <w:r w:rsidR="00DF2E64" w:rsidRPr="008A12A2">
        <w:rPr>
          <w:rFonts w:cstheme="minorHAnsi"/>
          <w:highlight w:val="yellow"/>
        </w:rPr>
        <w:t>screening</w:t>
      </w:r>
      <w:r w:rsidR="00BA3540" w:rsidRPr="008A12A2">
        <w:rPr>
          <w:rFonts w:cstheme="minorHAnsi"/>
          <w:highlight w:val="yellow"/>
        </w:rPr>
        <w:t xml:space="preserve"> and/or confirming a diagnosis of osteoporosis, </w:t>
      </w:r>
      <w:commentRangeStart w:id="17"/>
      <w:r w:rsidR="00BA3540" w:rsidRPr="008A12A2">
        <w:rPr>
          <w:rFonts w:cstheme="minorHAnsi"/>
          <w:highlight w:val="yellow"/>
        </w:rPr>
        <w:t>predicting</w:t>
      </w:r>
      <w:commentRangeEnd w:id="17"/>
      <w:r w:rsidR="008A12A2">
        <w:rPr>
          <w:rStyle w:val="CommentReference"/>
        </w:rPr>
        <w:commentReference w:id="17"/>
      </w:r>
      <w:r w:rsidR="00BA3540" w:rsidRPr="008A12A2">
        <w:rPr>
          <w:rFonts w:cstheme="minorHAnsi"/>
          <w:highlight w:val="yellow"/>
        </w:rPr>
        <w:t xml:space="preserve"> future fracture risk, and monitoring patients over </w:t>
      </w:r>
      <w:commentRangeStart w:id="18"/>
      <w:r w:rsidR="00BA3540" w:rsidRPr="008A12A2">
        <w:rPr>
          <w:rFonts w:cstheme="minorHAnsi"/>
          <w:highlight w:val="yellow"/>
        </w:rPr>
        <w:t>time</w:t>
      </w:r>
      <w:commentRangeEnd w:id="18"/>
      <w:r w:rsidR="00594434" w:rsidRPr="008A12A2">
        <w:rPr>
          <w:rStyle w:val="CommentReference"/>
          <w:rFonts w:cstheme="minorHAnsi"/>
          <w:sz w:val="22"/>
          <w:szCs w:val="22"/>
          <w:highlight w:val="yellow"/>
        </w:rPr>
        <w:commentReference w:id="18"/>
      </w:r>
      <w:r w:rsidR="00BA3540" w:rsidRPr="00594434">
        <w:rPr>
          <w:rFonts w:cstheme="minorHAnsi"/>
        </w:rPr>
        <w:t>.</w:t>
      </w:r>
      <w:r w:rsidR="00461A63">
        <w:rPr>
          <w:rFonts w:cstheme="minorHAnsi"/>
        </w:rPr>
        <w:fldChar w:fldCharType="begin"/>
      </w:r>
      <w:r w:rsidR="00461A63">
        <w:rPr>
          <w:rFonts w:cstheme="minorHAnsi"/>
        </w:rPr>
        <w:instrText xml:space="preserve"> NOTEREF _Ref158630712 \f \h </w:instrText>
      </w:r>
      <w:r w:rsidR="00461A63">
        <w:rPr>
          <w:rFonts w:cstheme="minorHAnsi"/>
        </w:rPr>
      </w:r>
      <w:r w:rsidR="00461A63">
        <w:rPr>
          <w:rFonts w:cstheme="minorHAnsi"/>
        </w:rPr>
        <w:fldChar w:fldCharType="separate"/>
      </w:r>
      <w:r w:rsidR="00461A63" w:rsidRPr="00461A63">
        <w:rPr>
          <w:rStyle w:val="EndnoteReference"/>
        </w:rPr>
        <w:t>13</w:t>
      </w:r>
      <w:r w:rsidR="00461A63">
        <w:rPr>
          <w:rFonts w:cstheme="minorHAnsi"/>
        </w:rPr>
        <w:fldChar w:fldCharType="end"/>
      </w:r>
      <w:r w:rsidR="00461A63" w:rsidRPr="00461A63">
        <w:rPr>
          <w:rFonts w:cstheme="minorHAnsi"/>
          <w:vertAlign w:val="superscript"/>
        </w:rPr>
        <w:t>,</w:t>
      </w:r>
      <w:bookmarkStart w:id="19" w:name="_Ref158631959"/>
      <w:r w:rsidR="00461A63">
        <w:rPr>
          <w:rStyle w:val="EndnoteReference"/>
          <w:rFonts w:cstheme="minorHAnsi"/>
        </w:rPr>
        <w:endnoteReference w:id="18"/>
      </w:r>
      <w:bookmarkEnd w:id="19"/>
      <w:r w:rsidR="00461A63" w:rsidRPr="00461A63">
        <w:rPr>
          <w:rFonts w:cstheme="minorHAnsi"/>
          <w:vertAlign w:val="superscript"/>
        </w:rPr>
        <w:t>,</w:t>
      </w:r>
      <w:bookmarkStart w:id="20" w:name="_Ref158631969"/>
      <w:r w:rsidR="00461A63">
        <w:rPr>
          <w:rStyle w:val="EndnoteReference"/>
          <w:rFonts w:cstheme="minorHAnsi"/>
        </w:rPr>
        <w:endnoteReference w:id="19"/>
      </w:r>
      <w:bookmarkEnd w:id="20"/>
      <w:r w:rsidR="00461A63">
        <w:rPr>
          <w:rFonts w:cstheme="minorHAnsi"/>
        </w:rPr>
        <w:t xml:space="preserve"> </w:t>
      </w:r>
      <w:r w:rsidR="00BA3540" w:rsidRPr="00594434">
        <w:rPr>
          <w:rFonts w:cstheme="minorHAnsi"/>
        </w:rPr>
        <w:t xml:space="preserve"> </w:t>
      </w:r>
      <w:r w:rsidRPr="00594434">
        <w:rPr>
          <w:rFonts w:cstheme="minorHAnsi"/>
        </w:rPr>
        <w:t>DXA is preferred due to it high degree of reproducibility and accuracy, ease of acquisition, and relatively low radiation dose.</w:t>
      </w:r>
      <w:r w:rsidR="00461A63">
        <w:rPr>
          <w:rFonts w:cstheme="minorHAnsi"/>
        </w:rPr>
        <w:fldChar w:fldCharType="begin"/>
      </w:r>
      <w:r w:rsidR="00461A63">
        <w:rPr>
          <w:rFonts w:cstheme="minorHAnsi"/>
        </w:rPr>
        <w:instrText xml:space="preserve"> NOTEREF _Ref158630149 \f \h </w:instrText>
      </w:r>
      <w:r w:rsidR="00461A63">
        <w:rPr>
          <w:rFonts w:cstheme="minorHAnsi"/>
        </w:rPr>
      </w:r>
      <w:r w:rsidR="00461A63">
        <w:rPr>
          <w:rFonts w:cstheme="minorHAnsi"/>
        </w:rPr>
        <w:fldChar w:fldCharType="separate"/>
      </w:r>
      <w:r w:rsidR="00461A63" w:rsidRPr="00461A63">
        <w:rPr>
          <w:rStyle w:val="EndnoteReference"/>
        </w:rPr>
        <w:t>9</w:t>
      </w:r>
      <w:r w:rsidR="00461A63">
        <w:rPr>
          <w:rFonts w:cstheme="minorHAnsi"/>
        </w:rPr>
        <w:fldChar w:fldCharType="end"/>
      </w:r>
      <w:r w:rsidR="00461A63">
        <w:rPr>
          <w:rFonts w:cstheme="minorHAnsi"/>
        </w:rPr>
        <w:t xml:space="preserve"> </w:t>
      </w:r>
      <w:r w:rsidR="004A45BE" w:rsidRPr="00594434">
        <w:rPr>
          <w:rFonts w:cstheme="minorHAnsi"/>
        </w:rPr>
        <w:t xml:space="preserve">According to diagnostic criteria developed by the World Health Organization (WHO), </w:t>
      </w:r>
      <w:r w:rsidR="005D55EE" w:rsidRPr="00594434">
        <w:rPr>
          <w:rFonts w:cstheme="minorHAnsi"/>
        </w:rPr>
        <w:t xml:space="preserve">DXA-derived </w:t>
      </w:r>
      <w:r w:rsidR="004A45BE" w:rsidRPr="00594434">
        <w:rPr>
          <w:rFonts w:cstheme="minorHAnsi"/>
        </w:rPr>
        <w:t>BMD values</w:t>
      </w:r>
      <w:r w:rsidR="005D55EE" w:rsidRPr="00594434">
        <w:rPr>
          <w:rFonts w:cstheme="minorHAnsi"/>
        </w:rPr>
        <w:t xml:space="preserve"> </w:t>
      </w:r>
      <w:r w:rsidR="004A45BE" w:rsidRPr="00594434">
        <w:rPr>
          <w:rFonts w:cstheme="minorHAnsi"/>
        </w:rPr>
        <w:t>for postmenopausal women and for men over the age of 50 are classified into 3 levels:</w:t>
      </w:r>
      <w:commentRangeStart w:id="21"/>
      <w:r w:rsidR="00E0232F">
        <w:rPr>
          <w:rFonts w:cstheme="minorHAnsi"/>
        </w:rPr>
        <w:fldChar w:fldCharType="begin"/>
      </w:r>
      <w:r w:rsidR="00E0232F">
        <w:rPr>
          <w:rFonts w:cstheme="minorHAnsi"/>
        </w:rPr>
        <w:instrText xml:space="preserve"> NOTEREF _Ref158631837 \f \h </w:instrText>
      </w:r>
      <w:r w:rsidR="00E0232F">
        <w:rPr>
          <w:rFonts w:cstheme="minorHAnsi"/>
        </w:rPr>
      </w:r>
      <w:r w:rsidR="00E0232F">
        <w:rPr>
          <w:rFonts w:cstheme="minorHAnsi"/>
        </w:rPr>
        <w:fldChar w:fldCharType="separate"/>
      </w:r>
      <w:r w:rsidR="00E0232F" w:rsidRPr="00E0232F">
        <w:rPr>
          <w:rStyle w:val="EndnoteReference"/>
        </w:rPr>
        <w:t>14</w:t>
      </w:r>
      <w:r w:rsidR="00E0232F">
        <w:rPr>
          <w:rFonts w:cstheme="minorHAnsi"/>
        </w:rPr>
        <w:fldChar w:fldCharType="end"/>
      </w:r>
      <w:commentRangeEnd w:id="21"/>
      <w:r w:rsidR="00E0232F">
        <w:rPr>
          <w:rStyle w:val="CommentReference"/>
        </w:rPr>
        <w:commentReference w:id="21"/>
      </w:r>
      <w:r w:rsidR="004A45BE" w:rsidRPr="00594434">
        <w:rPr>
          <w:rFonts w:cstheme="minorHAnsi"/>
        </w:rPr>
        <w:t xml:space="preserve">  </w:t>
      </w:r>
    </w:p>
    <w:p w14:paraId="55EE20B8" w14:textId="77777777" w:rsidR="004A45BE" w:rsidRPr="00594434" w:rsidRDefault="004A45BE" w:rsidP="00F26A8C">
      <w:pPr>
        <w:pStyle w:val="ListParagraph"/>
        <w:numPr>
          <w:ilvl w:val="0"/>
          <w:numId w:val="5"/>
        </w:numPr>
        <w:spacing w:after="240" w:line="240" w:lineRule="auto"/>
        <w:rPr>
          <w:rFonts w:cstheme="minorHAnsi"/>
        </w:rPr>
      </w:pPr>
      <w:r w:rsidRPr="00594434">
        <w:rPr>
          <w:rFonts w:cstheme="minorHAnsi"/>
        </w:rPr>
        <w:t xml:space="preserve">Normal: BMD is within 1.0 standard deviations of the mean for a young-adult reference population (T score -1.0 and above) </w:t>
      </w:r>
    </w:p>
    <w:p w14:paraId="2B6A1DEB" w14:textId="77777777" w:rsidR="004A45BE" w:rsidRPr="00594434" w:rsidRDefault="004A45BE" w:rsidP="00F26A8C">
      <w:pPr>
        <w:pStyle w:val="ListParagraph"/>
        <w:numPr>
          <w:ilvl w:val="0"/>
          <w:numId w:val="5"/>
        </w:numPr>
        <w:spacing w:after="240" w:line="240" w:lineRule="auto"/>
        <w:rPr>
          <w:rFonts w:cstheme="minorHAnsi"/>
        </w:rPr>
      </w:pPr>
      <w:r w:rsidRPr="00594434">
        <w:rPr>
          <w:rFonts w:cstheme="minorHAnsi"/>
        </w:rPr>
        <w:t xml:space="preserve">Low bone mass (osteopenia): BMD is between 1.0 and 2.5 standard deviations below the mean young adult reference population (T score between -1.0 and -2.5) </w:t>
      </w:r>
    </w:p>
    <w:p w14:paraId="210A8981" w14:textId="0A8D2002" w:rsidR="004A45BE" w:rsidRPr="00594434" w:rsidRDefault="00C27D9C" w:rsidP="00F26A8C">
      <w:pPr>
        <w:pStyle w:val="ListParagraph"/>
        <w:numPr>
          <w:ilvl w:val="0"/>
          <w:numId w:val="5"/>
        </w:numPr>
        <w:spacing w:after="240" w:line="240" w:lineRule="auto"/>
        <w:rPr>
          <w:rFonts w:cstheme="minorHAnsi"/>
        </w:rPr>
      </w:pPr>
      <w:r w:rsidRPr="00594434">
        <w:rPr>
          <w:rFonts w:cstheme="minorHAnsi"/>
        </w:rPr>
        <w:t>Osteoporosis</w:t>
      </w:r>
      <w:r w:rsidR="004A45BE" w:rsidRPr="00594434">
        <w:rPr>
          <w:rFonts w:cstheme="minorHAnsi"/>
        </w:rPr>
        <w:t xml:space="preserve">: BMD is 2.5 standard deviations or more below the mean of the young adult reference population (T score at or below -2.5) </w:t>
      </w:r>
    </w:p>
    <w:p w14:paraId="2C49D821" w14:textId="4A94089B" w:rsidR="004A45BE" w:rsidRPr="00594434" w:rsidRDefault="004A45BE" w:rsidP="00F26A8C">
      <w:pPr>
        <w:spacing w:after="240" w:line="240" w:lineRule="auto"/>
        <w:contextualSpacing/>
        <w:rPr>
          <w:rFonts w:cstheme="minorHAnsi"/>
        </w:rPr>
      </w:pPr>
      <w:r w:rsidRPr="00594434">
        <w:rPr>
          <w:rFonts w:cstheme="minorHAnsi"/>
        </w:rPr>
        <w:t>These criteria are</w:t>
      </w:r>
      <w:r w:rsidR="00D94FDA" w:rsidRPr="00594434">
        <w:rPr>
          <w:rFonts w:cstheme="minorHAnsi"/>
        </w:rPr>
        <w:t xml:space="preserve"> usually</w:t>
      </w:r>
      <w:r w:rsidRPr="00594434">
        <w:rPr>
          <w:rFonts w:cstheme="minorHAnsi"/>
        </w:rPr>
        <w:t xml:space="preserve"> applied to central DXA measurement</w:t>
      </w:r>
      <w:r w:rsidR="00D94FDA" w:rsidRPr="00594434">
        <w:rPr>
          <w:rFonts w:cstheme="minorHAnsi"/>
        </w:rPr>
        <w:t>s</w:t>
      </w:r>
      <w:r w:rsidRPr="00594434">
        <w:rPr>
          <w:rFonts w:cstheme="minorHAnsi"/>
        </w:rPr>
        <w:t xml:space="preserve"> at the lumbar spine and femoral neck, using the lowest BMD value obtained from the lumbar spine, femoral neck of the hip, or proximal femur of the hip to diagnose osteoporosis.</w:t>
      </w:r>
      <w:bookmarkStart w:id="22" w:name="_Ref158631929"/>
      <w:r w:rsidR="00E0232F">
        <w:rPr>
          <w:rStyle w:val="EndnoteReference"/>
          <w:rFonts w:cstheme="minorHAnsi"/>
        </w:rPr>
        <w:endnoteReference w:id="20"/>
      </w:r>
      <w:bookmarkEnd w:id="22"/>
      <w:r w:rsidR="00E0232F">
        <w:rPr>
          <w:rFonts w:cstheme="minorHAnsi"/>
        </w:rPr>
        <w:t xml:space="preserve"> </w:t>
      </w:r>
      <w:r w:rsidRPr="00594434">
        <w:rPr>
          <w:rFonts w:cstheme="minorHAnsi"/>
        </w:rPr>
        <w:t>The distal 1/3 radius ma</w:t>
      </w:r>
      <w:r w:rsidR="00EF4793" w:rsidRPr="00594434">
        <w:rPr>
          <w:rFonts w:cstheme="minorHAnsi"/>
        </w:rPr>
        <w:t>y</w:t>
      </w:r>
      <w:r w:rsidRPr="00594434">
        <w:rPr>
          <w:rFonts w:cstheme="minorHAnsi"/>
        </w:rPr>
        <w:t xml:space="preserve"> be used in some circumstances, such as when spine/hip scans are not usable, the patient may have low forearm BMD, or as</w:t>
      </w:r>
      <w:r w:rsidR="00400C61" w:rsidRPr="00594434">
        <w:rPr>
          <w:rFonts w:cstheme="minorHAnsi"/>
        </w:rPr>
        <w:t xml:space="preserve"> otherwise</w:t>
      </w:r>
      <w:r w:rsidRPr="00594434">
        <w:rPr>
          <w:rFonts w:cstheme="minorHAnsi"/>
        </w:rPr>
        <w:t xml:space="preserve"> dictated by clinical judgment.</w:t>
      </w:r>
      <w:r w:rsidR="00E0232F">
        <w:rPr>
          <w:rFonts w:cstheme="minorHAnsi"/>
        </w:rPr>
        <w:fldChar w:fldCharType="begin"/>
      </w:r>
      <w:r w:rsidR="00E0232F">
        <w:rPr>
          <w:rFonts w:cstheme="minorHAnsi"/>
        </w:rPr>
        <w:instrText xml:space="preserve"> NOTEREF _Ref158630712 \f \h </w:instrText>
      </w:r>
      <w:r w:rsidR="00E0232F">
        <w:rPr>
          <w:rFonts w:cstheme="minorHAnsi"/>
        </w:rPr>
      </w:r>
      <w:r w:rsidR="00E0232F">
        <w:rPr>
          <w:rFonts w:cstheme="minorHAnsi"/>
        </w:rPr>
        <w:fldChar w:fldCharType="separate"/>
      </w:r>
      <w:r w:rsidR="00E0232F" w:rsidRPr="00E0232F">
        <w:rPr>
          <w:rStyle w:val="EndnoteReference"/>
        </w:rPr>
        <w:t>13</w:t>
      </w:r>
      <w:r w:rsidR="00E0232F">
        <w:rPr>
          <w:rFonts w:cstheme="minorHAnsi"/>
        </w:rPr>
        <w:fldChar w:fldCharType="end"/>
      </w:r>
      <w:r w:rsidR="00E0232F">
        <w:rPr>
          <w:rFonts w:cstheme="minorHAnsi"/>
        </w:rPr>
        <w:t xml:space="preserve"> </w:t>
      </w:r>
    </w:p>
    <w:p w14:paraId="6FFB41A6" w14:textId="77777777" w:rsidR="00AE4EA9" w:rsidRPr="00594434" w:rsidRDefault="00AE4EA9" w:rsidP="00F26A8C">
      <w:pPr>
        <w:spacing w:after="240" w:line="240" w:lineRule="auto"/>
        <w:contextualSpacing/>
        <w:rPr>
          <w:rFonts w:cstheme="minorHAnsi"/>
        </w:rPr>
      </w:pPr>
    </w:p>
    <w:p w14:paraId="5547C338" w14:textId="6BDDCD4D" w:rsidR="00400C61" w:rsidRPr="00594434" w:rsidRDefault="00AE4EA9" w:rsidP="00F26A8C">
      <w:pPr>
        <w:spacing w:after="240" w:line="240" w:lineRule="auto"/>
        <w:contextualSpacing/>
        <w:rPr>
          <w:rFonts w:cstheme="minorHAnsi"/>
        </w:rPr>
      </w:pPr>
      <w:r w:rsidRPr="00594434">
        <w:rPr>
          <w:rFonts w:cstheme="minorHAnsi"/>
        </w:rPr>
        <w:t>In addition to BMD, WHO criteria note that new fractures of the hip, spine, and/or forearm</w:t>
      </w:r>
      <w:r w:rsidR="00400C61" w:rsidRPr="00594434">
        <w:rPr>
          <w:rFonts w:cstheme="minorHAnsi"/>
        </w:rPr>
        <w:t xml:space="preserve"> in adults</w:t>
      </w:r>
      <w:r w:rsidRPr="00594434">
        <w:rPr>
          <w:rFonts w:cstheme="minorHAnsi"/>
        </w:rPr>
        <w:t xml:space="preserve"> are consistent with a diagnosis of osteoporosis, unless excluded by additional clinical evaluation and imaging.</w:t>
      </w:r>
      <w:r w:rsidR="00E0232F">
        <w:rPr>
          <w:rFonts w:cstheme="minorHAnsi"/>
        </w:rPr>
        <w:fldChar w:fldCharType="begin"/>
      </w:r>
      <w:r w:rsidR="00E0232F">
        <w:rPr>
          <w:rFonts w:cstheme="minorHAnsi"/>
        </w:rPr>
        <w:instrText xml:space="preserve"> NOTEREF _Ref158631837 \f \h </w:instrText>
      </w:r>
      <w:r w:rsidR="00E0232F">
        <w:rPr>
          <w:rFonts w:cstheme="minorHAnsi"/>
        </w:rPr>
      </w:r>
      <w:r w:rsidR="00E0232F">
        <w:rPr>
          <w:rFonts w:cstheme="minorHAnsi"/>
        </w:rPr>
        <w:fldChar w:fldCharType="separate"/>
      </w:r>
      <w:r w:rsidR="00E0232F" w:rsidRPr="00E0232F">
        <w:rPr>
          <w:rStyle w:val="EndnoteReference"/>
        </w:rPr>
        <w:t>14</w:t>
      </w:r>
      <w:r w:rsidR="00E0232F">
        <w:rPr>
          <w:rFonts w:cstheme="minorHAnsi"/>
        </w:rPr>
        <w:fldChar w:fldCharType="end"/>
      </w:r>
      <w:r w:rsidR="00E0232F">
        <w:rPr>
          <w:rFonts w:cstheme="minorHAnsi"/>
        </w:rPr>
        <w:t xml:space="preserve"> </w:t>
      </w:r>
    </w:p>
    <w:p w14:paraId="06B0395A" w14:textId="77777777" w:rsidR="00400C61" w:rsidRPr="00594434" w:rsidRDefault="00400C61" w:rsidP="00F26A8C">
      <w:pPr>
        <w:spacing w:after="240" w:line="240" w:lineRule="auto"/>
        <w:contextualSpacing/>
        <w:rPr>
          <w:rFonts w:cstheme="minorHAnsi"/>
        </w:rPr>
      </w:pPr>
    </w:p>
    <w:p w14:paraId="7E189BFE" w14:textId="77777777" w:rsidR="00AE4EA9" w:rsidRPr="00594434" w:rsidRDefault="00AE4EA9" w:rsidP="00F26A8C">
      <w:pPr>
        <w:spacing w:after="240" w:line="240" w:lineRule="auto"/>
        <w:contextualSpacing/>
        <w:rPr>
          <w:rFonts w:cstheme="minorHAnsi"/>
        </w:rPr>
      </w:pPr>
    </w:p>
    <w:p w14:paraId="42FE5746" w14:textId="0D7EB0CD" w:rsidR="00C135C9" w:rsidRPr="00594434" w:rsidRDefault="002D1FF0" w:rsidP="00F26A8C">
      <w:pPr>
        <w:spacing w:after="240" w:line="240" w:lineRule="auto"/>
        <w:contextualSpacing/>
        <w:rPr>
          <w:rFonts w:cstheme="minorHAnsi"/>
          <w:i/>
          <w:iCs/>
        </w:rPr>
      </w:pPr>
      <w:bookmarkStart w:id="23" w:name="_Hlk158385738"/>
      <w:r w:rsidRPr="00594434">
        <w:rPr>
          <w:rFonts w:cstheme="minorHAnsi"/>
          <w:i/>
          <w:iCs/>
        </w:rPr>
        <w:t xml:space="preserve">Peripheral Versus </w:t>
      </w:r>
      <w:r w:rsidR="00C135C9" w:rsidRPr="00594434">
        <w:rPr>
          <w:rFonts w:cstheme="minorHAnsi"/>
          <w:i/>
          <w:iCs/>
        </w:rPr>
        <w:t xml:space="preserve">Central DXA </w:t>
      </w:r>
    </w:p>
    <w:bookmarkEnd w:id="23"/>
    <w:p w14:paraId="58CE3452" w14:textId="65D4FAD2" w:rsidR="00BA3540" w:rsidRPr="00594434" w:rsidRDefault="00BA3540" w:rsidP="00F26A8C">
      <w:pPr>
        <w:spacing w:after="240" w:line="240" w:lineRule="auto"/>
        <w:contextualSpacing/>
        <w:rPr>
          <w:rFonts w:cstheme="minorHAnsi"/>
        </w:rPr>
      </w:pPr>
      <w:r w:rsidRPr="00594434">
        <w:rPr>
          <w:rFonts w:cstheme="minorHAnsi"/>
        </w:rPr>
        <w:t>Peripheral DXA devices are available for use in the office setting, and are capable of determining BMD values for sites such as the wrist, heel, or fingers.</w:t>
      </w:r>
      <w:r w:rsidR="00E0232F">
        <w:rPr>
          <w:rFonts w:cstheme="minorHAnsi"/>
        </w:rPr>
        <w:fldChar w:fldCharType="begin"/>
      </w:r>
      <w:r w:rsidR="00E0232F">
        <w:rPr>
          <w:rFonts w:cstheme="minorHAnsi"/>
        </w:rPr>
        <w:instrText xml:space="preserve"> NOTEREF _Ref158631929 \f \h </w:instrText>
      </w:r>
      <w:r w:rsidR="00E0232F">
        <w:rPr>
          <w:rFonts w:cstheme="minorHAnsi"/>
        </w:rPr>
      </w:r>
      <w:r w:rsidR="00E0232F">
        <w:rPr>
          <w:rFonts w:cstheme="minorHAnsi"/>
        </w:rPr>
        <w:fldChar w:fldCharType="separate"/>
      </w:r>
      <w:r w:rsidR="00E0232F" w:rsidRPr="00E0232F">
        <w:rPr>
          <w:rStyle w:val="EndnoteReference"/>
        </w:rPr>
        <w:t>20</w:t>
      </w:r>
      <w:r w:rsidR="00E0232F">
        <w:rPr>
          <w:rFonts w:cstheme="minorHAnsi"/>
        </w:rPr>
        <w:fldChar w:fldCharType="end"/>
      </w:r>
      <w:r w:rsidR="00E0232F">
        <w:rPr>
          <w:rFonts w:cstheme="minorHAnsi"/>
        </w:rPr>
        <w:t xml:space="preserve"> </w:t>
      </w:r>
      <w:r w:rsidRPr="00594434">
        <w:rPr>
          <w:rFonts w:cstheme="minorHAnsi"/>
        </w:rPr>
        <w:t>However, guidelines for screening and diagnosis of osteoporosis recommend the use of central DXA scanners.</w:t>
      </w:r>
      <w:r w:rsidR="00E0232F" w:rsidRPr="00617C94">
        <w:rPr>
          <w:rFonts w:cstheme="minorHAnsi"/>
          <w:vertAlign w:val="superscript"/>
        </w:rPr>
        <w:fldChar w:fldCharType="begin"/>
      </w:r>
      <w:r w:rsidR="00E0232F" w:rsidRPr="00617C94">
        <w:rPr>
          <w:rFonts w:cstheme="minorHAnsi"/>
          <w:vertAlign w:val="superscript"/>
        </w:rPr>
        <w:instrText xml:space="preserve"> NOTEREF _Ref158630712 \f \h </w:instrText>
      </w:r>
      <w:r w:rsidR="00617C94">
        <w:rPr>
          <w:rFonts w:cstheme="minorHAnsi"/>
          <w:vertAlign w:val="superscript"/>
        </w:rPr>
        <w:instrText xml:space="preserve"> \* MERGEFORMAT </w:instrText>
      </w:r>
      <w:r w:rsidR="00E0232F" w:rsidRPr="00617C94">
        <w:rPr>
          <w:rFonts w:cstheme="minorHAnsi"/>
          <w:vertAlign w:val="superscript"/>
        </w:rPr>
      </w:r>
      <w:r w:rsidR="00E0232F" w:rsidRPr="00617C94">
        <w:rPr>
          <w:rFonts w:cstheme="minorHAnsi"/>
          <w:vertAlign w:val="superscript"/>
        </w:rPr>
        <w:fldChar w:fldCharType="separate"/>
      </w:r>
      <w:r w:rsidR="00E0232F" w:rsidRPr="00617C94">
        <w:rPr>
          <w:rStyle w:val="EndnoteReference"/>
        </w:rPr>
        <w:t>13</w:t>
      </w:r>
      <w:r w:rsidR="00E0232F" w:rsidRPr="00617C94">
        <w:rPr>
          <w:rFonts w:cstheme="minorHAnsi"/>
          <w:vertAlign w:val="superscript"/>
        </w:rPr>
        <w:fldChar w:fldCharType="end"/>
      </w:r>
      <w:r w:rsidR="00617C94" w:rsidRPr="00617C94">
        <w:rPr>
          <w:rFonts w:cstheme="minorHAnsi"/>
          <w:vertAlign w:val="superscript"/>
        </w:rPr>
        <w:t>,</w:t>
      </w:r>
      <w:r w:rsidR="00617C94" w:rsidRPr="00617C94">
        <w:rPr>
          <w:rFonts w:cstheme="minorHAnsi"/>
          <w:vertAlign w:val="superscript"/>
        </w:rPr>
        <w:fldChar w:fldCharType="begin"/>
      </w:r>
      <w:r w:rsidR="00617C94" w:rsidRPr="00617C94">
        <w:rPr>
          <w:rFonts w:cstheme="minorHAnsi"/>
          <w:vertAlign w:val="superscript"/>
        </w:rPr>
        <w:instrText xml:space="preserve"> NOTEREF _Ref158631959 \f \h </w:instrText>
      </w:r>
      <w:r w:rsidR="00617C94">
        <w:rPr>
          <w:rFonts w:cstheme="minorHAnsi"/>
          <w:vertAlign w:val="superscript"/>
        </w:rPr>
        <w:instrText xml:space="preserve"> \* MERGEFORMAT </w:instrText>
      </w:r>
      <w:r w:rsidR="00617C94" w:rsidRPr="00617C94">
        <w:rPr>
          <w:rFonts w:cstheme="minorHAnsi"/>
          <w:vertAlign w:val="superscript"/>
        </w:rPr>
      </w:r>
      <w:r w:rsidR="00617C94" w:rsidRPr="00617C94">
        <w:rPr>
          <w:rFonts w:cstheme="minorHAnsi"/>
          <w:vertAlign w:val="superscript"/>
        </w:rPr>
        <w:fldChar w:fldCharType="separate"/>
      </w:r>
      <w:r w:rsidR="00617C94" w:rsidRPr="00617C94">
        <w:rPr>
          <w:rStyle w:val="EndnoteReference"/>
        </w:rPr>
        <w:t>18</w:t>
      </w:r>
      <w:r w:rsidR="00617C94" w:rsidRPr="00617C94">
        <w:rPr>
          <w:rFonts w:cstheme="minorHAnsi"/>
          <w:vertAlign w:val="superscript"/>
        </w:rPr>
        <w:fldChar w:fldCharType="end"/>
      </w:r>
      <w:r w:rsidR="00617C94" w:rsidRPr="00617C94">
        <w:rPr>
          <w:rFonts w:cstheme="minorHAnsi"/>
          <w:vertAlign w:val="superscript"/>
        </w:rPr>
        <w:t xml:space="preserve">, </w:t>
      </w:r>
      <w:r w:rsidR="00617C94" w:rsidRPr="00617C94">
        <w:rPr>
          <w:rFonts w:cstheme="minorHAnsi"/>
          <w:vertAlign w:val="superscript"/>
        </w:rPr>
        <w:fldChar w:fldCharType="begin"/>
      </w:r>
      <w:r w:rsidR="00617C94" w:rsidRPr="00617C94">
        <w:rPr>
          <w:rFonts w:cstheme="minorHAnsi"/>
          <w:vertAlign w:val="superscript"/>
        </w:rPr>
        <w:instrText xml:space="preserve"> NOTEREF _Ref158631969 \f \h </w:instrText>
      </w:r>
      <w:r w:rsidR="00617C94">
        <w:rPr>
          <w:rFonts w:cstheme="minorHAnsi"/>
          <w:vertAlign w:val="superscript"/>
        </w:rPr>
        <w:instrText xml:space="preserve"> \* MERGEFORMAT </w:instrText>
      </w:r>
      <w:r w:rsidR="00617C94" w:rsidRPr="00617C94">
        <w:rPr>
          <w:rFonts w:cstheme="minorHAnsi"/>
          <w:vertAlign w:val="superscript"/>
        </w:rPr>
      </w:r>
      <w:r w:rsidR="00617C94" w:rsidRPr="00617C94">
        <w:rPr>
          <w:rFonts w:cstheme="minorHAnsi"/>
          <w:vertAlign w:val="superscript"/>
        </w:rPr>
        <w:fldChar w:fldCharType="separate"/>
      </w:r>
      <w:r w:rsidR="00617C94" w:rsidRPr="00617C94">
        <w:rPr>
          <w:rStyle w:val="EndnoteReference"/>
        </w:rPr>
        <w:t>19</w:t>
      </w:r>
      <w:r w:rsidR="00617C94" w:rsidRPr="00617C94">
        <w:rPr>
          <w:rFonts w:cstheme="minorHAnsi"/>
          <w:vertAlign w:val="superscript"/>
        </w:rPr>
        <w:fldChar w:fldCharType="end"/>
      </w:r>
      <w:r w:rsidRPr="00594434">
        <w:rPr>
          <w:rFonts w:cstheme="minorHAnsi"/>
        </w:rPr>
        <w:t xml:space="preserve"> These larger devices use a flat table that allows scanning of central skeletal sites such as the spine and hip, as well as determination of whole-body BMD.</w:t>
      </w:r>
      <w:r w:rsidR="00C77D82">
        <w:rPr>
          <w:rFonts w:cstheme="minorHAnsi"/>
        </w:rPr>
        <w:fldChar w:fldCharType="begin"/>
      </w:r>
      <w:r w:rsidR="00C77D82">
        <w:rPr>
          <w:rFonts w:cstheme="minorHAnsi"/>
        </w:rPr>
        <w:instrText xml:space="preserve"> NOTEREF _Ref158631929 \f \h </w:instrText>
      </w:r>
      <w:r w:rsidR="00C77D82">
        <w:rPr>
          <w:rFonts w:cstheme="minorHAnsi"/>
        </w:rPr>
      </w:r>
      <w:r w:rsidR="00C77D82">
        <w:rPr>
          <w:rFonts w:cstheme="minorHAnsi"/>
        </w:rPr>
        <w:fldChar w:fldCharType="separate"/>
      </w:r>
      <w:r w:rsidR="00C77D82" w:rsidRPr="00C77D82">
        <w:rPr>
          <w:rStyle w:val="EndnoteReference"/>
        </w:rPr>
        <w:t>20</w:t>
      </w:r>
      <w:r w:rsidR="00C77D82">
        <w:rPr>
          <w:rFonts w:cstheme="minorHAnsi"/>
        </w:rPr>
        <w:fldChar w:fldCharType="end"/>
      </w:r>
      <w:r w:rsidRPr="00594434">
        <w:rPr>
          <w:rFonts w:cstheme="minorHAnsi"/>
        </w:rPr>
        <w:t xml:space="preserve"> </w:t>
      </w:r>
    </w:p>
    <w:p w14:paraId="67703FAE" w14:textId="77777777" w:rsidR="00BA3540" w:rsidRPr="00594434" w:rsidRDefault="00BA3540" w:rsidP="00F26A8C">
      <w:pPr>
        <w:spacing w:after="240" w:line="240" w:lineRule="auto"/>
        <w:contextualSpacing/>
        <w:rPr>
          <w:rFonts w:cstheme="minorHAnsi"/>
          <w:b/>
          <w:bCs/>
        </w:rPr>
      </w:pPr>
    </w:p>
    <w:p w14:paraId="35821FB5" w14:textId="4B453616" w:rsidR="00892E62" w:rsidRPr="00594434" w:rsidRDefault="00892E62" w:rsidP="00F26A8C">
      <w:pPr>
        <w:spacing w:after="240" w:line="240" w:lineRule="auto"/>
        <w:contextualSpacing/>
        <w:rPr>
          <w:rFonts w:cstheme="minorHAnsi"/>
          <w:i/>
          <w:iCs/>
        </w:rPr>
      </w:pPr>
      <w:bookmarkStart w:id="24" w:name="_Hlk158385745"/>
      <w:r w:rsidRPr="00594434">
        <w:rPr>
          <w:rFonts w:cstheme="minorHAnsi"/>
          <w:i/>
          <w:iCs/>
        </w:rPr>
        <w:t xml:space="preserve">Vertebral Fracture Assessment </w:t>
      </w:r>
    </w:p>
    <w:bookmarkEnd w:id="24"/>
    <w:p w14:paraId="359A060C" w14:textId="7F36F6DE" w:rsidR="00631E17" w:rsidRPr="00594434" w:rsidRDefault="008F6AD0" w:rsidP="00F26A8C">
      <w:pPr>
        <w:spacing w:after="240" w:line="240" w:lineRule="auto"/>
        <w:contextualSpacing/>
        <w:rPr>
          <w:rFonts w:cstheme="minorHAnsi"/>
        </w:rPr>
      </w:pPr>
      <w:r w:rsidRPr="00594434">
        <w:rPr>
          <w:rFonts w:cstheme="minorHAnsi"/>
        </w:rPr>
        <w:t xml:space="preserve">A major goal of testing for osteoporosis is to identify vertebral fractures, whether clinical or subclinical. Osteoporosis </w:t>
      </w:r>
      <w:r w:rsidR="00140893" w:rsidRPr="00594434">
        <w:rPr>
          <w:rFonts w:cstheme="minorHAnsi"/>
        </w:rPr>
        <w:t>guidelines</w:t>
      </w:r>
      <w:r w:rsidRPr="00594434">
        <w:rPr>
          <w:rFonts w:cstheme="minorHAnsi"/>
        </w:rPr>
        <w:t xml:space="preserve"> note that a vertebral fracture </w:t>
      </w:r>
      <w:r w:rsidR="009968C8" w:rsidRPr="00594434">
        <w:rPr>
          <w:rFonts w:cstheme="minorHAnsi"/>
        </w:rPr>
        <w:t xml:space="preserve">in an adult aged 50 or older is diagnostic for osteoporosis even in the absence of a bone density scan. </w:t>
      </w:r>
      <w:r w:rsidR="00BE3611" w:rsidRPr="00594434">
        <w:rPr>
          <w:rFonts w:cstheme="minorHAnsi"/>
        </w:rPr>
        <w:t>Most vertebral fractures are subclinical, and they may be completely asymptomatic. However, even these subclinical vertebral fractures are associated with a high risk of subsequent fractures and other complications.</w:t>
      </w:r>
      <w:r w:rsidR="00631E17" w:rsidRPr="00594434">
        <w:rPr>
          <w:rFonts w:cstheme="minorHAnsi"/>
        </w:rPr>
        <w:t xml:space="preserve"> DXA-assisted vertebral fracture detection has emerged in recent years as an alternative to lateral thoracic/lumbar spine radiography for detection of vertebral fractures due to factors such as convenience, low cost, and minimal radiation exposure.</w:t>
      </w:r>
      <w:r w:rsidR="00C77D82">
        <w:rPr>
          <w:rFonts w:cstheme="minorHAnsi"/>
        </w:rPr>
        <w:fldChar w:fldCharType="begin"/>
      </w:r>
      <w:r w:rsidR="00C77D82">
        <w:rPr>
          <w:rFonts w:cstheme="minorHAnsi"/>
        </w:rPr>
        <w:instrText xml:space="preserve"> NOTEREF _Ref158630712 \f \h </w:instrText>
      </w:r>
      <w:r w:rsidR="00C77D82">
        <w:rPr>
          <w:rFonts w:cstheme="minorHAnsi"/>
        </w:rPr>
      </w:r>
      <w:r w:rsidR="00C77D82">
        <w:rPr>
          <w:rFonts w:cstheme="minorHAnsi"/>
        </w:rPr>
        <w:fldChar w:fldCharType="separate"/>
      </w:r>
      <w:r w:rsidR="00C77D82" w:rsidRPr="00C77D82">
        <w:rPr>
          <w:rStyle w:val="EndnoteReference"/>
        </w:rPr>
        <w:t>13</w:t>
      </w:r>
      <w:r w:rsidR="00C77D82">
        <w:rPr>
          <w:rFonts w:cstheme="minorHAnsi"/>
        </w:rPr>
        <w:fldChar w:fldCharType="end"/>
      </w:r>
      <w:r w:rsidR="00631E17" w:rsidRPr="00594434">
        <w:rPr>
          <w:rFonts w:cstheme="minorHAnsi"/>
        </w:rPr>
        <w:t xml:space="preserve"> </w:t>
      </w:r>
      <w:r w:rsidR="009968C8" w:rsidRPr="00594434">
        <w:rPr>
          <w:rFonts w:cstheme="minorHAnsi"/>
        </w:rPr>
        <w:t>T</w:t>
      </w:r>
      <w:r w:rsidR="001854FA" w:rsidRPr="00594434">
        <w:rPr>
          <w:rFonts w:cstheme="minorHAnsi"/>
        </w:rPr>
        <w:t>o detect</w:t>
      </w:r>
      <w:r w:rsidR="006737C9" w:rsidRPr="00594434">
        <w:rPr>
          <w:rFonts w:cstheme="minorHAnsi"/>
        </w:rPr>
        <w:t xml:space="preserve"> potential</w:t>
      </w:r>
      <w:r w:rsidR="001854FA" w:rsidRPr="00594434">
        <w:rPr>
          <w:rFonts w:cstheme="minorHAnsi"/>
        </w:rPr>
        <w:t xml:space="preserve"> subclinical vertebral fractures, </w:t>
      </w:r>
      <w:r w:rsidR="000B1D5D" w:rsidRPr="00594434">
        <w:rPr>
          <w:rFonts w:cstheme="minorHAnsi"/>
        </w:rPr>
        <w:t>BHOF</w:t>
      </w:r>
      <w:r w:rsidR="005A45E9" w:rsidRPr="00594434">
        <w:rPr>
          <w:rFonts w:cstheme="minorHAnsi"/>
        </w:rPr>
        <w:t xml:space="preserve"> guidelines </w:t>
      </w:r>
      <w:r w:rsidR="006876B6" w:rsidRPr="00594434">
        <w:rPr>
          <w:rFonts w:cstheme="minorHAnsi"/>
        </w:rPr>
        <w:t>recommend vertebral imaging (X-ray or DXA) for the following:</w:t>
      </w:r>
      <w:r w:rsidR="00C77D82">
        <w:rPr>
          <w:rFonts w:cstheme="minorHAnsi"/>
        </w:rPr>
        <w:fldChar w:fldCharType="begin"/>
      </w:r>
      <w:r w:rsidR="00C77D82">
        <w:rPr>
          <w:rFonts w:cstheme="minorHAnsi"/>
        </w:rPr>
        <w:instrText xml:space="preserve"> NOTEREF _Ref158630712 \f \h </w:instrText>
      </w:r>
      <w:r w:rsidR="00C77D82">
        <w:rPr>
          <w:rFonts w:cstheme="minorHAnsi"/>
        </w:rPr>
      </w:r>
      <w:r w:rsidR="00C77D82">
        <w:rPr>
          <w:rFonts w:cstheme="minorHAnsi"/>
        </w:rPr>
        <w:fldChar w:fldCharType="separate"/>
      </w:r>
      <w:r w:rsidR="00C77D82" w:rsidRPr="00C77D82">
        <w:rPr>
          <w:rStyle w:val="EndnoteReference"/>
        </w:rPr>
        <w:t>13</w:t>
      </w:r>
      <w:r w:rsidR="00C77D82">
        <w:rPr>
          <w:rFonts w:cstheme="minorHAnsi"/>
        </w:rPr>
        <w:fldChar w:fldCharType="end"/>
      </w:r>
      <w:r w:rsidR="00C77D82">
        <w:rPr>
          <w:rFonts w:cstheme="minorHAnsi"/>
        </w:rPr>
        <w:t xml:space="preserve"> </w:t>
      </w:r>
    </w:p>
    <w:p w14:paraId="717E7A8A" w14:textId="4DE4E684" w:rsidR="00471FD5" w:rsidRPr="00594434" w:rsidRDefault="00471FD5" w:rsidP="00F26A8C">
      <w:pPr>
        <w:pStyle w:val="ListParagraph"/>
        <w:numPr>
          <w:ilvl w:val="0"/>
          <w:numId w:val="3"/>
        </w:numPr>
        <w:spacing w:after="240" w:line="240" w:lineRule="auto"/>
        <w:rPr>
          <w:rFonts w:cstheme="minorHAnsi"/>
        </w:rPr>
      </w:pPr>
      <w:r w:rsidRPr="00594434">
        <w:rPr>
          <w:rFonts w:cstheme="minorHAnsi"/>
        </w:rPr>
        <w:t>Women aged 65 years and older if T-score is less than or equal to −1.0 at the femoral neck</w:t>
      </w:r>
    </w:p>
    <w:p w14:paraId="7BAB75BD" w14:textId="14156498" w:rsidR="00471FD5" w:rsidRPr="00594434" w:rsidRDefault="00471FD5" w:rsidP="00F26A8C">
      <w:pPr>
        <w:pStyle w:val="ListParagraph"/>
        <w:numPr>
          <w:ilvl w:val="0"/>
          <w:numId w:val="3"/>
        </w:numPr>
        <w:spacing w:after="240" w:line="240" w:lineRule="auto"/>
        <w:rPr>
          <w:rFonts w:cstheme="minorHAnsi"/>
        </w:rPr>
      </w:pPr>
      <w:r w:rsidRPr="00594434">
        <w:rPr>
          <w:rFonts w:cstheme="minorHAnsi"/>
        </w:rPr>
        <w:t>Women aged 70 years or older and men aged 80 years or older if T-score is less than or equal to −1.0 at the lumbar spine, total hip, or femoral neck</w:t>
      </w:r>
    </w:p>
    <w:p w14:paraId="14DE1CBA" w14:textId="657B0434" w:rsidR="00471FD5" w:rsidRPr="00594434" w:rsidRDefault="00471FD5" w:rsidP="00F26A8C">
      <w:pPr>
        <w:pStyle w:val="ListParagraph"/>
        <w:numPr>
          <w:ilvl w:val="0"/>
          <w:numId w:val="3"/>
        </w:numPr>
        <w:spacing w:after="240" w:line="240" w:lineRule="auto"/>
        <w:rPr>
          <w:rFonts w:cstheme="minorHAnsi"/>
        </w:rPr>
      </w:pPr>
      <w:r w:rsidRPr="00594434">
        <w:rPr>
          <w:rFonts w:cstheme="minorHAnsi"/>
        </w:rPr>
        <w:lastRenderedPageBreak/>
        <w:t xml:space="preserve">Men aged 70–79 years if T-score is less than or equal to −1.5 at the lumbar spine, total hip, or femoral neck </w:t>
      </w:r>
    </w:p>
    <w:p w14:paraId="2C2ECD77" w14:textId="37AF5ED7" w:rsidR="006876B6" w:rsidRPr="00594434" w:rsidRDefault="00471FD5" w:rsidP="00F26A8C">
      <w:pPr>
        <w:pStyle w:val="ListParagraph"/>
        <w:numPr>
          <w:ilvl w:val="0"/>
          <w:numId w:val="3"/>
        </w:numPr>
        <w:spacing w:after="240" w:line="240" w:lineRule="auto"/>
        <w:rPr>
          <w:rFonts w:cstheme="minorHAnsi"/>
        </w:rPr>
      </w:pPr>
      <w:r w:rsidRPr="00594434">
        <w:rPr>
          <w:rFonts w:cstheme="minorHAnsi"/>
        </w:rPr>
        <w:t>Postmenopausal women and men aged ≥ 50 years with the following specific risk factors:</w:t>
      </w:r>
      <w:r w:rsidR="00226D80" w:rsidRPr="00594434">
        <w:rPr>
          <w:rFonts w:cstheme="minorHAnsi"/>
        </w:rPr>
        <w:t xml:space="preserve"> </w:t>
      </w:r>
    </w:p>
    <w:p w14:paraId="6984B740" w14:textId="77777777" w:rsidR="002242E4" w:rsidRPr="00594434" w:rsidRDefault="001D11B4" w:rsidP="00F26A8C">
      <w:pPr>
        <w:pStyle w:val="ListParagraph"/>
        <w:numPr>
          <w:ilvl w:val="1"/>
          <w:numId w:val="3"/>
        </w:numPr>
        <w:spacing w:after="240" w:line="240" w:lineRule="auto"/>
        <w:rPr>
          <w:rFonts w:cstheme="minorHAnsi"/>
        </w:rPr>
      </w:pPr>
      <w:r w:rsidRPr="00594434">
        <w:rPr>
          <w:rFonts w:cstheme="minorHAnsi"/>
        </w:rPr>
        <w:t>Fracture(s) during adulthood (any cause)</w:t>
      </w:r>
      <w:r w:rsidR="002242E4" w:rsidRPr="00594434">
        <w:rPr>
          <w:rFonts w:cstheme="minorHAnsi"/>
        </w:rPr>
        <w:t xml:space="preserve"> </w:t>
      </w:r>
    </w:p>
    <w:p w14:paraId="6FF7D4FF" w14:textId="482D9F10" w:rsidR="001D11B4" w:rsidRPr="00594434" w:rsidRDefault="001D11B4" w:rsidP="00F26A8C">
      <w:pPr>
        <w:pStyle w:val="ListParagraph"/>
        <w:numPr>
          <w:ilvl w:val="1"/>
          <w:numId w:val="3"/>
        </w:numPr>
        <w:spacing w:after="240" w:line="240" w:lineRule="auto"/>
        <w:rPr>
          <w:rFonts w:cstheme="minorHAnsi"/>
        </w:rPr>
      </w:pPr>
      <w:r w:rsidRPr="00594434">
        <w:rPr>
          <w:rFonts w:cstheme="minorHAnsi"/>
        </w:rPr>
        <w:t>Historical height loss of ≥1.5 in. (defined as the</w:t>
      </w:r>
      <w:r w:rsidR="009467C9" w:rsidRPr="00594434">
        <w:rPr>
          <w:rFonts w:cstheme="minorHAnsi"/>
        </w:rPr>
        <w:t xml:space="preserve"> </w:t>
      </w:r>
      <w:r w:rsidRPr="00594434">
        <w:rPr>
          <w:rFonts w:cstheme="minorHAnsi"/>
        </w:rPr>
        <w:t>difference between the current height and peak</w:t>
      </w:r>
      <w:r w:rsidR="009467C9" w:rsidRPr="00594434">
        <w:rPr>
          <w:rFonts w:cstheme="minorHAnsi"/>
        </w:rPr>
        <w:t xml:space="preserve"> </w:t>
      </w:r>
      <w:r w:rsidRPr="00594434">
        <w:rPr>
          <w:rFonts w:cstheme="minorHAnsi"/>
        </w:rPr>
        <w:t xml:space="preserve">height) </w:t>
      </w:r>
    </w:p>
    <w:p w14:paraId="223222CB" w14:textId="45EDF2DE" w:rsidR="001D11B4" w:rsidRPr="00594434" w:rsidRDefault="001D11B4" w:rsidP="00F26A8C">
      <w:pPr>
        <w:pStyle w:val="ListParagraph"/>
        <w:numPr>
          <w:ilvl w:val="1"/>
          <w:numId w:val="3"/>
        </w:numPr>
        <w:spacing w:after="240" w:line="240" w:lineRule="auto"/>
        <w:rPr>
          <w:rFonts w:cstheme="minorHAnsi"/>
        </w:rPr>
      </w:pPr>
      <w:r w:rsidRPr="00594434">
        <w:rPr>
          <w:rFonts w:cstheme="minorHAnsi"/>
        </w:rPr>
        <w:t>Prospective height loss of ≥ 0.8 in. (defined as</w:t>
      </w:r>
      <w:r w:rsidR="009467C9" w:rsidRPr="00594434">
        <w:rPr>
          <w:rFonts w:cstheme="minorHAnsi"/>
        </w:rPr>
        <w:t xml:space="preserve"> </w:t>
      </w:r>
      <w:r w:rsidRPr="00594434">
        <w:rPr>
          <w:rFonts w:cstheme="minorHAnsi"/>
        </w:rPr>
        <w:t>the difference between the current height and</w:t>
      </w:r>
      <w:r w:rsidR="009467C9" w:rsidRPr="00594434">
        <w:rPr>
          <w:rFonts w:cstheme="minorHAnsi"/>
        </w:rPr>
        <w:t xml:space="preserve"> </w:t>
      </w:r>
      <w:r w:rsidRPr="00594434">
        <w:rPr>
          <w:rFonts w:cstheme="minorHAnsi"/>
        </w:rPr>
        <w:t>last documented height measurement)</w:t>
      </w:r>
    </w:p>
    <w:p w14:paraId="1ACA91A4" w14:textId="60ADD457" w:rsidR="001D11B4" w:rsidRPr="00594434" w:rsidRDefault="001D11B4" w:rsidP="00F26A8C">
      <w:pPr>
        <w:pStyle w:val="ListParagraph"/>
        <w:numPr>
          <w:ilvl w:val="1"/>
          <w:numId w:val="3"/>
        </w:numPr>
        <w:spacing w:after="240" w:line="240" w:lineRule="auto"/>
        <w:rPr>
          <w:rFonts w:cstheme="minorHAnsi"/>
        </w:rPr>
      </w:pPr>
      <w:r w:rsidRPr="00594434">
        <w:rPr>
          <w:rFonts w:cstheme="minorHAnsi"/>
        </w:rPr>
        <w:t>Recent or ongoing long-term glucocorticoid</w:t>
      </w:r>
      <w:r w:rsidR="009467C9" w:rsidRPr="00594434">
        <w:rPr>
          <w:rFonts w:cstheme="minorHAnsi"/>
        </w:rPr>
        <w:t xml:space="preserve"> </w:t>
      </w:r>
      <w:r w:rsidRPr="00594434">
        <w:rPr>
          <w:rFonts w:cstheme="minorHAnsi"/>
        </w:rPr>
        <w:t>treatment</w:t>
      </w:r>
    </w:p>
    <w:p w14:paraId="2FBDF638" w14:textId="14EE3657" w:rsidR="001D11B4" w:rsidRPr="00594434" w:rsidRDefault="001D11B4" w:rsidP="00F26A8C">
      <w:pPr>
        <w:pStyle w:val="ListParagraph"/>
        <w:numPr>
          <w:ilvl w:val="1"/>
          <w:numId w:val="3"/>
        </w:numPr>
        <w:spacing w:after="240" w:line="240" w:lineRule="auto"/>
        <w:rPr>
          <w:rFonts w:cstheme="minorHAnsi"/>
        </w:rPr>
      </w:pPr>
      <w:r w:rsidRPr="00594434">
        <w:rPr>
          <w:rFonts w:cstheme="minorHAnsi"/>
        </w:rPr>
        <w:t xml:space="preserve">Diagnosis of hyperparathyroidism </w:t>
      </w:r>
      <w:r w:rsidR="009467C9" w:rsidRPr="00594434">
        <w:rPr>
          <w:rFonts w:cstheme="minorHAnsi"/>
        </w:rPr>
        <w:t xml:space="preserve"> </w:t>
      </w:r>
    </w:p>
    <w:p w14:paraId="5C0BDF2E" w14:textId="169914D8" w:rsidR="00446A49" w:rsidRPr="00594434" w:rsidRDefault="00446A49" w:rsidP="00F26A8C">
      <w:pPr>
        <w:spacing w:after="240" w:line="240" w:lineRule="auto"/>
        <w:contextualSpacing/>
        <w:rPr>
          <w:rFonts w:cstheme="minorHAnsi"/>
          <w:b/>
          <w:bCs/>
        </w:rPr>
      </w:pPr>
    </w:p>
    <w:p w14:paraId="5BD43977" w14:textId="68D23528" w:rsidR="002A5F0A" w:rsidRPr="00594434" w:rsidRDefault="002A5F0A" w:rsidP="00F26A8C">
      <w:pPr>
        <w:spacing w:after="240" w:line="240" w:lineRule="auto"/>
        <w:contextualSpacing/>
        <w:rPr>
          <w:rFonts w:cstheme="minorHAnsi"/>
          <w:i/>
          <w:iCs/>
        </w:rPr>
      </w:pPr>
      <w:bookmarkStart w:id="25" w:name="_Hlk158385751"/>
      <w:r w:rsidRPr="00594434">
        <w:rPr>
          <w:rFonts w:cstheme="minorHAnsi"/>
          <w:i/>
          <w:iCs/>
        </w:rPr>
        <w:t>FRAX</w:t>
      </w:r>
      <w:r w:rsidR="00A952A8" w:rsidRPr="00594434">
        <w:rPr>
          <w:rFonts w:cstheme="minorHAnsi"/>
          <w:i/>
          <w:iCs/>
        </w:rPr>
        <w:t>® Score</w:t>
      </w:r>
    </w:p>
    <w:bookmarkEnd w:id="25"/>
    <w:p w14:paraId="0EBDE7F8" w14:textId="4122E6C9" w:rsidR="002A5F0A" w:rsidRPr="00594434" w:rsidRDefault="00FE228B" w:rsidP="00F26A8C">
      <w:pPr>
        <w:spacing w:after="240" w:line="240" w:lineRule="auto"/>
        <w:contextualSpacing/>
        <w:rPr>
          <w:rFonts w:cstheme="minorHAnsi"/>
        </w:rPr>
      </w:pPr>
      <w:r w:rsidRPr="00594434">
        <w:rPr>
          <w:rFonts w:cstheme="minorHAnsi"/>
        </w:rPr>
        <w:t xml:space="preserve">A DXA examination for </w:t>
      </w:r>
      <w:r w:rsidR="00471C67" w:rsidRPr="00594434">
        <w:rPr>
          <w:rFonts w:cstheme="minorHAnsi"/>
        </w:rPr>
        <w:t>osteoporosis</w:t>
      </w:r>
      <w:r w:rsidR="002A5F0A" w:rsidRPr="00594434">
        <w:rPr>
          <w:rFonts w:cstheme="minorHAnsi"/>
        </w:rPr>
        <w:t xml:space="preserve"> may also </w:t>
      </w:r>
      <w:r w:rsidRPr="00594434">
        <w:rPr>
          <w:rFonts w:cstheme="minorHAnsi"/>
        </w:rPr>
        <w:t>include</w:t>
      </w:r>
      <w:r w:rsidR="002A5F0A" w:rsidRPr="00594434">
        <w:rPr>
          <w:rFonts w:cstheme="minorHAnsi"/>
        </w:rPr>
        <w:t xml:space="preserve"> the Fracture </w:t>
      </w:r>
      <w:commentRangeStart w:id="26"/>
      <w:r w:rsidR="002A5F0A" w:rsidRPr="00594434">
        <w:rPr>
          <w:rFonts w:cstheme="minorHAnsi"/>
        </w:rPr>
        <w:t>Risk</w:t>
      </w:r>
      <w:commentRangeEnd w:id="26"/>
      <w:r w:rsidR="00F31F2C">
        <w:rPr>
          <w:rStyle w:val="CommentReference"/>
        </w:rPr>
        <w:commentReference w:id="26"/>
      </w:r>
      <w:r w:rsidR="002A5F0A" w:rsidRPr="00594434">
        <w:rPr>
          <w:rFonts w:cstheme="minorHAnsi"/>
        </w:rPr>
        <w:t xml:space="preserve"> Assessment Tool (FRAX</w:t>
      </w:r>
      <w:r w:rsidR="002A5F0A" w:rsidRPr="00F31F2C">
        <w:rPr>
          <w:rFonts w:cstheme="minorHAnsi"/>
          <w:highlight w:val="yellow"/>
        </w:rPr>
        <w:t>®). FRAX® uses BMD plus several other fracture risk factors (including age, sex, alcohol intake, body mass index, glucocorticoid intake, and smoking status) to calculate a</w:t>
      </w:r>
      <w:r w:rsidR="005E777E" w:rsidRPr="00F31F2C">
        <w:rPr>
          <w:rFonts w:cstheme="minorHAnsi"/>
          <w:highlight w:val="yellow"/>
        </w:rPr>
        <w:t>n individualized</w:t>
      </w:r>
      <w:r w:rsidR="002A5F0A" w:rsidRPr="00F31F2C">
        <w:rPr>
          <w:rFonts w:cstheme="minorHAnsi"/>
          <w:highlight w:val="yellow"/>
        </w:rPr>
        <w:t xml:space="preserve"> 10-year risk of fracture.</w:t>
      </w:r>
      <w:r w:rsidR="00025F16">
        <w:rPr>
          <w:rStyle w:val="EndnoteReference"/>
          <w:rFonts w:cstheme="minorHAnsi"/>
          <w:highlight w:val="yellow"/>
        </w:rPr>
        <w:endnoteReference w:id="21"/>
      </w:r>
      <w:r w:rsidR="00025F16">
        <w:rPr>
          <w:rFonts w:cstheme="minorHAnsi"/>
          <w:highlight w:val="yellow"/>
        </w:rPr>
        <w:t xml:space="preserve"> </w:t>
      </w:r>
      <w:r w:rsidR="002A5F0A" w:rsidRPr="00594434">
        <w:rPr>
          <w:rFonts w:cstheme="minorHAnsi"/>
        </w:rPr>
        <w:t>According to WHO criteria, an alternative definition of osteoporosis is the presence of low bone mass (</w:t>
      </w:r>
      <w:r w:rsidR="00604A4C" w:rsidRPr="00594434">
        <w:rPr>
          <w:rFonts w:cstheme="minorHAnsi"/>
        </w:rPr>
        <w:t>defined as a</w:t>
      </w:r>
      <w:r w:rsidR="002A5F0A" w:rsidRPr="00594434">
        <w:rPr>
          <w:rFonts w:cstheme="minorHAnsi"/>
        </w:rPr>
        <w:t xml:space="preserve"> T score between -1.0 and -2.5 at the femoral neck or total hip by DXA) accompanied by a FRAX-projected 10-year risk of at least 3% for hip fracture and/or 20% for major osteoporosis-related fracture (ie, clinical vertebral, hip, forearm, or proximal humerus).</w:t>
      </w:r>
      <w:r w:rsidR="009F0CC6" w:rsidRPr="009F0CC6">
        <w:rPr>
          <w:rFonts w:cstheme="minorHAnsi"/>
          <w:vertAlign w:val="superscript"/>
        </w:rPr>
        <w:fldChar w:fldCharType="begin"/>
      </w:r>
      <w:r w:rsidR="009F0CC6" w:rsidRPr="009F0CC6">
        <w:rPr>
          <w:rFonts w:cstheme="minorHAnsi"/>
          <w:vertAlign w:val="superscript"/>
        </w:rPr>
        <w:instrText xml:space="preserve"> NOTEREF _Ref158630712 \f \h </w:instrText>
      </w:r>
      <w:r w:rsidR="009F0CC6">
        <w:rPr>
          <w:rFonts w:cstheme="minorHAnsi"/>
          <w:vertAlign w:val="superscript"/>
        </w:rPr>
        <w:instrText xml:space="preserve"> \* MERGEFORMAT </w:instrText>
      </w:r>
      <w:r w:rsidR="009F0CC6" w:rsidRPr="009F0CC6">
        <w:rPr>
          <w:rFonts w:cstheme="minorHAnsi"/>
          <w:vertAlign w:val="superscript"/>
        </w:rPr>
      </w:r>
      <w:r w:rsidR="009F0CC6" w:rsidRPr="009F0CC6">
        <w:rPr>
          <w:rFonts w:cstheme="minorHAnsi"/>
          <w:vertAlign w:val="superscript"/>
        </w:rPr>
        <w:fldChar w:fldCharType="separate"/>
      </w:r>
      <w:r w:rsidR="009F0CC6" w:rsidRPr="009F0CC6">
        <w:rPr>
          <w:rStyle w:val="EndnoteReference"/>
        </w:rPr>
        <w:t>13</w:t>
      </w:r>
      <w:r w:rsidR="009F0CC6" w:rsidRPr="009F0CC6">
        <w:rPr>
          <w:rFonts w:cstheme="minorHAnsi"/>
          <w:vertAlign w:val="superscript"/>
        </w:rPr>
        <w:fldChar w:fldCharType="end"/>
      </w:r>
      <w:r w:rsidR="009F0CC6" w:rsidRPr="009F0CC6">
        <w:rPr>
          <w:rFonts w:cstheme="minorHAnsi"/>
          <w:vertAlign w:val="superscript"/>
        </w:rPr>
        <w:t>,</w:t>
      </w:r>
      <w:r w:rsidR="009F0CC6" w:rsidRPr="009F0CC6">
        <w:rPr>
          <w:rFonts w:cstheme="minorHAnsi"/>
          <w:vertAlign w:val="superscript"/>
        </w:rPr>
        <w:fldChar w:fldCharType="begin"/>
      </w:r>
      <w:r w:rsidR="009F0CC6" w:rsidRPr="009F0CC6">
        <w:rPr>
          <w:rFonts w:cstheme="minorHAnsi"/>
          <w:vertAlign w:val="superscript"/>
        </w:rPr>
        <w:instrText xml:space="preserve"> NOTEREF _Ref158631837 \f \h </w:instrText>
      </w:r>
      <w:r w:rsidR="009F0CC6">
        <w:rPr>
          <w:rFonts w:cstheme="minorHAnsi"/>
          <w:vertAlign w:val="superscript"/>
        </w:rPr>
        <w:instrText xml:space="preserve"> \* MERGEFORMAT </w:instrText>
      </w:r>
      <w:r w:rsidR="009F0CC6" w:rsidRPr="009F0CC6">
        <w:rPr>
          <w:rFonts w:cstheme="minorHAnsi"/>
          <w:vertAlign w:val="superscript"/>
        </w:rPr>
      </w:r>
      <w:r w:rsidR="009F0CC6" w:rsidRPr="009F0CC6">
        <w:rPr>
          <w:rFonts w:cstheme="minorHAnsi"/>
          <w:vertAlign w:val="superscript"/>
        </w:rPr>
        <w:fldChar w:fldCharType="separate"/>
      </w:r>
      <w:r w:rsidR="009F0CC6" w:rsidRPr="009F0CC6">
        <w:rPr>
          <w:rStyle w:val="EndnoteReference"/>
        </w:rPr>
        <w:t>14</w:t>
      </w:r>
      <w:r w:rsidR="009F0CC6" w:rsidRPr="009F0CC6">
        <w:rPr>
          <w:rFonts w:cstheme="minorHAnsi"/>
          <w:vertAlign w:val="superscript"/>
        </w:rPr>
        <w:fldChar w:fldCharType="end"/>
      </w:r>
      <w:r w:rsidR="009F0CC6">
        <w:rPr>
          <w:rFonts w:cstheme="minorHAnsi"/>
        </w:rPr>
        <w:t xml:space="preserve"> </w:t>
      </w:r>
    </w:p>
    <w:p w14:paraId="39A2E695" w14:textId="77777777" w:rsidR="00A666E3" w:rsidRPr="00594434" w:rsidRDefault="00A666E3" w:rsidP="00F26A8C">
      <w:pPr>
        <w:spacing w:after="240" w:line="240" w:lineRule="auto"/>
        <w:contextualSpacing/>
        <w:rPr>
          <w:rFonts w:cstheme="minorHAnsi"/>
        </w:rPr>
      </w:pPr>
    </w:p>
    <w:p w14:paraId="59DCDF88" w14:textId="4F077219" w:rsidR="009F35D5" w:rsidRPr="00594434" w:rsidRDefault="00F15AC7" w:rsidP="00F26A8C">
      <w:pPr>
        <w:spacing w:after="240" w:line="240" w:lineRule="auto"/>
        <w:contextualSpacing/>
        <w:rPr>
          <w:rFonts w:cstheme="minorHAnsi"/>
          <w:i/>
          <w:iCs/>
        </w:rPr>
      </w:pPr>
      <w:bookmarkStart w:id="27" w:name="_Hlk158385757"/>
      <w:r w:rsidRPr="00594434">
        <w:rPr>
          <w:rFonts w:cstheme="minorHAnsi"/>
          <w:i/>
          <w:iCs/>
        </w:rPr>
        <w:t xml:space="preserve">Monitoring Response to </w:t>
      </w:r>
      <w:r w:rsidR="009F35D5" w:rsidRPr="00594434">
        <w:rPr>
          <w:rFonts w:cstheme="minorHAnsi"/>
          <w:i/>
          <w:iCs/>
        </w:rPr>
        <w:t>Treatment</w:t>
      </w:r>
    </w:p>
    <w:bookmarkEnd w:id="27"/>
    <w:p w14:paraId="63B6103B" w14:textId="3A673552" w:rsidR="009E4B46" w:rsidRPr="00594434" w:rsidRDefault="00E22E91" w:rsidP="00F26A8C">
      <w:pPr>
        <w:spacing w:after="240" w:line="240" w:lineRule="auto"/>
        <w:contextualSpacing/>
        <w:rPr>
          <w:rFonts w:cstheme="minorHAnsi"/>
        </w:rPr>
      </w:pPr>
      <w:r w:rsidRPr="00594434">
        <w:rPr>
          <w:rFonts w:cstheme="minorHAnsi"/>
        </w:rPr>
        <w:t xml:space="preserve">Osteoporosis management is complex and highly individualized based on the patient’s specific </w:t>
      </w:r>
      <w:r w:rsidR="000B11E3" w:rsidRPr="00594434">
        <w:rPr>
          <w:rFonts w:cstheme="minorHAnsi"/>
        </w:rPr>
        <w:t>BMD value, fracture risk factors, and other clinical considerations</w:t>
      </w:r>
      <w:r w:rsidRPr="00594434">
        <w:rPr>
          <w:rFonts w:cstheme="minorHAnsi"/>
        </w:rPr>
        <w:t xml:space="preserve">. </w:t>
      </w:r>
      <w:r w:rsidR="00033ABA" w:rsidRPr="00594434">
        <w:rPr>
          <w:rFonts w:cstheme="minorHAnsi"/>
        </w:rPr>
        <w:t xml:space="preserve">A complete discussion of osteoporosis treatment is beyond the scope of this article. However, it should be noted that </w:t>
      </w:r>
      <w:proofErr w:type="gramStart"/>
      <w:r w:rsidR="00DD4664" w:rsidRPr="00594434">
        <w:rPr>
          <w:rFonts w:cstheme="minorHAnsi"/>
        </w:rPr>
        <w:t>a number of</w:t>
      </w:r>
      <w:proofErr w:type="gramEnd"/>
      <w:r w:rsidR="00A73BCB" w:rsidRPr="00594434">
        <w:rPr>
          <w:rFonts w:cstheme="minorHAnsi"/>
        </w:rPr>
        <w:t xml:space="preserve"> oral or injectable</w:t>
      </w:r>
      <w:r w:rsidR="00DD4664" w:rsidRPr="00594434">
        <w:rPr>
          <w:rFonts w:cstheme="minorHAnsi"/>
        </w:rPr>
        <w:t xml:space="preserve"> pharmacotherapy options have been shown to </w:t>
      </w:r>
      <w:r w:rsidR="00C02F1E" w:rsidRPr="00594434">
        <w:rPr>
          <w:rFonts w:cstheme="minorHAnsi"/>
        </w:rPr>
        <w:t>preserve or</w:t>
      </w:r>
      <w:r w:rsidR="00D634B3" w:rsidRPr="00594434">
        <w:rPr>
          <w:rFonts w:cstheme="minorHAnsi"/>
        </w:rPr>
        <w:t xml:space="preserve"> increase bone mass</w:t>
      </w:r>
      <w:r w:rsidR="00DD4664" w:rsidRPr="00594434">
        <w:rPr>
          <w:rFonts w:cstheme="minorHAnsi"/>
        </w:rPr>
        <w:t xml:space="preserve"> in people with osteoporosis</w:t>
      </w:r>
      <w:r w:rsidR="00733B2F" w:rsidRPr="00594434">
        <w:rPr>
          <w:rFonts w:cstheme="minorHAnsi"/>
        </w:rPr>
        <w:t xml:space="preserve">. </w:t>
      </w:r>
      <w:r w:rsidR="008423C7" w:rsidRPr="00594434">
        <w:rPr>
          <w:rFonts w:cstheme="minorHAnsi"/>
        </w:rPr>
        <w:t>One</w:t>
      </w:r>
      <w:r w:rsidR="009521AE" w:rsidRPr="00594434">
        <w:rPr>
          <w:rFonts w:cstheme="minorHAnsi"/>
        </w:rPr>
        <w:t xml:space="preserve"> large</w:t>
      </w:r>
      <w:r w:rsidR="006D4336" w:rsidRPr="00594434">
        <w:rPr>
          <w:rFonts w:cstheme="minorHAnsi"/>
        </w:rPr>
        <w:t xml:space="preserve"> </w:t>
      </w:r>
      <w:r w:rsidR="00746B69" w:rsidRPr="00594434">
        <w:rPr>
          <w:rFonts w:cstheme="minorHAnsi"/>
        </w:rPr>
        <w:t>analysis of 38 individual placebo-controlled clinical trials,</w:t>
      </w:r>
      <w:r w:rsidR="00CF547B" w:rsidRPr="00594434">
        <w:rPr>
          <w:rFonts w:cstheme="minorHAnsi"/>
        </w:rPr>
        <w:t xml:space="preserve"> which</w:t>
      </w:r>
      <w:r w:rsidR="00746B69" w:rsidRPr="00594434">
        <w:rPr>
          <w:rFonts w:cstheme="minorHAnsi"/>
        </w:rPr>
        <w:t xml:space="preserve"> together</w:t>
      </w:r>
      <w:r w:rsidR="006D4336" w:rsidRPr="00594434">
        <w:rPr>
          <w:rFonts w:cstheme="minorHAnsi"/>
        </w:rPr>
        <w:t xml:space="preserve"> enrolled more than 100,000 people with osteoporosis, found </w:t>
      </w:r>
      <w:r w:rsidR="00746B69" w:rsidRPr="00594434">
        <w:rPr>
          <w:rFonts w:cstheme="minorHAnsi"/>
        </w:rPr>
        <w:t>t</w:t>
      </w:r>
      <w:r w:rsidR="006D4336" w:rsidRPr="00594434">
        <w:rPr>
          <w:rFonts w:cstheme="minorHAnsi"/>
        </w:rPr>
        <w:t>hat</w:t>
      </w:r>
      <w:r w:rsidR="00746B69" w:rsidRPr="00594434">
        <w:rPr>
          <w:rFonts w:cstheme="minorHAnsi"/>
        </w:rPr>
        <w:t xml:space="preserve"> </w:t>
      </w:r>
      <w:r w:rsidR="007B4BBD" w:rsidRPr="00594434">
        <w:rPr>
          <w:rFonts w:cstheme="minorHAnsi"/>
        </w:rPr>
        <w:t>people who had increased BMD values at the total hip and lumbar spine</w:t>
      </w:r>
      <w:r w:rsidR="00473073" w:rsidRPr="00594434">
        <w:rPr>
          <w:rFonts w:cstheme="minorHAnsi"/>
        </w:rPr>
        <w:t xml:space="preserve"> with osteoporosis medication</w:t>
      </w:r>
      <w:r w:rsidR="007B4BBD" w:rsidRPr="00594434">
        <w:rPr>
          <w:rFonts w:cstheme="minorHAnsi"/>
        </w:rPr>
        <w:t xml:space="preserve"> had reduced fracture risk</w:t>
      </w:r>
      <w:r w:rsidR="006D2DF4" w:rsidRPr="00594434">
        <w:rPr>
          <w:rFonts w:cstheme="minorHAnsi"/>
        </w:rPr>
        <w:t>, and that larger improvements in BMD were associated with greater reductions in fracture risk.</w:t>
      </w:r>
      <w:r w:rsidR="00F130BE">
        <w:rPr>
          <w:rStyle w:val="EndnoteReference"/>
          <w:rFonts w:cstheme="minorHAnsi"/>
        </w:rPr>
        <w:endnoteReference w:id="22"/>
      </w:r>
      <w:r w:rsidR="006D2DF4" w:rsidRPr="00594434">
        <w:rPr>
          <w:rFonts w:cstheme="minorHAnsi"/>
        </w:rPr>
        <w:t xml:space="preserve"> </w:t>
      </w:r>
      <w:r w:rsidR="006D4336" w:rsidRPr="00594434">
        <w:rPr>
          <w:rFonts w:cstheme="minorHAnsi"/>
        </w:rPr>
        <w:t xml:space="preserve"> </w:t>
      </w:r>
      <w:r w:rsidR="00CF547B" w:rsidRPr="00594434">
        <w:rPr>
          <w:rFonts w:cstheme="minorHAnsi"/>
        </w:rPr>
        <w:t xml:space="preserve"> </w:t>
      </w:r>
      <w:r w:rsidR="008423C7" w:rsidRPr="00594434">
        <w:rPr>
          <w:rFonts w:cstheme="minorHAnsi"/>
        </w:rPr>
        <w:t xml:space="preserve"> </w:t>
      </w:r>
    </w:p>
    <w:p w14:paraId="534B2631" w14:textId="77777777" w:rsidR="009E4B46" w:rsidRPr="00594434" w:rsidRDefault="009E4B46" w:rsidP="00F26A8C">
      <w:pPr>
        <w:spacing w:after="240" w:line="240" w:lineRule="auto"/>
        <w:contextualSpacing/>
        <w:rPr>
          <w:rFonts w:cstheme="minorHAnsi"/>
        </w:rPr>
      </w:pPr>
    </w:p>
    <w:p w14:paraId="3D49EA92" w14:textId="669BC9CC" w:rsidR="00EA0DDC" w:rsidRPr="00594434" w:rsidRDefault="009521AE" w:rsidP="00F26A8C">
      <w:pPr>
        <w:spacing w:after="240" w:line="240" w:lineRule="auto"/>
        <w:contextualSpacing/>
        <w:rPr>
          <w:rFonts w:cstheme="minorHAnsi"/>
        </w:rPr>
      </w:pPr>
      <w:r w:rsidRPr="00594434">
        <w:rPr>
          <w:rFonts w:cstheme="minorHAnsi"/>
          <w:highlight w:val="green"/>
        </w:rPr>
        <w:t>Regardless of the</w:t>
      </w:r>
      <w:r w:rsidR="00A73BCB" w:rsidRPr="00594434">
        <w:rPr>
          <w:rFonts w:cstheme="minorHAnsi"/>
          <w:highlight w:val="green"/>
        </w:rPr>
        <w:t xml:space="preserve"> patient’s</w:t>
      </w:r>
      <w:r w:rsidRPr="00594434">
        <w:rPr>
          <w:rFonts w:cstheme="minorHAnsi"/>
          <w:highlight w:val="green"/>
        </w:rPr>
        <w:t xml:space="preserve"> specific treatment </w:t>
      </w:r>
      <w:r w:rsidR="00A73BCB" w:rsidRPr="00594434">
        <w:rPr>
          <w:rFonts w:cstheme="minorHAnsi"/>
          <w:highlight w:val="green"/>
        </w:rPr>
        <w:t>approach</w:t>
      </w:r>
      <w:r w:rsidRPr="00594434">
        <w:rPr>
          <w:rFonts w:cstheme="minorHAnsi"/>
          <w:highlight w:val="green"/>
        </w:rPr>
        <w:t xml:space="preserve">, ongoing monitoring of BMD at specified intervals is essential to ensure that </w:t>
      </w:r>
      <w:r w:rsidR="00296A19" w:rsidRPr="00594434">
        <w:rPr>
          <w:rFonts w:cstheme="minorHAnsi"/>
          <w:highlight w:val="green"/>
        </w:rPr>
        <w:t xml:space="preserve">patients are responding to </w:t>
      </w:r>
      <w:commentRangeStart w:id="28"/>
      <w:r w:rsidR="00296A19" w:rsidRPr="00594434">
        <w:rPr>
          <w:rFonts w:cstheme="minorHAnsi"/>
          <w:highlight w:val="green"/>
        </w:rPr>
        <w:t>therapy</w:t>
      </w:r>
      <w:commentRangeEnd w:id="28"/>
      <w:r w:rsidR="00594434" w:rsidRPr="00594434">
        <w:rPr>
          <w:rStyle w:val="CommentReference"/>
          <w:rFonts w:cstheme="minorHAnsi"/>
          <w:sz w:val="22"/>
          <w:szCs w:val="22"/>
        </w:rPr>
        <w:commentReference w:id="28"/>
      </w:r>
      <w:r w:rsidR="00296A19" w:rsidRPr="00594434">
        <w:rPr>
          <w:rFonts w:cstheme="minorHAnsi"/>
          <w:highlight w:val="green"/>
        </w:rPr>
        <w:t>.</w:t>
      </w:r>
      <w:r w:rsidR="00296A19" w:rsidRPr="00594434">
        <w:rPr>
          <w:rFonts w:cstheme="minorHAnsi"/>
        </w:rPr>
        <w:t xml:space="preserve"> In addition, </w:t>
      </w:r>
      <w:r w:rsidR="00275D14" w:rsidRPr="00594434">
        <w:rPr>
          <w:rFonts w:cstheme="minorHAnsi"/>
        </w:rPr>
        <w:t>patients who have been on osteoporosis treatment for several years may undergo BMD assessment to determine whether they are eligible for a</w:t>
      </w:r>
      <w:r w:rsidR="000B11E3" w:rsidRPr="00594434">
        <w:rPr>
          <w:rFonts w:cstheme="minorHAnsi"/>
        </w:rPr>
        <w:t xml:space="preserve"> temporary</w:t>
      </w:r>
      <w:r w:rsidR="00275D14" w:rsidRPr="00594434">
        <w:rPr>
          <w:rFonts w:cstheme="minorHAnsi"/>
        </w:rPr>
        <w:t xml:space="preserve"> “drug holiday”</w:t>
      </w:r>
      <w:r w:rsidR="000B11E3" w:rsidRPr="00594434">
        <w:rPr>
          <w:rFonts w:cstheme="minorHAnsi"/>
        </w:rPr>
        <w:t xml:space="preserve"> or a permanent discontinuation of treatment.</w:t>
      </w:r>
      <w:r w:rsidR="00275D14" w:rsidRPr="00594434">
        <w:rPr>
          <w:rFonts w:cstheme="minorHAnsi"/>
        </w:rPr>
        <w:t xml:space="preserve"> </w:t>
      </w:r>
      <w:r w:rsidR="00F15AC7" w:rsidRPr="00594434">
        <w:rPr>
          <w:rFonts w:cstheme="minorHAnsi"/>
        </w:rPr>
        <w:t>According to guidelines for osteoporosis diagnosis and management, central DXA assessment of the total hip, femoral neck, or lumbar spine is considered the “gold standard” for ongoing assessment of BMD changes over time.</w:t>
      </w:r>
      <w:r w:rsidR="00FB4FC1">
        <w:rPr>
          <w:rFonts w:cstheme="minorHAnsi"/>
        </w:rPr>
        <w:fldChar w:fldCharType="begin"/>
      </w:r>
      <w:r w:rsidR="00FB4FC1">
        <w:rPr>
          <w:rFonts w:cstheme="minorHAnsi"/>
        </w:rPr>
        <w:instrText xml:space="preserve"> NOTEREF _Ref158630712 \f \h </w:instrText>
      </w:r>
      <w:r w:rsidR="00FB4FC1">
        <w:rPr>
          <w:rFonts w:cstheme="minorHAnsi"/>
        </w:rPr>
      </w:r>
      <w:r w:rsidR="00FB4FC1">
        <w:rPr>
          <w:rFonts w:cstheme="minorHAnsi"/>
        </w:rPr>
        <w:fldChar w:fldCharType="separate"/>
      </w:r>
      <w:r w:rsidR="00FB4FC1" w:rsidRPr="00FB4FC1">
        <w:rPr>
          <w:rStyle w:val="EndnoteReference"/>
        </w:rPr>
        <w:t>13</w:t>
      </w:r>
      <w:r w:rsidR="00FB4FC1">
        <w:rPr>
          <w:rFonts w:cstheme="minorHAnsi"/>
        </w:rPr>
        <w:fldChar w:fldCharType="end"/>
      </w:r>
      <w:r w:rsidR="00F130BE">
        <w:rPr>
          <w:rFonts w:cstheme="minorHAnsi"/>
        </w:rPr>
        <w:t xml:space="preserve"> </w:t>
      </w:r>
      <w:r w:rsidR="00F15AC7" w:rsidRPr="00594434">
        <w:rPr>
          <w:rFonts w:cstheme="minorHAnsi"/>
        </w:rPr>
        <w:t xml:space="preserve"> </w:t>
      </w:r>
      <w:r w:rsidR="000B1D5D" w:rsidRPr="00594434">
        <w:rPr>
          <w:rFonts w:cstheme="minorHAnsi"/>
        </w:rPr>
        <w:t>BHOF</w:t>
      </w:r>
      <w:r w:rsidR="00EA0DDC" w:rsidRPr="00594434">
        <w:rPr>
          <w:rFonts w:cstheme="minorHAnsi"/>
        </w:rPr>
        <w:t xml:space="preserve"> guidelines recommend a standardized approach to long-term monitoring and assessment of treatment response.</w:t>
      </w:r>
      <w:r w:rsidR="00FB4FC1">
        <w:rPr>
          <w:rFonts w:cstheme="minorHAnsi"/>
        </w:rPr>
        <w:fldChar w:fldCharType="begin"/>
      </w:r>
      <w:r w:rsidR="00FB4FC1">
        <w:rPr>
          <w:rFonts w:cstheme="minorHAnsi"/>
        </w:rPr>
        <w:instrText xml:space="preserve"> NOTEREF _Ref158630712 \f \h </w:instrText>
      </w:r>
      <w:r w:rsidR="00FB4FC1">
        <w:rPr>
          <w:rFonts w:cstheme="minorHAnsi"/>
        </w:rPr>
      </w:r>
      <w:r w:rsidR="00FB4FC1">
        <w:rPr>
          <w:rFonts w:cstheme="minorHAnsi"/>
        </w:rPr>
        <w:fldChar w:fldCharType="separate"/>
      </w:r>
      <w:r w:rsidR="00FB4FC1" w:rsidRPr="00FB4FC1">
        <w:rPr>
          <w:rStyle w:val="EndnoteReference"/>
        </w:rPr>
        <w:t>13</w:t>
      </w:r>
      <w:r w:rsidR="00FB4FC1">
        <w:rPr>
          <w:rFonts w:cstheme="minorHAnsi"/>
        </w:rPr>
        <w:fldChar w:fldCharType="end"/>
      </w:r>
      <w:r w:rsidR="00FB4FC1">
        <w:rPr>
          <w:rFonts w:cstheme="minorHAnsi"/>
        </w:rPr>
        <w:t xml:space="preserve"> </w:t>
      </w:r>
      <w:r w:rsidR="00EA0DDC" w:rsidRPr="00594434">
        <w:rPr>
          <w:rFonts w:cstheme="minorHAnsi"/>
        </w:rPr>
        <w:t>These guidelines recommend BMD testing 1 to</w:t>
      </w:r>
      <w:r w:rsidR="00342303" w:rsidRPr="00594434">
        <w:rPr>
          <w:rFonts w:cstheme="minorHAnsi"/>
        </w:rPr>
        <w:t xml:space="preserve"> </w:t>
      </w:r>
      <w:r w:rsidR="00EA0DDC" w:rsidRPr="00594434">
        <w:rPr>
          <w:rFonts w:cstheme="minorHAnsi"/>
        </w:rPr>
        <w:t>2 years after initiating or changing medical therapy for osteoporosis, as well as testing at other time points as needed according to the patient’s clinical circumstances. More frequent testing may be required for patients at higher risk of fracture, including those with multiple fractures, older patients, or those with very low BMD. Conversely, less frequent testing maybe needed for some patients with initial T scores in the normal or slightly below normal range (osteopenia)</w:t>
      </w:r>
      <w:r w:rsidR="004F1CC0" w:rsidRPr="00594434">
        <w:rPr>
          <w:rFonts w:cstheme="minorHAnsi"/>
        </w:rPr>
        <w:t xml:space="preserve"> or</w:t>
      </w:r>
      <w:r w:rsidR="00EA0DDC" w:rsidRPr="00594434">
        <w:rPr>
          <w:rFonts w:cstheme="minorHAnsi"/>
        </w:rPr>
        <w:t xml:space="preserve"> for patients who have remained fracture-free on treatment.</w:t>
      </w:r>
      <w:r w:rsidR="00DF2125">
        <w:rPr>
          <w:rFonts w:cstheme="minorHAnsi"/>
        </w:rPr>
        <w:fldChar w:fldCharType="begin"/>
      </w:r>
      <w:r w:rsidR="00DF2125">
        <w:rPr>
          <w:rFonts w:cstheme="minorHAnsi"/>
        </w:rPr>
        <w:instrText xml:space="preserve"> NOTEREF _Ref158630712 \f \h </w:instrText>
      </w:r>
      <w:r w:rsidR="00DF2125">
        <w:rPr>
          <w:rFonts w:cstheme="minorHAnsi"/>
        </w:rPr>
      </w:r>
      <w:r w:rsidR="00DF2125">
        <w:rPr>
          <w:rFonts w:cstheme="minorHAnsi"/>
        </w:rPr>
        <w:fldChar w:fldCharType="separate"/>
      </w:r>
      <w:r w:rsidR="00DF2125" w:rsidRPr="00DF2125">
        <w:rPr>
          <w:rStyle w:val="EndnoteReference"/>
        </w:rPr>
        <w:t>13</w:t>
      </w:r>
      <w:r w:rsidR="00DF2125">
        <w:rPr>
          <w:rFonts w:cstheme="minorHAnsi"/>
        </w:rPr>
        <w:fldChar w:fldCharType="end"/>
      </w:r>
      <w:r w:rsidR="00FB4FC1">
        <w:rPr>
          <w:rFonts w:cstheme="minorHAnsi"/>
        </w:rPr>
        <w:t xml:space="preserve"> </w:t>
      </w:r>
    </w:p>
    <w:p w14:paraId="57B8A978" w14:textId="77777777" w:rsidR="00EA0DDC" w:rsidRPr="00594434" w:rsidRDefault="00EA0DDC" w:rsidP="00F26A8C">
      <w:pPr>
        <w:spacing w:after="240" w:line="240" w:lineRule="auto"/>
        <w:contextualSpacing/>
        <w:rPr>
          <w:rFonts w:cstheme="minorHAnsi"/>
        </w:rPr>
      </w:pPr>
    </w:p>
    <w:p w14:paraId="7006FC39" w14:textId="1F44B8ED" w:rsidR="00C87C37" w:rsidRPr="00594434" w:rsidRDefault="00EA0DDC" w:rsidP="00F26A8C">
      <w:pPr>
        <w:spacing w:after="240" w:line="240" w:lineRule="auto"/>
        <w:contextualSpacing/>
        <w:rPr>
          <w:rFonts w:cstheme="minorHAnsi"/>
        </w:rPr>
      </w:pPr>
      <w:r w:rsidRPr="00594434">
        <w:rPr>
          <w:rFonts w:cstheme="minorHAnsi"/>
        </w:rPr>
        <w:t xml:space="preserve">For patients who are </w:t>
      </w:r>
      <w:r w:rsidR="001042F1" w:rsidRPr="00594434">
        <w:rPr>
          <w:rFonts w:cstheme="minorHAnsi"/>
        </w:rPr>
        <w:t xml:space="preserve">receiving </w:t>
      </w:r>
      <w:r w:rsidR="00C87C37" w:rsidRPr="00594434">
        <w:rPr>
          <w:rFonts w:cstheme="minorHAnsi"/>
        </w:rPr>
        <w:t xml:space="preserve">pharmacologic treatment for osteoporosis, </w:t>
      </w:r>
      <w:r w:rsidR="00615C4B" w:rsidRPr="00594434">
        <w:rPr>
          <w:rFonts w:cstheme="minorHAnsi"/>
        </w:rPr>
        <w:t xml:space="preserve">guidelines recommend routinely </w:t>
      </w:r>
      <w:r w:rsidR="00455731" w:rsidRPr="00594434">
        <w:rPr>
          <w:rFonts w:cstheme="minorHAnsi"/>
        </w:rPr>
        <w:t xml:space="preserve">reassessing patients for fracture risk, as well as patient satisfaction with treatment, treatment </w:t>
      </w:r>
      <w:r w:rsidR="00455731" w:rsidRPr="00594434">
        <w:rPr>
          <w:rFonts w:cstheme="minorHAnsi"/>
        </w:rPr>
        <w:lastRenderedPageBreak/>
        <w:t xml:space="preserve">adherence, </w:t>
      </w:r>
      <w:r w:rsidR="0073529F" w:rsidRPr="00594434">
        <w:rPr>
          <w:rFonts w:cstheme="minorHAnsi"/>
        </w:rPr>
        <w:t>and need for modification to the treatment regimen.</w:t>
      </w:r>
      <w:r w:rsidR="00DF2125">
        <w:rPr>
          <w:rFonts w:cstheme="minorHAnsi"/>
        </w:rPr>
        <w:fldChar w:fldCharType="begin"/>
      </w:r>
      <w:r w:rsidR="00DF2125">
        <w:rPr>
          <w:rFonts w:cstheme="minorHAnsi"/>
        </w:rPr>
        <w:instrText xml:space="preserve"> NOTEREF _Ref158630712 \f \h </w:instrText>
      </w:r>
      <w:r w:rsidR="00DF2125">
        <w:rPr>
          <w:rFonts w:cstheme="minorHAnsi"/>
        </w:rPr>
      </w:r>
      <w:r w:rsidR="00DF2125">
        <w:rPr>
          <w:rFonts w:cstheme="minorHAnsi"/>
        </w:rPr>
        <w:fldChar w:fldCharType="separate"/>
      </w:r>
      <w:r w:rsidR="00DF2125" w:rsidRPr="00DF2125">
        <w:rPr>
          <w:rStyle w:val="EndnoteReference"/>
        </w:rPr>
        <w:t>13</w:t>
      </w:r>
      <w:r w:rsidR="00DF2125">
        <w:rPr>
          <w:rFonts w:cstheme="minorHAnsi"/>
        </w:rPr>
        <w:fldChar w:fldCharType="end"/>
      </w:r>
      <w:r w:rsidR="0073529F" w:rsidRPr="00594434">
        <w:rPr>
          <w:rFonts w:cstheme="minorHAnsi"/>
        </w:rPr>
        <w:t xml:space="preserve"> </w:t>
      </w:r>
      <w:r w:rsidR="001F48A0" w:rsidRPr="00594434">
        <w:rPr>
          <w:rFonts w:cstheme="minorHAnsi"/>
        </w:rPr>
        <w:t>Changes in BMD should be measured serially at the lumbar spine</w:t>
      </w:r>
      <w:r w:rsidR="00EB5279" w:rsidRPr="00594434">
        <w:rPr>
          <w:rFonts w:cstheme="minorHAnsi"/>
        </w:rPr>
        <w:t>, total, and femoral neck. If the lumbar spine</w:t>
      </w:r>
      <w:r w:rsidR="00AC30A5" w:rsidRPr="00594434">
        <w:rPr>
          <w:rFonts w:cstheme="minorHAnsi"/>
        </w:rPr>
        <w:t xml:space="preserve">, hip, or both are not available, the treating physician </w:t>
      </w:r>
      <w:r w:rsidR="00B25546" w:rsidRPr="00594434">
        <w:rPr>
          <w:rFonts w:cstheme="minorHAnsi"/>
        </w:rPr>
        <w:t xml:space="preserve">may elect to evaluate the distal 1/3 radius instead. </w:t>
      </w:r>
      <w:r w:rsidR="007F7075" w:rsidRPr="00594434">
        <w:rPr>
          <w:rFonts w:cstheme="minorHAnsi"/>
        </w:rPr>
        <w:t xml:space="preserve">Patients may be considered for a “drug holiday” after 5 years of oral therapy or 3 years of IV bisphosphonate therapy </w:t>
      </w:r>
      <w:r w:rsidR="00245BEC" w:rsidRPr="00594434">
        <w:rPr>
          <w:rFonts w:cstheme="minorHAnsi"/>
        </w:rPr>
        <w:t xml:space="preserve">for those who are no longer at high risk of fracture, defined as a T score </w:t>
      </w:r>
      <w:r w:rsidR="00596845" w:rsidRPr="00594434">
        <w:rPr>
          <w:rFonts w:cstheme="minorHAnsi"/>
        </w:rPr>
        <w:t xml:space="preserve">≥ </w:t>
      </w:r>
      <w:r w:rsidR="00245BEC" w:rsidRPr="00594434">
        <w:rPr>
          <w:rFonts w:cstheme="minorHAnsi"/>
        </w:rPr>
        <w:t>-2.5 and no new fractures since beginning treatment.</w:t>
      </w:r>
      <w:r w:rsidR="00DF2125">
        <w:rPr>
          <w:rFonts w:cstheme="minorHAnsi"/>
        </w:rPr>
        <w:fldChar w:fldCharType="begin"/>
      </w:r>
      <w:r w:rsidR="00DF2125">
        <w:rPr>
          <w:rFonts w:cstheme="minorHAnsi"/>
        </w:rPr>
        <w:instrText xml:space="preserve"> NOTEREF _Ref158630712 \f \h </w:instrText>
      </w:r>
      <w:r w:rsidR="00DF2125">
        <w:rPr>
          <w:rFonts w:cstheme="minorHAnsi"/>
        </w:rPr>
      </w:r>
      <w:r w:rsidR="00DF2125">
        <w:rPr>
          <w:rFonts w:cstheme="minorHAnsi"/>
        </w:rPr>
        <w:fldChar w:fldCharType="separate"/>
      </w:r>
      <w:r w:rsidR="00DF2125" w:rsidRPr="00DF2125">
        <w:rPr>
          <w:rStyle w:val="EndnoteReference"/>
        </w:rPr>
        <w:t>13</w:t>
      </w:r>
      <w:r w:rsidR="00DF2125">
        <w:rPr>
          <w:rFonts w:cstheme="minorHAnsi"/>
        </w:rPr>
        <w:fldChar w:fldCharType="end"/>
      </w:r>
      <w:r w:rsidR="00DF2125">
        <w:rPr>
          <w:rFonts w:cstheme="minorHAnsi"/>
        </w:rPr>
        <w:t xml:space="preserve"> </w:t>
      </w:r>
    </w:p>
    <w:p w14:paraId="7A19EEC6" w14:textId="77777777" w:rsidR="00721E01" w:rsidRPr="00594434" w:rsidRDefault="00721E01" w:rsidP="00F26A8C">
      <w:pPr>
        <w:spacing w:after="240" w:line="240" w:lineRule="auto"/>
        <w:contextualSpacing/>
        <w:rPr>
          <w:rFonts w:cstheme="minorHAnsi"/>
        </w:rPr>
      </w:pPr>
    </w:p>
    <w:p w14:paraId="226AC8CF" w14:textId="77777777" w:rsidR="00732A96" w:rsidRPr="00594434" w:rsidRDefault="00732A96" w:rsidP="00F26A8C">
      <w:pPr>
        <w:spacing w:after="240" w:line="240" w:lineRule="auto"/>
        <w:contextualSpacing/>
        <w:rPr>
          <w:rFonts w:cstheme="minorHAnsi"/>
        </w:rPr>
      </w:pPr>
    </w:p>
    <w:p w14:paraId="45A4B9EB" w14:textId="6B93D59F" w:rsidR="0041308F" w:rsidRPr="00594434" w:rsidRDefault="00B959EA" w:rsidP="00F26A8C">
      <w:pPr>
        <w:spacing w:after="240" w:line="240" w:lineRule="auto"/>
        <w:contextualSpacing/>
        <w:rPr>
          <w:rFonts w:cstheme="minorHAnsi"/>
          <w:b/>
          <w:bCs/>
        </w:rPr>
      </w:pPr>
      <w:bookmarkStart w:id="29" w:name="_Hlk158385764"/>
      <w:r w:rsidRPr="00594434">
        <w:rPr>
          <w:rFonts w:cstheme="minorHAnsi"/>
          <w:b/>
          <w:bCs/>
        </w:rPr>
        <w:t xml:space="preserve">Appropriateness of </w:t>
      </w:r>
      <w:r w:rsidR="0041308F" w:rsidRPr="00594434">
        <w:rPr>
          <w:rFonts w:cstheme="minorHAnsi"/>
          <w:b/>
          <w:bCs/>
        </w:rPr>
        <w:t>DXA in</w:t>
      </w:r>
      <w:r w:rsidR="00625D1D" w:rsidRPr="00594434">
        <w:rPr>
          <w:rFonts w:cstheme="minorHAnsi"/>
          <w:b/>
          <w:bCs/>
        </w:rPr>
        <w:t xml:space="preserve"> Specific</w:t>
      </w:r>
      <w:r w:rsidRPr="00594434">
        <w:rPr>
          <w:rFonts w:cstheme="minorHAnsi"/>
          <w:b/>
          <w:bCs/>
        </w:rPr>
        <w:t xml:space="preserve"> Clinical Scenarios</w:t>
      </w:r>
      <w:r w:rsidR="001D0FEE" w:rsidRPr="00594434">
        <w:rPr>
          <w:rFonts w:cstheme="minorHAnsi"/>
          <w:b/>
          <w:bCs/>
        </w:rPr>
        <w:t xml:space="preserve"> </w:t>
      </w:r>
    </w:p>
    <w:bookmarkEnd w:id="29"/>
    <w:p w14:paraId="66F52F05" w14:textId="40633424" w:rsidR="00A63527" w:rsidRPr="00594434" w:rsidRDefault="007C3006" w:rsidP="00F26A8C">
      <w:pPr>
        <w:pStyle w:val="NormalWeb"/>
        <w:spacing w:before="0" w:beforeAutospacing="0" w:after="240" w:afterAutospacing="0"/>
        <w:contextualSpacing/>
        <w:rPr>
          <w:rFonts w:asciiTheme="minorHAnsi" w:hAnsiTheme="minorHAnsi" w:cstheme="minorHAnsi"/>
          <w:sz w:val="22"/>
          <w:szCs w:val="22"/>
        </w:rPr>
      </w:pPr>
      <w:r w:rsidRPr="00594434">
        <w:rPr>
          <w:rFonts w:asciiTheme="minorHAnsi" w:hAnsiTheme="minorHAnsi" w:cstheme="minorHAnsi"/>
          <w:sz w:val="22"/>
          <w:szCs w:val="22"/>
        </w:rPr>
        <w:t xml:space="preserve">Clinical guidelines </w:t>
      </w:r>
      <w:r w:rsidR="00B059CE" w:rsidRPr="00594434">
        <w:rPr>
          <w:rFonts w:asciiTheme="minorHAnsi" w:hAnsiTheme="minorHAnsi" w:cstheme="minorHAnsi"/>
          <w:sz w:val="22"/>
          <w:szCs w:val="22"/>
        </w:rPr>
        <w:t>developed by the ACR</w:t>
      </w:r>
      <w:r w:rsidRPr="00594434">
        <w:rPr>
          <w:rFonts w:asciiTheme="minorHAnsi" w:hAnsiTheme="minorHAnsi" w:cstheme="minorHAnsi"/>
          <w:sz w:val="22"/>
          <w:szCs w:val="22"/>
        </w:rPr>
        <w:t xml:space="preserve"> describe </w:t>
      </w:r>
      <w:r w:rsidR="00DD6328" w:rsidRPr="00594434">
        <w:rPr>
          <w:rFonts w:asciiTheme="minorHAnsi" w:hAnsiTheme="minorHAnsi" w:cstheme="minorHAnsi"/>
          <w:sz w:val="22"/>
          <w:szCs w:val="22"/>
        </w:rPr>
        <w:t>the appropriateness of various DXA approaches</w:t>
      </w:r>
      <w:r w:rsidR="00DE01B9" w:rsidRPr="00594434">
        <w:rPr>
          <w:rFonts w:asciiTheme="minorHAnsi" w:hAnsiTheme="minorHAnsi" w:cstheme="minorHAnsi"/>
          <w:sz w:val="22"/>
          <w:szCs w:val="22"/>
        </w:rPr>
        <w:t xml:space="preserve"> (</w:t>
      </w:r>
      <w:r w:rsidR="00DD6328" w:rsidRPr="00594434">
        <w:rPr>
          <w:rFonts w:asciiTheme="minorHAnsi" w:hAnsiTheme="minorHAnsi" w:cstheme="minorHAnsi"/>
          <w:sz w:val="22"/>
          <w:szCs w:val="22"/>
        </w:rPr>
        <w:t xml:space="preserve">including </w:t>
      </w:r>
      <w:r w:rsidR="00B059CE" w:rsidRPr="00594434">
        <w:rPr>
          <w:rFonts w:asciiTheme="minorHAnsi" w:hAnsiTheme="minorHAnsi" w:cstheme="minorHAnsi"/>
          <w:sz w:val="22"/>
          <w:szCs w:val="22"/>
        </w:rPr>
        <w:t>DX</w:t>
      </w:r>
      <w:r w:rsidR="006B0E75" w:rsidRPr="00594434">
        <w:rPr>
          <w:rFonts w:asciiTheme="minorHAnsi" w:hAnsiTheme="minorHAnsi" w:cstheme="minorHAnsi"/>
          <w:sz w:val="22"/>
          <w:szCs w:val="22"/>
        </w:rPr>
        <w:t>A</w:t>
      </w:r>
      <w:r w:rsidR="00B059CE" w:rsidRPr="00594434">
        <w:rPr>
          <w:rFonts w:asciiTheme="minorHAnsi" w:hAnsiTheme="minorHAnsi" w:cstheme="minorHAnsi"/>
          <w:sz w:val="22"/>
          <w:szCs w:val="22"/>
        </w:rPr>
        <w:t xml:space="preserve"> of the lumbar spine</w:t>
      </w:r>
      <w:r w:rsidR="00625D1D" w:rsidRPr="00594434">
        <w:rPr>
          <w:rFonts w:asciiTheme="minorHAnsi" w:hAnsiTheme="minorHAnsi" w:cstheme="minorHAnsi"/>
          <w:sz w:val="22"/>
          <w:szCs w:val="22"/>
        </w:rPr>
        <w:t>,</w:t>
      </w:r>
      <w:r w:rsidR="00B059CE" w:rsidRPr="00594434">
        <w:rPr>
          <w:rFonts w:asciiTheme="minorHAnsi" w:hAnsiTheme="minorHAnsi" w:cstheme="minorHAnsi"/>
          <w:sz w:val="22"/>
          <w:szCs w:val="22"/>
        </w:rPr>
        <w:t xml:space="preserve"> hip</w:t>
      </w:r>
      <w:r w:rsidR="003C174B" w:rsidRPr="00594434">
        <w:rPr>
          <w:rFonts w:asciiTheme="minorHAnsi" w:hAnsiTheme="minorHAnsi" w:cstheme="minorHAnsi"/>
          <w:sz w:val="22"/>
          <w:szCs w:val="22"/>
        </w:rPr>
        <w:t>, forearm, and DXA V</w:t>
      </w:r>
      <w:r w:rsidR="00DE01B9" w:rsidRPr="00594434">
        <w:rPr>
          <w:rFonts w:asciiTheme="minorHAnsi" w:hAnsiTheme="minorHAnsi" w:cstheme="minorHAnsi"/>
          <w:sz w:val="22"/>
          <w:szCs w:val="22"/>
        </w:rPr>
        <w:t>F</w:t>
      </w:r>
      <w:r w:rsidR="003C174B" w:rsidRPr="00594434">
        <w:rPr>
          <w:rFonts w:asciiTheme="minorHAnsi" w:hAnsiTheme="minorHAnsi" w:cstheme="minorHAnsi"/>
          <w:sz w:val="22"/>
          <w:szCs w:val="22"/>
        </w:rPr>
        <w:t>A</w:t>
      </w:r>
      <w:r w:rsidR="00DE01B9" w:rsidRPr="00594434">
        <w:rPr>
          <w:rFonts w:asciiTheme="minorHAnsi" w:hAnsiTheme="minorHAnsi" w:cstheme="minorHAnsi"/>
          <w:sz w:val="22"/>
          <w:szCs w:val="22"/>
        </w:rPr>
        <w:t>)</w:t>
      </w:r>
      <w:r w:rsidR="003C174B" w:rsidRPr="00594434">
        <w:rPr>
          <w:rFonts w:asciiTheme="minorHAnsi" w:hAnsiTheme="minorHAnsi" w:cstheme="minorHAnsi"/>
          <w:sz w:val="22"/>
          <w:szCs w:val="22"/>
        </w:rPr>
        <w:t xml:space="preserve"> in several clinical scenarios.</w:t>
      </w:r>
      <w:r w:rsidR="00DF2125">
        <w:rPr>
          <w:rFonts w:asciiTheme="minorHAnsi" w:hAnsiTheme="minorHAnsi" w:cstheme="minorHAnsi"/>
          <w:sz w:val="22"/>
          <w:szCs w:val="22"/>
        </w:rPr>
        <w:fldChar w:fldCharType="begin"/>
      </w:r>
      <w:r w:rsidR="00DF2125">
        <w:rPr>
          <w:rFonts w:asciiTheme="minorHAnsi" w:hAnsiTheme="minorHAnsi" w:cstheme="minorHAnsi"/>
          <w:sz w:val="22"/>
          <w:szCs w:val="22"/>
        </w:rPr>
        <w:instrText xml:space="preserve"> NOTEREF _Ref158631959 \f \h </w:instrText>
      </w:r>
      <w:r w:rsidR="00DF2125">
        <w:rPr>
          <w:rFonts w:asciiTheme="minorHAnsi" w:hAnsiTheme="minorHAnsi" w:cstheme="minorHAnsi"/>
          <w:sz w:val="22"/>
          <w:szCs w:val="22"/>
        </w:rPr>
      </w:r>
      <w:r w:rsidR="00DF2125">
        <w:rPr>
          <w:rFonts w:asciiTheme="minorHAnsi" w:hAnsiTheme="minorHAnsi" w:cstheme="minorHAnsi"/>
          <w:sz w:val="22"/>
          <w:szCs w:val="22"/>
        </w:rPr>
        <w:fldChar w:fldCharType="separate"/>
      </w:r>
      <w:r w:rsidR="00DF2125" w:rsidRPr="00DF2125">
        <w:rPr>
          <w:rStyle w:val="EndnoteReference"/>
        </w:rPr>
        <w:t>18</w:t>
      </w:r>
      <w:r w:rsidR="00DF2125">
        <w:rPr>
          <w:rFonts w:asciiTheme="minorHAnsi" w:hAnsiTheme="minorHAnsi" w:cstheme="minorHAnsi"/>
          <w:sz w:val="22"/>
          <w:szCs w:val="22"/>
        </w:rPr>
        <w:fldChar w:fldCharType="end"/>
      </w:r>
      <w:r w:rsidR="004A03CE" w:rsidRPr="00594434">
        <w:rPr>
          <w:rFonts w:asciiTheme="minorHAnsi" w:hAnsiTheme="minorHAnsi" w:cstheme="minorHAnsi"/>
          <w:sz w:val="22"/>
          <w:szCs w:val="22"/>
        </w:rPr>
        <w:t xml:space="preserve"> </w:t>
      </w:r>
      <w:r w:rsidR="00A63527" w:rsidRPr="00594434">
        <w:rPr>
          <w:rFonts w:asciiTheme="minorHAnsi" w:hAnsiTheme="minorHAnsi" w:cstheme="minorHAnsi"/>
          <w:sz w:val="22"/>
          <w:szCs w:val="22"/>
        </w:rPr>
        <w:t xml:space="preserve">These recommendations are summarized in Table </w:t>
      </w:r>
      <w:r w:rsidR="00DF2125">
        <w:rPr>
          <w:rFonts w:asciiTheme="minorHAnsi" w:hAnsiTheme="minorHAnsi" w:cstheme="minorHAnsi"/>
          <w:sz w:val="22"/>
          <w:szCs w:val="22"/>
        </w:rPr>
        <w:t>1</w:t>
      </w:r>
      <w:r w:rsidR="00A63527" w:rsidRPr="00594434">
        <w:rPr>
          <w:rFonts w:asciiTheme="minorHAnsi" w:hAnsiTheme="minorHAnsi" w:cstheme="minorHAnsi"/>
          <w:sz w:val="22"/>
          <w:szCs w:val="22"/>
        </w:rPr>
        <w:t xml:space="preserve">. </w:t>
      </w:r>
    </w:p>
    <w:p w14:paraId="17EBA2FF" w14:textId="77777777" w:rsidR="00A63527" w:rsidRPr="00594434" w:rsidRDefault="00A63527" w:rsidP="00F26A8C">
      <w:pPr>
        <w:pStyle w:val="NormalWeb"/>
        <w:spacing w:before="0" w:beforeAutospacing="0" w:after="240" w:afterAutospacing="0"/>
        <w:contextualSpacing/>
        <w:rPr>
          <w:rFonts w:asciiTheme="minorHAnsi" w:hAnsiTheme="minorHAnsi" w:cstheme="minorHAnsi"/>
          <w:sz w:val="22"/>
          <w:szCs w:val="22"/>
        </w:rPr>
      </w:pPr>
    </w:p>
    <w:p w14:paraId="063ECA60" w14:textId="77777777" w:rsidR="00A63527" w:rsidRPr="00594434" w:rsidRDefault="00A63527" w:rsidP="00A63527">
      <w:pPr>
        <w:spacing w:after="240" w:line="240" w:lineRule="auto"/>
        <w:contextualSpacing/>
        <w:rPr>
          <w:rFonts w:cstheme="minorHAnsi"/>
        </w:rPr>
      </w:pPr>
    </w:p>
    <w:p w14:paraId="31E68072" w14:textId="2B460DB4" w:rsidR="00A63527" w:rsidRPr="00594434" w:rsidRDefault="00A63527" w:rsidP="00A63527">
      <w:pPr>
        <w:spacing w:after="240" w:line="240" w:lineRule="auto"/>
        <w:contextualSpacing/>
        <w:rPr>
          <w:rFonts w:cstheme="minorHAnsi"/>
        </w:rPr>
      </w:pPr>
      <w:r w:rsidRPr="00594434">
        <w:rPr>
          <w:rFonts w:cstheme="minorHAnsi"/>
        </w:rPr>
        <w:t xml:space="preserve">Table </w:t>
      </w:r>
      <w:r w:rsidR="007E677A">
        <w:rPr>
          <w:rFonts w:cstheme="minorHAnsi"/>
        </w:rPr>
        <w:t>1</w:t>
      </w:r>
      <w:r w:rsidRPr="00594434">
        <w:rPr>
          <w:rFonts w:cstheme="minorHAnsi"/>
        </w:rPr>
        <w:t>.</w:t>
      </w:r>
      <w:r w:rsidR="007E677A">
        <w:rPr>
          <w:rFonts w:cstheme="minorHAnsi"/>
        </w:rPr>
        <w:t xml:space="preserve"> Appropriateness of </w:t>
      </w:r>
      <w:r w:rsidR="003C1B95">
        <w:rPr>
          <w:rFonts w:cstheme="minorHAnsi"/>
        </w:rPr>
        <w:t xml:space="preserve">DXA in several clinical </w:t>
      </w:r>
      <w:r w:rsidR="000375C0">
        <w:rPr>
          <w:rFonts w:cstheme="minorHAnsi"/>
        </w:rPr>
        <w:t>scenarios.</w:t>
      </w:r>
      <w:commentRangeStart w:id="30"/>
      <w:r w:rsidR="000375C0">
        <w:rPr>
          <w:rFonts w:cstheme="minorHAnsi"/>
        </w:rPr>
        <w:fldChar w:fldCharType="begin"/>
      </w:r>
      <w:r w:rsidR="000375C0">
        <w:rPr>
          <w:rFonts w:cstheme="minorHAnsi"/>
        </w:rPr>
        <w:instrText xml:space="preserve"> NOTEREF _Ref158631959 \f \h </w:instrText>
      </w:r>
      <w:r w:rsidR="000375C0">
        <w:rPr>
          <w:rFonts w:cstheme="minorHAnsi"/>
        </w:rPr>
      </w:r>
      <w:r w:rsidR="000375C0">
        <w:rPr>
          <w:rFonts w:cstheme="minorHAnsi"/>
        </w:rPr>
        <w:fldChar w:fldCharType="separate"/>
      </w:r>
      <w:r w:rsidR="000375C0" w:rsidRPr="000375C0">
        <w:rPr>
          <w:rStyle w:val="EndnoteReference"/>
        </w:rPr>
        <w:t>18</w:t>
      </w:r>
      <w:r w:rsidR="000375C0">
        <w:rPr>
          <w:rFonts w:cstheme="minorHAnsi"/>
        </w:rPr>
        <w:fldChar w:fldCharType="end"/>
      </w:r>
      <w:commentRangeEnd w:id="30"/>
      <w:r w:rsidR="000375C0">
        <w:rPr>
          <w:rStyle w:val="CommentReference"/>
        </w:rPr>
        <w:commentReference w:id="30"/>
      </w:r>
      <w:r w:rsidRPr="00594434">
        <w:rPr>
          <w:rFonts w:cstheme="minorHAnsi"/>
        </w:rPr>
        <w:t xml:space="preserve"> </w:t>
      </w:r>
    </w:p>
    <w:tbl>
      <w:tblPr>
        <w:tblStyle w:val="TableGrid"/>
        <w:tblW w:w="0" w:type="auto"/>
        <w:tblLook w:val="04A0" w:firstRow="1" w:lastRow="0" w:firstColumn="1" w:lastColumn="0" w:noHBand="0" w:noVBand="1"/>
      </w:tblPr>
      <w:tblGrid>
        <w:gridCol w:w="2337"/>
        <w:gridCol w:w="2337"/>
        <w:gridCol w:w="2338"/>
        <w:gridCol w:w="2338"/>
      </w:tblGrid>
      <w:tr w:rsidR="00A63527" w:rsidRPr="00594434" w14:paraId="383E17B3" w14:textId="77777777" w:rsidTr="00585479">
        <w:tc>
          <w:tcPr>
            <w:tcW w:w="2337" w:type="dxa"/>
          </w:tcPr>
          <w:p w14:paraId="72DA63E5" w14:textId="77777777" w:rsidR="00A63527" w:rsidRPr="00594434" w:rsidRDefault="00A63527" w:rsidP="00585479">
            <w:pPr>
              <w:spacing w:after="240"/>
              <w:contextualSpacing/>
              <w:rPr>
                <w:rFonts w:cstheme="minorHAnsi"/>
              </w:rPr>
            </w:pPr>
          </w:p>
        </w:tc>
        <w:tc>
          <w:tcPr>
            <w:tcW w:w="2337" w:type="dxa"/>
          </w:tcPr>
          <w:p w14:paraId="3F3737DF" w14:textId="77777777" w:rsidR="00A63527" w:rsidRPr="00594434" w:rsidRDefault="00A63527" w:rsidP="00585479">
            <w:pPr>
              <w:spacing w:after="240"/>
              <w:contextualSpacing/>
              <w:rPr>
                <w:rFonts w:cstheme="minorHAnsi"/>
                <w:b/>
                <w:bCs/>
              </w:rPr>
            </w:pPr>
            <w:r w:rsidRPr="00594434">
              <w:rPr>
                <w:rFonts w:cstheme="minorHAnsi"/>
                <w:b/>
                <w:bCs/>
              </w:rPr>
              <w:t xml:space="preserve">DXA Lumbar spine/hip(s) </w:t>
            </w:r>
          </w:p>
        </w:tc>
        <w:tc>
          <w:tcPr>
            <w:tcW w:w="2338" w:type="dxa"/>
          </w:tcPr>
          <w:p w14:paraId="446748FE" w14:textId="77777777" w:rsidR="00A63527" w:rsidRPr="00594434" w:rsidRDefault="00A63527" w:rsidP="00585479">
            <w:pPr>
              <w:spacing w:after="240"/>
              <w:contextualSpacing/>
              <w:rPr>
                <w:rFonts w:cstheme="minorHAnsi"/>
                <w:b/>
                <w:bCs/>
              </w:rPr>
            </w:pPr>
            <w:r w:rsidRPr="00594434">
              <w:rPr>
                <w:rFonts w:cstheme="minorHAnsi"/>
                <w:b/>
                <w:bCs/>
              </w:rPr>
              <w:t xml:space="preserve">DXA Distal Forearm </w:t>
            </w:r>
          </w:p>
        </w:tc>
        <w:tc>
          <w:tcPr>
            <w:tcW w:w="2338" w:type="dxa"/>
          </w:tcPr>
          <w:p w14:paraId="49681017" w14:textId="77777777" w:rsidR="00A63527" w:rsidRPr="00594434" w:rsidRDefault="00A63527" w:rsidP="00585479">
            <w:pPr>
              <w:spacing w:after="240"/>
              <w:contextualSpacing/>
              <w:rPr>
                <w:rFonts w:cstheme="minorHAnsi"/>
                <w:b/>
                <w:bCs/>
              </w:rPr>
            </w:pPr>
            <w:r w:rsidRPr="00594434">
              <w:rPr>
                <w:rFonts w:cstheme="minorHAnsi"/>
                <w:b/>
                <w:bCs/>
              </w:rPr>
              <w:t xml:space="preserve">DXA-VFA </w:t>
            </w:r>
          </w:p>
        </w:tc>
      </w:tr>
      <w:tr w:rsidR="00A63527" w:rsidRPr="00594434" w14:paraId="45E95FDC" w14:textId="77777777" w:rsidTr="00585479">
        <w:tc>
          <w:tcPr>
            <w:tcW w:w="2337" w:type="dxa"/>
          </w:tcPr>
          <w:p w14:paraId="41200399" w14:textId="77777777" w:rsidR="00A63527" w:rsidRPr="00594434" w:rsidRDefault="00A63527" w:rsidP="00585479">
            <w:pPr>
              <w:spacing w:after="240"/>
              <w:contextualSpacing/>
              <w:rPr>
                <w:rFonts w:cstheme="minorHAnsi"/>
              </w:rPr>
            </w:pPr>
            <w:r w:rsidRPr="00594434">
              <w:rPr>
                <w:rFonts w:cstheme="minorHAnsi"/>
              </w:rPr>
              <w:t xml:space="preserve">Osteoporosis screening or initial imaging of </w:t>
            </w:r>
          </w:p>
          <w:p w14:paraId="0436C8B2" w14:textId="77777777" w:rsidR="00A63527" w:rsidRPr="00594434" w:rsidRDefault="00A63527" w:rsidP="00585479">
            <w:pPr>
              <w:spacing w:after="240"/>
              <w:contextualSpacing/>
              <w:rPr>
                <w:rFonts w:cstheme="minorHAnsi"/>
              </w:rPr>
            </w:pPr>
            <w:r w:rsidRPr="00594434">
              <w:rPr>
                <w:rFonts w:cstheme="minorHAnsi"/>
              </w:rPr>
              <w:t>clinically suspected low BMD.</w:t>
            </w:r>
          </w:p>
        </w:tc>
        <w:tc>
          <w:tcPr>
            <w:tcW w:w="2337" w:type="dxa"/>
            <w:shd w:val="clear" w:color="auto" w:fill="C5E0B3" w:themeFill="accent6" w:themeFillTint="66"/>
          </w:tcPr>
          <w:p w14:paraId="44BE0C69" w14:textId="77777777" w:rsidR="00A63527" w:rsidRPr="00594434" w:rsidRDefault="00A63527" w:rsidP="00585479">
            <w:pPr>
              <w:spacing w:after="240"/>
              <w:contextualSpacing/>
              <w:rPr>
                <w:rFonts w:cstheme="minorHAnsi"/>
              </w:rPr>
            </w:pPr>
            <w:proofErr w:type="gramStart"/>
            <w:r w:rsidRPr="00594434">
              <w:rPr>
                <w:rFonts w:cstheme="minorHAnsi"/>
              </w:rPr>
              <w:t>Usually</w:t>
            </w:r>
            <w:proofErr w:type="gramEnd"/>
            <w:r w:rsidRPr="00594434">
              <w:rPr>
                <w:rFonts w:cstheme="minorHAnsi"/>
              </w:rPr>
              <w:t xml:space="preserve"> appropriate</w:t>
            </w:r>
          </w:p>
        </w:tc>
        <w:tc>
          <w:tcPr>
            <w:tcW w:w="2338" w:type="dxa"/>
            <w:shd w:val="clear" w:color="auto" w:fill="FFF2CC" w:themeFill="accent4" w:themeFillTint="33"/>
          </w:tcPr>
          <w:p w14:paraId="49EEF761" w14:textId="77777777" w:rsidR="00A63527" w:rsidRPr="00594434" w:rsidRDefault="00A63527" w:rsidP="00585479">
            <w:pPr>
              <w:spacing w:after="240"/>
              <w:contextualSpacing/>
              <w:rPr>
                <w:rFonts w:cstheme="minorHAnsi"/>
              </w:rPr>
            </w:pPr>
            <w:r w:rsidRPr="00594434">
              <w:rPr>
                <w:rFonts w:cstheme="minorHAnsi"/>
              </w:rPr>
              <w:t xml:space="preserve">May be appropriate </w:t>
            </w:r>
          </w:p>
        </w:tc>
        <w:tc>
          <w:tcPr>
            <w:tcW w:w="2338" w:type="dxa"/>
          </w:tcPr>
          <w:p w14:paraId="6F9518E8" w14:textId="77777777" w:rsidR="00A63527" w:rsidRPr="00594434" w:rsidRDefault="00A63527" w:rsidP="00585479">
            <w:pPr>
              <w:spacing w:after="240"/>
              <w:contextualSpacing/>
              <w:rPr>
                <w:rFonts w:cstheme="minorHAnsi"/>
              </w:rPr>
            </w:pPr>
            <w:r w:rsidRPr="00594434">
              <w:rPr>
                <w:rFonts w:cstheme="minorHAnsi"/>
              </w:rPr>
              <w:t>NR</w:t>
            </w:r>
          </w:p>
        </w:tc>
      </w:tr>
      <w:tr w:rsidR="00A63527" w:rsidRPr="00594434" w14:paraId="244044EA" w14:textId="77777777" w:rsidTr="00585479">
        <w:tc>
          <w:tcPr>
            <w:tcW w:w="2337" w:type="dxa"/>
          </w:tcPr>
          <w:p w14:paraId="250F6433" w14:textId="77777777" w:rsidR="00A63527" w:rsidRPr="00594434" w:rsidRDefault="00A63527" w:rsidP="00585479">
            <w:pPr>
              <w:spacing w:after="240"/>
              <w:contextualSpacing/>
              <w:rPr>
                <w:rFonts w:cstheme="minorHAnsi"/>
              </w:rPr>
            </w:pPr>
            <w:r w:rsidRPr="00594434">
              <w:rPr>
                <w:rFonts w:cstheme="minorHAnsi"/>
              </w:rPr>
              <w:t>Follow-up imaging of patients demonstrated to have risk for fracture or surveillance of established low BMD</w:t>
            </w:r>
          </w:p>
        </w:tc>
        <w:tc>
          <w:tcPr>
            <w:tcW w:w="2337" w:type="dxa"/>
            <w:shd w:val="clear" w:color="auto" w:fill="C5E0B3" w:themeFill="accent6" w:themeFillTint="66"/>
          </w:tcPr>
          <w:p w14:paraId="5A83B3DF" w14:textId="77777777" w:rsidR="00A63527" w:rsidRPr="00594434" w:rsidRDefault="00A63527" w:rsidP="00585479">
            <w:pPr>
              <w:spacing w:after="240"/>
              <w:contextualSpacing/>
              <w:rPr>
                <w:rFonts w:cstheme="minorHAnsi"/>
              </w:rPr>
            </w:pPr>
            <w:proofErr w:type="gramStart"/>
            <w:r w:rsidRPr="00594434">
              <w:rPr>
                <w:rFonts w:cstheme="minorHAnsi"/>
              </w:rPr>
              <w:t>Usually</w:t>
            </w:r>
            <w:proofErr w:type="gramEnd"/>
            <w:r w:rsidRPr="00594434">
              <w:rPr>
                <w:rFonts w:cstheme="minorHAnsi"/>
              </w:rPr>
              <w:t xml:space="preserve"> appropriate </w:t>
            </w:r>
          </w:p>
        </w:tc>
        <w:tc>
          <w:tcPr>
            <w:tcW w:w="2338" w:type="dxa"/>
            <w:shd w:val="clear" w:color="auto" w:fill="FFF2CC" w:themeFill="accent4" w:themeFillTint="33"/>
          </w:tcPr>
          <w:p w14:paraId="09984676" w14:textId="77777777" w:rsidR="00A63527" w:rsidRPr="00594434" w:rsidRDefault="00A63527" w:rsidP="00585479">
            <w:pPr>
              <w:spacing w:after="240"/>
              <w:contextualSpacing/>
              <w:rPr>
                <w:rFonts w:cstheme="minorHAnsi"/>
              </w:rPr>
            </w:pPr>
            <w:r w:rsidRPr="00594434">
              <w:rPr>
                <w:rFonts w:cstheme="minorHAnsi"/>
              </w:rPr>
              <w:t>May be appropriate</w:t>
            </w:r>
          </w:p>
        </w:tc>
        <w:tc>
          <w:tcPr>
            <w:tcW w:w="2338" w:type="dxa"/>
            <w:shd w:val="clear" w:color="auto" w:fill="FBE4D5" w:themeFill="accent2" w:themeFillTint="33"/>
          </w:tcPr>
          <w:p w14:paraId="31D3C52E" w14:textId="77777777" w:rsidR="00A63527" w:rsidRPr="00594434" w:rsidRDefault="00A63527" w:rsidP="00585479">
            <w:pPr>
              <w:spacing w:after="240"/>
              <w:contextualSpacing/>
              <w:rPr>
                <w:rFonts w:cstheme="minorHAnsi"/>
              </w:rPr>
            </w:pPr>
            <w:r w:rsidRPr="00594434">
              <w:rPr>
                <w:rFonts w:cstheme="minorHAnsi"/>
              </w:rPr>
              <w:t xml:space="preserve">Usually not appropriate </w:t>
            </w:r>
          </w:p>
        </w:tc>
      </w:tr>
      <w:tr w:rsidR="00A63527" w:rsidRPr="00594434" w14:paraId="617BC715" w14:textId="77777777" w:rsidTr="00585479">
        <w:tc>
          <w:tcPr>
            <w:tcW w:w="2337" w:type="dxa"/>
          </w:tcPr>
          <w:p w14:paraId="50A07842" w14:textId="77777777" w:rsidR="00A63527" w:rsidRPr="00594434" w:rsidRDefault="00A63527" w:rsidP="00585479">
            <w:pPr>
              <w:spacing w:after="240"/>
              <w:contextualSpacing/>
              <w:rPr>
                <w:rFonts w:cstheme="minorHAnsi"/>
              </w:rPr>
            </w:pPr>
            <w:r w:rsidRPr="00594434">
              <w:rPr>
                <w:rFonts w:cstheme="minorHAnsi"/>
              </w:rPr>
              <w:t xml:space="preserve">Follow-up imaging of </w:t>
            </w:r>
          </w:p>
          <w:p w14:paraId="37325F1C" w14:textId="77777777" w:rsidR="00A63527" w:rsidRPr="00594434" w:rsidRDefault="00A63527" w:rsidP="00585479">
            <w:pPr>
              <w:spacing w:after="240"/>
              <w:contextualSpacing/>
              <w:rPr>
                <w:rFonts w:cstheme="minorHAnsi"/>
              </w:rPr>
            </w:pPr>
            <w:r w:rsidRPr="00594434">
              <w:rPr>
                <w:rFonts w:cstheme="minorHAnsi"/>
              </w:rPr>
              <w:t>patients with T-scores less than −1.0 (by DXA) and one or more risk factors*</w:t>
            </w:r>
          </w:p>
        </w:tc>
        <w:tc>
          <w:tcPr>
            <w:tcW w:w="2337" w:type="dxa"/>
            <w:shd w:val="clear" w:color="auto" w:fill="C5E0B3" w:themeFill="accent6" w:themeFillTint="66"/>
          </w:tcPr>
          <w:p w14:paraId="22777490" w14:textId="77777777" w:rsidR="00A63527" w:rsidRPr="00594434" w:rsidRDefault="00A63527" w:rsidP="00585479">
            <w:pPr>
              <w:spacing w:after="240"/>
              <w:contextualSpacing/>
              <w:rPr>
                <w:rFonts w:cstheme="minorHAnsi"/>
              </w:rPr>
            </w:pPr>
            <w:proofErr w:type="gramStart"/>
            <w:r w:rsidRPr="00594434">
              <w:rPr>
                <w:rFonts w:cstheme="minorHAnsi"/>
              </w:rPr>
              <w:t>Usually</w:t>
            </w:r>
            <w:proofErr w:type="gramEnd"/>
            <w:r w:rsidRPr="00594434">
              <w:rPr>
                <w:rFonts w:cstheme="minorHAnsi"/>
              </w:rPr>
              <w:t xml:space="preserve"> appropriate </w:t>
            </w:r>
          </w:p>
        </w:tc>
        <w:tc>
          <w:tcPr>
            <w:tcW w:w="2338" w:type="dxa"/>
            <w:shd w:val="clear" w:color="auto" w:fill="FFF2CC" w:themeFill="accent4" w:themeFillTint="33"/>
          </w:tcPr>
          <w:p w14:paraId="5BBF856A" w14:textId="77777777" w:rsidR="00A63527" w:rsidRPr="00594434" w:rsidRDefault="00A63527" w:rsidP="00585479">
            <w:pPr>
              <w:spacing w:after="240"/>
              <w:contextualSpacing/>
              <w:rPr>
                <w:rFonts w:cstheme="minorHAnsi"/>
              </w:rPr>
            </w:pPr>
            <w:r w:rsidRPr="00594434">
              <w:rPr>
                <w:rFonts w:cstheme="minorHAnsi"/>
              </w:rPr>
              <w:t xml:space="preserve">May be appropriate </w:t>
            </w:r>
          </w:p>
        </w:tc>
        <w:tc>
          <w:tcPr>
            <w:tcW w:w="2338" w:type="dxa"/>
            <w:shd w:val="clear" w:color="auto" w:fill="C5E0B3" w:themeFill="accent6" w:themeFillTint="66"/>
          </w:tcPr>
          <w:p w14:paraId="5D6E09D3" w14:textId="77777777" w:rsidR="00A63527" w:rsidRPr="00594434" w:rsidRDefault="00A63527" w:rsidP="00585479">
            <w:pPr>
              <w:spacing w:after="240"/>
              <w:contextualSpacing/>
              <w:rPr>
                <w:rFonts w:cstheme="minorHAnsi"/>
              </w:rPr>
            </w:pPr>
            <w:proofErr w:type="gramStart"/>
            <w:r w:rsidRPr="00594434">
              <w:rPr>
                <w:rFonts w:cstheme="minorHAnsi"/>
              </w:rPr>
              <w:t>Usually</w:t>
            </w:r>
            <w:proofErr w:type="gramEnd"/>
            <w:r w:rsidRPr="00594434">
              <w:rPr>
                <w:rFonts w:cstheme="minorHAnsi"/>
              </w:rPr>
              <w:t xml:space="preserve"> appropriate </w:t>
            </w:r>
          </w:p>
        </w:tc>
      </w:tr>
      <w:tr w:rsidR="00A63527" w:rsidRPr="00594434" w14:paraId="1FB4FD53" w14:textId="77777777" w:rsidTr="00585479">
        <w:tc>
          <w:tcPr>
            <w:tcW w:w="2337" w:type="dxa"/>
          </w:tcPr>
          <w:p w14:paraId="64914BE4" w14:textId="77777777" w:rsidR="00A63527" w:rsidRPr="00594434" w:rsidRDefault="00A63527" w:rsidP="00585479">
            <w:pPr>
              <w:spacing w:after="240"/>
              <w:contextualSpacing/>
              <w:rPr>
                <w:rFonts w:cstheme="minorHAnsi"/>
              </w:rPr>
            </w:pPr>
            <w:bookmarkStart w:id="31" w:name="_Hlk158390155"/>
            <w:r w:rsidRPr="00594434">
              <w:rPr>
                <w:rFonts w:cstheme="minorHAnsi"/>
              </w:rPr>
              <w:t xml:space="preserve">Initial imaging for premenopausal females or males less than 50 years of age. Individual with </w:t>
            </w:r>
          </w:p>
          <w:p w14:paraId="35194CCF" w14:textId="77777777" w:rsidR="00A63527" w:rsidRPr="00594434" w:rsidRDefault="00A63527" w:rsidP="00585479">
            <w:pPr>
              <w:spacing w:after="240"/>
              <w:contextualSpacing/>
              <w:rPr>
                <w:rFonts w:cstheme="minorHAnsi"/>
              </w:rPr>
            </w:pPr>
            <w:r w:rsidRPr="00594434">
              <w:rPr>
                <w:rFonts w:cstheme="minorHAnsi"/>
              </w:rPr>
              <w:t>risk factors that could alter bone mineral density.</w:t>
            </w:r>
            <w:bookmarkEnd w:id="31"/>
          </w:p>
        </w:tc>
        <w:tc>
          <w:tcPr>
            <w:tcW w:w="2337" w:type="dxa"/>
            <w:shd w:val="clear" w:color="auto" w:fill="C5E0B3" w:themeFill="accent6" w:themeFillTint="66"/>
          </w:tcPr>
          <w:p w14:paraId="26A47904" w14:textId="77777777" w:rsidR="00A63527" w:rsidRPr="00594434" w:rsidRDefault="00A63527" w:rsidP="00585479">
            <w:pPr>
              <w:spacing w:after="240"/>
              <w:contextualSpacing/>
              <w:rPr>
                <w:rFonts w:cstheme="minorHAnsi"/>
              </w:rPr>
            </w:pPr>
            <w:commentRangeStart w:id="32"/>
            <w:proofErr w:type="gramStart"/>
            <w:r w:rsidRPr="00594434">
              <w:rPr>
                <w:rFonts w:cstheme="minorHAnsi"/>
              </w:rPr>
              <w:t>Usually</w:t>
            </w:r>
            <w:commentRangeEnd w:id="32"/>
            <w:proofErr w:type="gramEnd"/>
            <w:r w:rsidR="00D4086F">
              <w:rPr>
                <w:rStyle w:val="CommentReference"/>
              </w:rPr>
              <w:commentReference w:id="32"/>
            </w:r>
            <w:r w:rsidRPr="00594434">
              <w:rPr>
                <w:rFonts w:cstheme="minorHAnsi"/>
              </w:rPr>
              <w:t xml:space="preserve"> approropriate</w:t>
            </w:r>
          </w:p>
        </w:tc>
        <w:tc>
          <w:tcPr>
            <w:tcW w:w="2338" w:type="dxa"/>
            <w:shd w:val="clear" w:color="auto" w:fill="FFF2CC" w:themeFill="accent4" w:themeFillTint="33"/>
          </w:tcPr>
          <w:p w14:paraId="0EC363CD" w14:textId="77777777" w:rsidR="00A63527" w:rsidRPr="00594434" w:rsidRDefault="00A63527" w:rsidP="00585479">
            <w:pPr>
              <w:spacing w:after="240"/>
              <w:contextualSpacing/>
              <w:rPr>
                <w:rFonts w:cstheme="minorHAnsi"/>
              </w:rPr>
            </w:pPr>
            <w:r w:rsidRPr="00594434">
              <w:rPr>
                <w:rFonts w:cstheme="minorHAnsi"/>
              </w:rPr>
              <w:t xml:space="preserve">May be appropriate </w:t>
            </w:r>
          </w:p>
        </w:tc>
        <w:tc>
          <w:tcPr>
            <w:tcW w:w="2338" w:type="dxa"/>
          </w:tcPr>
          <w:p w14:paraId="78D85EAD" w14:textId="77777777" w:rsidR="00A63527" w:rsidRPr="00594434" w:rsidRDefault="00A63527" w:rsidP="00585479">
            <w:pPr>
              <w:spacing w:after="240"/>
              <w:contextualSpacing/>
              <w:rPr>
                <w:rFonts w:cstheme="minorHAnsi"/>
              </w:rPr>
            </w:pPr>
            <w:r w:rsidRPr="00594434">
              <w:rPr>
                <w:rFonts w:cstheme="minorHAnsi"/>
              </w:rPr>
              <w:t xml:space="preserve">NR </w:t>
            </w:r>
          </w:p>
        </w:tc>
      </w:tr>
      <w:tr w:rsidR="00A63527" w:rsidRPr="00594434" w14:paraId="6EEB5476" w14:textId="77777777" w:rsidTr="00585479">
        <w:tc>
          <w:tcPr>
            <w:tcW w:w="2337" w:type="dxa"/>
          </w:tcPr>
          <w:p w14:paraId="7D6710F8" w14:textId="77777777" w:rsidR="00A63527" w:rsidRPr="00594434" w:rsidRDefault="00A63527" w:rsidP="00585479">
            <w:pPr>
              <w:spacing w:after="240"/>
              <w:contextualSpacing/>
              <w:rPr>
                <w:rFonts w:cstheme="minorHAnsi"/>
              </w:rPr>
            </w:pPr>
            <w:r w:rsidRPr="00594434">
              <w:rPr>
                <w:rFonts w:cstheme="minorHAnsi"/>
              </w:rPr>
              <w:t xml:space="preserve">Imaging follow-up to low BMD of </w:t>
            </w:r>
          </w:p>
          <w:p w14:paraId="760306A8" w14:textId="77777777" w:rsidR="00A63527" w:rsidRPr="00594434" w:rsidRDefault="00A63527" w:rsidP="00585479">
            <w:pPr>
              <w:spacing w:after="240"/>
              <w:contextualSpacing/>
              <w:rPr>
                <w:rFonts w:cstheme="minorHAnsi"/>
              </w:rPr>
            </w:pPr>
            <w:r w:rsidRPr="00594434">
              <w:rPr>
                <w:rFonts w:cstheme="minorHAnsi"/>
              </w:rPr>
              <w:t xml:space="preserve">patients with risk factors including premenopausal females or males less </w:t>
            </w:r>
            <w:r w:rsidRPr="00594434">
              <w:rPr>
                <w:rFonts w:cstheme="minorHAnsi"/>
              </w:rPr>
              <w:lastRenderedPageBreak/>
              <w:t>than 50 years of age with risk factors</w:t>
            </w:r>
          </w:p>
        </w:tc>
        <w:tc>
          <w:tcPr>
            <w:tcW w:w="2337" w:type="dxa"/>
            <w:shd w:val="clear" w:color="auto" w:fill="C5E0B3" w:themeFill="accent6" w:themeFillTint="66"/>
          </w:tcPr>
          <w:p w14:paraId="6D2351F1" w14:textId="2D08899F" w:rsidR="00A63527" w:rsidRPr="00594434" w:rsidRDefault="00A63527" w:rsidP="00585479">
            <w:pPr>
              <w:spacing w:after="240"/>
              <w:contextualSpacing/>
              <w:rPr>
                <w:rFonts w:cstheme="minorHAnsi"/>
              </w:rPr>
            </w:pPr>
            <w:proofErr w:type="gramStart"/>
            <w:r w:rsidRPr="00594434">
              <w:rPr>
                <w:rFonts w:cstheme="minorHAnsi"/>
              </w:rPr>
              <w:lastRenderedPageBreak/>
              <w:t>Usually</w:t>
            </w:r>
            <w:proofErr w:type="gramEnd"/>
            <w:r w:rsidRPr="00594434">
              <w:rPr>
                <w:rFonts w:cstheme="minorHAnsi"/>
              </w:rPr>
              <w:t xml:space="preserve"> </w:t>
            </w:r>
            <w:r w:rsidR="000375C0" w:rsidRPr="00594434">
              <w:rPr>
                <w:rFonts w:cstheme="minorHAnsi"/>
              </w:rPr>
              <w:t>appropriate</w:t>
            </w:r>
            <w:r w:rsidRPr="00594434">
              <w:rPr>
                <w:rFonts w:cstheme="minorHAnsi"/>
              </w:rPr>
              <w:t xml:space="preserve"> </w:t>
            </w:r>
          </w:p>
        </w:tc>
        <w:tc>
          <w:tcPr>
            <w:tcW w:w="2338" w:type="dxa"/>
            <w:shd w:val="clear" w:color="auto" w:fill="FFF2CC" w:themeFill="accent4" w:themeFillTint="33"/>
          </w:tcPr>
          <w:p w14:paraId="7F0B6E94" w14:textId="77777777" w:rsidR="00A63527" w:rsidRPr="00594434" w:rsidRDefault="00A63527" w:rsidP="00585479">
            <w:pPr>
              <w:spacing w:after="240"/>
              <w:contextualSpacing/>
              <w:rPr>
                <w:rFonts w:cstheme="minorHAnsi"/>
              </w:rPr>
            </w:pPr>
            <w:r w:rsidRPr="00594434">
              <w:rPr>
                <w:rFonts w:cstheme="minorHAnsi"/>
              </w:rPr>
              <w:t xml:space="preserve">May be appropriate </w:t>
            </w:r>
          </w:p>
        </w:tc>
        <w:tc>
          <w:tcPr>
            <w:tcW w:w="2338" w:type="dxa"/>
          </w:tcPr>
          <w:p w14:paraId="749E107C" w14:textId="77777777" w:rsidR="00A63527" w:rsidRPr="00594434" w:rsidRDefault="00A63527" w:rsidP="00585479">
            <w:pPr>
              <w:spacing w:after="240"/>
              <w:contextualSpacing/>
              <w:rPr>
                <w:rFonts w:cstheme="minorHAnsi"/>
              </w:rPr>
            </w:pPr>
            <w:r w:rsidRPr="00594434">
              <w:rPr>
                <w:rFonts w:cstheme="minorHAnsi"/>
              </w:rPr>
              <w:t>NR</w:t>
            </w:r>
          </w:p>
        </w:tc>
      </w:tr>
      <w:tr w:rsidR="00A63527" w:rsidRPr="00594434" w14:paraId="7A32E32B" w14:textId="77777777" w:rsidTr="00585479">
        <w:tc>
          <w:tcPr>
            <w:tcW w:w="2337" w:type="dxa"/>
          </w:tcPr>
          <w:p w14:paraId="551436F7" w14:textId="77777777" w:rsidR="00A63527" w:rsidRPr="00594434" w:rsidRDefault="00A63527" w:rsidP="00585479">
            <w:pPr>
              <w:spacing w:after="240"/>
              <w:contextualSpacing/>
              <w:rPr>
                <w:rFonts w:cstheme="minorHAnsi"/>
              </w:rPr>
            </w:pPr>
            <w:r w:rsidRPr="00594434">
              <w:rPr>
                <w:rFonts w:cstheme="minorHAnsi"/>
              </w:rPr>
              <w:t xml:space="preserve">initial imaging of clinically suspected osteoporosis in patients with advanced degenerative </w:t>
            </w:r>
          </w:p>
          <w:p w14:paraId="038D8491" w14:textId="77777777" w:rsidR="00A63527" w:rsidRPr="00594434" w:rsidRDefault="00A63527" w:rsidP="00585479">
            <w:pPr>
              <w:spacing w:after="240"/>
              <w:contextualSpacing/>
              <w:rPr>
                <w:rFonts w:cstheme="minorHAnsi"/>
              </w:rPr>
            </w:pPr>
            <w:r w:rsidRPr="00594434">
              <w:rPr>
                <w:rFonts w:cstheme="minorHAnsi"/>
              </w:rPr>
              <w:t>changes of the spine with or without scoliosis, or other conditions that may spuriously elevate BMD.</w:t>
            </w:r>
          </w:p>
        </w:tc>
        <w:tc>
          <w:tcPr>
            <w:tcW w:w="2337" w:type="dxa"/>
            <w:shd w:val="clear" w:color="auto" w:fill="C5E0B3" w:themeFill="accent6" w:themeFillTint="66"/>
          </w:tcPr>
          <w:p w14:paraId="67235231" w14:textId="77777777" w:rsidR="00A63527" w:rsidRPr="00594434" w:rsidRDefault="00A63527" w:rsidP="00585479">
            <w:pPr>
              <w:spacing w:after="240"/>
              <w:contextualSpacing/>
              <w:rPr>
                <w:rFonts w:cstheme="minorHAnsi"/>
              </w:rPr>
            </w:pPr>
            <w:proofErr w:type="gramStart"/>
            <w:r w:rsidRPr="00594434">
              <w:rPr>
                <w:rFonts w:cstheme="minorHAnsi"/>
              </w:rPr>
              <w:t>Usually</w:t>
            </w:r>
            <w:proofErr w:type="gramEnd"/>
            <w:r w:rsidRPr="00594434">
              <w:rPr>
                <w:rFonts w:cstheme="minorHAnsi"/>
              </w:rPr>
              <w:t xml:space="preserve"> appropriate</w:t>
            </w:r>
          </w:p>
        </w:tc>
        <w:tc>
          <w:tcPr>
            <w:tcW w:w="2338" w:type="dxa"/>
            <w:shd w:val="clear" w:color="auto" w:fill="C5E0B3" w:themeFill="accent6" w:themeFillTint="66"/>
          </w:tcPr>
          <w:p w14:paraId="5114FF63" w14:textId="77777777" w:rsidR="00A63527" w:rsidRPr="00594434" w:rsidRDefault="00A63527" w:rsidP="00585479">
            <w:pPr>
              <w:spacing w:after="240"/>
              <w:contextualSpacing/>
              <w:rPr>
                <w:rFonts w:cstheme="minorHAnsi"/>
              </w:rPr>
            </w:pPr>
            <w:proofErr w:type="gramStart"/>
            <w:r w:rsidRPr="00594434">
              <w:rPr>
                <w:rFonts w:cstheme="minorHAnsi"/>
              </w:rPr>
              <w:t>Usually</w:t>
            </w:r>
            <w:proofErr w:type="gramEnd"/>
            <w:r w:rsidRPr="00594434">
              <w:rPr>
                <w:rFonts w:cstheme="minorHAnsi"/>
              </w:rPr>
              <w:t xml:space="preserve"> appropriate</w:t>
            </w:r>
          </w:p>
        </w:tc>
        <w:tc>
          <w:tcPr>
            <w:tcW w:w="2338" w:type="dxa"/>
          </w:tcPr>
          <w:p w14:paraId="2D964DC9" w14:textId="77777777" w:rsidR="00A63527" w:rsidRPr="00594434" w:rsidRDefault="00A63527" w:rsidP="00585479">
            <w:pPr>
              <w:spacing w:after="240"/>
              <w:contextualSpacing/>
              <w:rPr>
                <w:rFonts w:cstheme="minorHAnsi"/>
              </w:rPr>
            </w:pPr>
            <w:r w:rsidRPr="00594434">
              <w:rPr>
                <w:rFonts w:cstheme="minorHAnsi"/>
              </w:rPr>
              <w:t xml:space="preserve">NR </w:t>
            </w:r>
          </w:p>
        </w:tc>
      </w:tr>
    </w:tbl>
    <w:p w14:paraId="0D41EFF2" w14:textId="77777777" w:rsidR="00A63527" w:rsidRPr="00594434" w:rsidRDefault="00A63527" w:rsidP="00A63527">
      <w:pPr>
        <w:spacing w:after="240" w:line="240" w:lineRule="auto"/>
        <w:contextualSpacing/>
        <w:rPr>
          <w:rFonts w:cstheme="minorHAnsi"/>
        </w:rPr>
      </w:pPr>
    </w:p>
    <w:p w14:paraId="359ECC30" w14:textId="77777777" w:rsidR="00A63527" w:rsidRPr="00594434" w:rsidRDefault="00A63527" w:rsidP="00A63527">
      <w:pPr>
        <w:spacing w:after="240" w:line="240" w:lineRule="auto"/>
        <w:contextualSpacing/>
        <w:rPr>
          <w:rFonts w:cstheme="minorHAnsi"/>
        </w:rPr>
      </w:pPr>
      <w:r w:rsidRPr="00594434">
        <w:rPr>
          <w:rFonts w:cstheme="minorHAnsi"/>
        </w:rPr>
        <w:t xml:space="preserve">NR: Not rated. </w:t>
      </w:r>
    </w:p>
    <w:p w14:paraId="280C2CE6" w14:textId="77777777" w:rsidR="00A63527" w:rsidRPr="00594434" w:rsidRDefault="00A63527" w:rsidP="00A63527">
      <w:pPr>
        <w:spacing w:after="240" w:line="240" w:lineRule="auto"/>
        <w:contextualSpacing/>
        <w:rPr>
          <w:rFonts w:cstheme="minorHAnsi"/>
        </w:rPr>
      </w:pPr>
      <w:r w:rsidRPr="00594434">
        <w:rPr>
          <w:rFonts w:cstheme="minorHAnsi"/>
        </w:rPr>
        <w:t>*Risk factors: 1) Females equal to or greater than 70 years of age or males equal to or greater than 80 years of age; 2) Historical height loss greater than 4 cm (greater than 1.5 inches); 3) Self-reported but undocumented prior VF; 4) Glucocorticoid therapy equivalent to equal to or greater than 5 mg of prednisone or equivalent per day for equal to or greater than 3 months.</w:t>
      </w:r>
    </w:p>
    <w:p w14:paraId="762336C3" w14:textId="77777777" w:rsidR="00A63527" w:rsidRPr="00594434" w:rsidRDefault="00A63527" w:rsidP="00A63527">
      <w:pPr>
        <w:spacing w:after="240" w:line="240" w:lineRule="auto"/>
        <w:contextualSpacing/>
        <w:rPr>
          <w:rFonts w:cstheme="minorHAnsi"/>
        </w:rPr>
      </w:pPr>
    </w:p>
    <w:p w14:paraId="77E6C664" w14:textId="143D5E17" w:rsidR="00A11A3E" w:rsidRPr="00D4086F" w:rsidRDefault="00A63527" w:rsidP="00A11A3E">
      <w:pPr>
        <w:pStyle w:val="NormalWeb"/>
        <w:spacing w:before="0" w:beforeAutospacing="0" w:after="240" w:afterAutospacing="0"/>
        <w:contextualSpacing/>
        <w:rPr>
          <w:rFonts w:asciiTheme="minorHAnsi" w:hAnsiTheme="minorHAnsi" w:cstheme="minorHAnsi"/>
          <w:sz w:val="22"/>
          <w:szCs w:val="22"/>
        </w:rPr>
      </w:pPr>
      <w:r w:rsidRPr="00594434">
        <w:rPr>
          <w:rFonts w:asciiTheme="minorHAnsi" w:hAnsiTheme="minorHAnsi" w:cstheme="minorHAnsi"/>
          <w:sz w:val="22"/>
          <w:szCs w:val="22"/>
        </w:rPr>
        <w:t>As shown in the Table,</w:t>
      </w:r>
      <w:r w:rsidR="00F72125" w:rsidRPr="00594434">
        <w:rPr>
          <w:rFonts w:asciiTheme="minorHAnsi" w:hAnsiTheme="minorHAnsi" w:cstheme="minorHAnsi"/>
          <w:sz w:val="22"/>
          <w:szCs w:val="22"/>
        </w:rPr>
        <w:t xml:space="preserve"> </w:t>
      </w:r>
      <w:r w:rsidR="00F72125" w:rsidRPr="00594434">
        <w:rPr>
          <w:rFonts w:asciiTheme="minorHAnsi" w:hAnsiTheme="minorHAnsi" w:cstheme="minorHAnsi"/>
          <w:sz w:val="22"/>
          <w:szCs w:val="22"/>
          <w:highlight w:val="green"/>
        </w:rPr>
        <w:t xml:space="preserve">DXA of the lumbar spine and hip are considered “usually appropriate” for </w:t>
      </w:r>
      <w:r w:rsidR="00B45AE3" w:rsidRPr="00594434">
        <w:rPr>
          <w:rFonts w:asciiTheme="minorHAnsi" w:hAnsiTheme="minorHAnsi" w:cstheme="minorHAnsi"/>
          <w:sz w:val="22"/>
          <w:szCs w:val="22"/>
          <w:highlight w:val="green"/>
        </w:rPr>
        <w:t>all</w:t>
      </w:r>
      <w:r w:rsidR="00F72125" w:rsidRPr="00594434">
        <w:rPr>
          <w:rFonts w:asciiTheme="minorHAnsi" w:hAnsiTheme="minorHAnsi" w:cstheme="minorHAnsi"/>
          <w:sz w:val="22"/>
          <w:szCs w:val="22"/>
          <w:highlight w:val="green"/>
        </w:rPr>
        <w:t xml:space="preserve"> the clinical scenarios </w:t>
      </w:r>
      <w:commentRangeStart w:id="33"/>
      <w:r w:rsidR="00F72125" w:rsidRPr="00594434">
        <w:rPr>
          <w:rFonts w:asciiTheme="minorHAnsi" w:hAnsiTheme="minorHAnsi" w:cstheme="minorHAnsi"/>
          <w:sz w:val="22"/>
          <w:szCs w:val="22"/>
          <w:highlight w:val="green"/>
        </w:rPr>
        <w:t>reviewed</w:t>
      </w:r>
      <w:commentRangeEnd w:id="33"/>
      <w:r w:rsidR="00594434">
        <w:rPr>
          <w:rStyle w:val="CommentReference"/>
          <w:rFonts w:asciiTheme="minorHAnsi" w:eastAsiaTheme="minorHAnsi" w:hAnsiTheme="minorHAnsi" w:cstheme="minorBidi"/>
          <w:kern w:val="2"/>
          <w14:ligatures w14:val="standardContextual"/>
        </w:rPr>
        <w:commentReference w:id="33"/>
      </w:r>
      <w:r w:rsidRPr="00594434">
        <w:rPr>
          <w:rFonts w:asciiTheme="minorHAnsi" w:hAnsiTheme="minorHAnsi" w:cstheme="minorHAnsi"/>
          <w:sz w:val="22"/>
          <w:szCs w:val="22"/>
          <w:highlight w:val="green"/>
        </w:rPr>
        <w:t>.</w:t>
      </w:r>
      <w:r w:rsidR="00162C7F">
        <w:rPr>
          <w:rFonts w:asciiTheme="minorHAnsi" w:hAnsiTheme="minorHAnsi" w:cstheme="minorHAnsi"/>
          <w:sz w:val="22"/>
          <w:szCs w:val="22"/>
          <w:highlight w:val="green"/>
        </w:rPr>
        <w:fldChar w:fldCharType="begin"/>
      </w:r>
      <w:r w:rsidR="00162C7F">
        <w:rPr>
          <w:rFonts w:asciiTheme="minorHAnsi" w:hAnsiTheme="minorHAnsi" w:cstheme="minorHAnsi"/>
          <w:sz w:val="22"/>
          <w:szCs w:val="22"/>
          <w:highlight w:val="green"/>
        </w:rPr>
        <w:instrText xml:space="preserve"> NOTEREF _Ref158631959 \f \h </w:instrText>
      </w:r>
      <w:r w:rsidR="00162C7F">
        <w:rPr>
          <w:rFonts w:asciiTheme="minorHAnsi" w:hAnsiTheme="minorHAnsi" w:cstheme="minorHAnsi"/>
          <w:sz w:val="22"/>
          <w:szCs w:val="22"/>
          <w:highlight w:val="green"/>
        </w:rPr>
      </w:r>
      <w:r w:rsidR="00162C7F">
        <w:rPr>
          <w:rFonts w:asciiTheme="minorHAnsi" w:hAnsiTheme="minorHAnsi" w:cstheme="minorHAnsi"/>
          <w:sz w:val="22"/>
          <w:szCs w:val="22"/>
          <w:highlight w:val="green"/>
        </w:rPr>
        <w:fldChar w:fldCharType="separate"/>
      </w:r>
      <w:r w:rsidR="00162C7F" w:rsidRPr="00162C7F">
        <w:rPr>
          <w:rStyle w:val="EndnoteReference"/>
          <w:highlight w:val="green"/>
        </w:rPr>
        <w:t>18</w:t>
      </w:r>
      <w:r w:rsidR="00162C7F">
        <w:rPr>
          <w:rFonts w:asciiTheme="minorHAnsi" w:hAnsiTheme="minorHAnsi" w:cstheme="minorHAnsi"/>
          <w:sz w:val="22"/>
          <w:szCs w:val="22"/>
          <w:highlight w:val="green"/>
        </w:rPr>
        <w:fldChar w:fldCharType="end"/>
      </w:r>
      <w:r w:rsidRPr="00594434">
        <w:rPr>
          <w:rFonts w:asciiTheme="minorHAnsi" w:hAnsiTheme="minorHAnsi" w:cstheme="minorHAnsi"/>
          <w:sz w:val="22"/>
          <w:szCs w:val="22"/>
        </w:rPr>
        <w:t xml:space="preserve"> </w:t>
      </w:r>
      <w:r w:rsidR="00B059CE" w:rsidRPr="00594434">
        <w:rPr>
          <w:rFonts w:asciiTheme="minorHAnsi" w:hAnsiTheme="minorHAnsi" w:cstheme="minorHAnsi"/>
          <w:sz w:val="22"/>
          <w:szCs w:val="22"/>
        </w:rPr>
        <w:t>DX</w:t>
      </w:r>
      <w:r w:rsidR="00324271" w:rsidRPr="00594434">
        <w:rPr>
          <w:rFonts w:asciiTheme="minorHAnsi" w:hAnsiTheme="minorHAnsi" w:cstheme="minorHAnsi"/>
          <w:sz w:val="22"/>
          <w:szCs w:val="22"/>
        </w:rPr>
        <w:t>A</w:t>
      </w:r>
      <w:r w:rsidR="00B059CE" w:rsidRPr="00594434">
        <w:rPr>
          <w:rFonts w:asciiTheme="minorHAnsi" w:hAnsiTheme="minorHAnsi" w:cstheme="minorHAnsi"/>
          <w:sz w:val="22"/>
          <w:szCs w:val="22"/>
        </w:rPr>
        <w:t xml:space="preserve"> of the distal forearm </w:t>
      </w:r>
      <w:r w:rsidR="00271766" w:rsidRPr="00594434">
        <w:rPr>
          <w:rFonts w:asciiTheme="minorHAnsi" w:hAnsiTheme="minorHAnsi" w:cstheme="minorHAnsi"/>
          <w:sz w:val="22"/>
          <w:szCs w:val="22"/>
        </w:rPr>
        <w:t>may be used</w:t>
      </w:r>
      <w:r w:rsidR="00B059CE" w:rsidRPr="00594434">
        <w:rPr>
          <w:rFonts w:asciiTheme="minorHAnsi" w:hAnsiTheme="minorHAnsi" w:cstheme="minorHAnsi"/>
          <w:sz w:val="22"/>
          <w:szCs w:val="22"/>
        </w:rPr>
        <w:t xml:space="preserve"> when lumbar spine and or hip imaging is not available. In addition, DX</w:t>
      </w:r>
      <w:r w:rsidR="00EC4FCC" w:rsidRPr="00594434">
        <w:rPr>
          <w:rFonts w:asciiTheme="minorHAnsi" w:hAnsiTheme="minorHAnsi" w:cstheme="minorHAnsi"/>
          <w:sz w:val="22"/>
          <w:szCs w:val="22"/>
        </w:rPr>
        <w:t>A</w:t>
      </w:r>
      <w:r w:rsidR="00B059CE" w:rsidRPr="00594434">
        <w:rPr>
          <w:rFonts w:asciiTheme="minorHAnsi" w:hAnsiTheme="minorHAnsi" w:cstheme="minorHAnsi"/>
          <w:sz w:val="22"/>
          <w:szCs w:val="22"/>
        </w:rPr>
        <w:t xml:space="preserve"> of the distal forearm is considered </w:t>
      </w:r>
      <w:r w:rsidR="00D022DB" w:rsidRPr="00594434">
        <w:rPr>
          <w:rFonts w:asciiTheme="minorHAnsi" w:hAnsiTheme="minorHAnsi" w:cstheme="minorHAnsi"/>
          <w:sz w:val="22"/>
          <w:szCs w:val="22"/>
        </w:rPr>
        <w:t>“</w:t>
      </w:r>
      <w:r w:rsidR="00B059CE" w:rsidRPr="00594434">
        <w:rPr>
          <w:rFonts w:asciiTheme="minorHAnsi" w:hAnsiTheme="minorHAnsi" w:cstheme="minorHAnsi"/>
          <w:sz w:val="22"/>
          <w:szCs w:val="22"/>
        </w:rPr>
        <w:t>usually appropriate</w:t>
      </w:r>
      <w:r w:rsidR="00D022DB" w:rsidRPr="00594434">
        <w:rPr>
          <w:rFonts w:asciiTheme="minorHAnsi" w:hAnsiTheme="minorHAnsi" w:cstheme="minorHAnsi"/>
          <w:sz w:val="22"/>
          <w:szCs w:val="22"/>
        </w:rPr>
        <w:t>”</w:t>
      </w:r>
      <w:r w:rsidR="00B059CE" w:rsidRPr="00594434">
        <w:rPr>
          <w:rFonts w:asciiTheme="minorHAnsi" w:hAnsiTheme="minorHAnsi" w:cstheme="minorHAnsi"/>
          <w:sz w:val="22"/>
          <w:szCs w:val="22"/>
        </w:rPr>
        <w:t xml:space="preserve"> for people </w:t>
      </w:r>
      <w:bookmarkStart w:id="34" w:name="_Hlk158390319"/>
      <w:commentRangeStart w:id="35"/>
      <w:r w:rsidR="00B059CE" w:rsidRPr="00594434">
        <w:rPr>
          <w:rFonts w:asciiTheme="minorHAnsi" w:hAnsiTheme="minorHAnsi" w:cstheme="minorHAnsi"/>
          <w:sz w:val="22"/>
          <w:szCs w:val="22"/>
        </w:rPr>
        <w:t xml:space="preserve">who have </w:t>
      </w:r>
      <w:r w:rsidR="00B059CE" w:rsidRPr="00D4086F">
        <w:rPr>
          <w:rFonts w:asciiTheme="minorHAnsi" w:hAnsiTheme="minorHAnsi" w:cstheme="minorHAnsi"/>
          <w:sz w:val="22"/>
          <w:szCs w:val="22"/>
          <w:highlight w:val="yellow"/>
        </w:rPr>
        <w:t>advanced degenerative changes of the spine</w:t>
      </w:r>
      <w:r w:rsidR="00E7168C" w:rsidRPr="00D4086F">
        <w:rPr>
          <w:rFonts w:asciiTheme="minorHAnsi" w:hAnsiTheme="minorHAnsi" w:cstheme="minorHAnsi"/>
          <w:sz w:val="22"/>
          <w:szCs w:val="22"/>
          <w:highlight w:val="yellow"/>
        </w:rPr>
        <w:t xml:space="preserve"> (eg, </w:t>
      </w:r>
      <w:r w:rsidR="00B059CE" w:rsidRPr="00D4086F">
        <w:rPr>
          <w:rFonts w:asciiTheme="minorHAnsi" w:hAnsiTheme="minorHAnsi" w:cstheme="minorHAnsi"/>
          <w:sz w:val="22"/>
          <w:szCs w:val="22"/>
          <w:highlight w:val="yellow"/>
        </w:rPr>
        <w:t>scoliosis or other conditions that may cause spurious elevations of BMD readings</w:t>
      </w:r>
      <w:r w:rsidR="00E7168C" w:rsidRPr="00D4086F">
        <w:rPr>
          <w:rFonts w:asciiTheme="minorHAnsi" w:hAnsiTheme="minorHAnsi" w:cstheme="minorHAnsi"/>
          <w:sz w:val="22"/>
          <w:szCs w:val="22"/>
          <w:highlight w:val="yellow"/>
        </w:rPr>
        <w:t>)</w:t>
      </w:r>
      <w:r w:rsidR="00B059CE" w:rsidRPr="00D4086F">
        <w:rPr>
          <w:rFonts w:asciiTheme="minorHAnsi" w:hAnsiTheme="minorHAnsi" w:cstheme="minorHAnsi"/>
          <w:sz w:val="22"/>
          <w:szCs w:val="22"/>
          <w:highlight w:val="yellow"/>
        </w:rPr>
        <w:t>.</w:t>
      </w:r>
      <w:r w:rsidR="00A11A3E" w:rsidRPr="00D4086F">
        <w:rPr>
          <w:rFonts w:asciiTheme="minorHAnsi" w:hAnsiTheme="minorHAnsi" w:cstheme="minorHAnsi"/>
          <w:sz w:val="22"/>
          <w:szCs w:val="22"/>
          <w:highlight w:val="yellow"/>
        </w:rPr>
        <w:t xml:space="preserve"> Forearm DXA is also recommended for people with hyperparathyroidism. </w:t>
      </w:r>
      <w:commentRangeEnd w:id="35"/>
      <w:r w:rsidR="00D4086F" w:rsidRPr="00D4086F">
        <w:rPr>
          <w:rStyle w:val="CommentReference"/>
          <w:rFonts w:asciiTheme="minorHAnsi" w:eastAsiaTheme="minorHAnsi" w:hAnsiTheme="minorHAnsi" w:cstheme="minorBidi"/>
          <w:kern w:val="2"/>
          <w:highlight w:val="yellow"/>
          <w14:ligatures w14:val="standardContextual"/>
        </w:rPr>
        <w:commentReference w:id="35"/>
      </w:r>
    </w:p>
    <w:bookmarkEnd w:id="34"/>
    <w:p w14:paraId="7C9F3B27" w14:textId="6B55DE8A" w:rsidR="000F1829" w:rsidRPr="00594434" w:rsidRDefault="00EE329A" w:rsidP="00EE329A">
      <w:pPr>
        <w:spacing w:after="240" w:line="240" w:lineRule="auto"/>
        <w:contextualSpacing/>
        <w:rPr>
          <w:rFonts w:cstheme="minorHAnsi"/>
        </w:rPr>
      </w:pPr>
      <w:r w:rsidRPr="00594434">
        <w:rPr>
          <w:rFonts w:cstheme="minorHAnsi"/>
        </w:rPr>
        <w:t xml:space="preserve"> V</w:t>
      </w:r>
      <w:r w:rsidR="00B059CE" w:rsidRPr="00594434">
        <w:rPr>
          <w:rFonts w:cstheme="minorHAnsi"/>
        </w:rPr>
        <w:t xml:space="preserve">FA is usually </w:t>
      </w:r>
      <w:r w:rsidR="00B059CE" w:rsidRPr="00594434">
        <w:rPr>
          <w:rFonts w:cstheme="minorHAnsi"/>
          <w:i/>
          <w:iCs/>
        </w:rPr>
        <w:t>not</w:t>
      </w:r>
      <w:r w:rsidR="00B059CE" w:rsidRPr="00594434">
        <w:rPr>
          <w:rFonts w:cstheme="minorHAnsi"/>
        </w:rPr>
        <w:t xml:space="preserve"> considered appropriate for screening or evaluation of low bone density. An exception is for follow</w:t>
      </w:r>
      <w:r w:rsidR="00E7168C" w:rsidRPr="00594434">
        <w:rPr>
          <w:rFonts w:cstheme="minorHAnsi"/>
        </w:rPr>
        <w:t>-</w:t>
      </w:r>
      <w:r w:rsidR="00B059CE" w:rsidRPr="00594434">
        <w:rPr>
          <w:rFonts w:cstheme="minorHAnsi"/>
        </w:rPr>
        <w:t>up imaging for people with T scores less than -1.0 and other high-risk features</w:t>
      </w:r>
      <w:r w:rsidR="00207884" w:rsidRPr="00594434">
        <w:rPr>
          <w:rFonts w:cstheme="minorHAnsi"/>
        </w:rPr>
        <w:t xml:space="preserve">, where VFA was considered “usually appropriate.” </w:t>
      </w:r>
    </w:p>
    <w:p w14:paraId="33BF37EA" w14:textId="2EB87EFF" w:rsidR="00B059CE" w:rsidRPr="00594434" w:rsidRDefault="00B059CE" w:rsidP="00F26A8C">
      <w:pPr>
        <w:pStyle w:val="NormalWeb"/>
        <w:spacing w:before="0" w:beforeAutospacing="0" w:after="240" w:afterAutospacing="0"/>
        <w:contextualSpacing/>
        <w:rPr>
          <w:rFonts w:asciiTheme="minorHAnsi" w:hAnsiTheme="minorHAnsi" w:cstheme="minorHAnsi"/>
          <w:sz w:val="22"/>
          <w:szCs w:val="22"/>
        </w:rPr>
      </w:pPr>
      <w:r w:rsidRPr="00594434">
        <w:rPr>
          <w:rFonts w:asciiTheme="minorHAnsi" w:hAnsiTheme="minorHAnsi" w:cstheme="minorHAnsi"/>
          <w:sz w:val="22"/>
          <w:szCs w:val="22"/>
        </w:rPr>
        <w:t xml:space="preserve"> It should be noted that a fragility fracture takes precedence over the patient’s T score/BMD assessment in classifying</w:t>
      </w:r>
      <w:r w:rsidR="00E93A00" w:rsidRPr="00594434">
        <w:rPr>
          <w:rFonts w:asciiTheme="minorHAnsi" w:hAnsiTheme="minorHAnsi" w:cstheme="minorHAnsi"/>
          <w:sz w:val="22"/>
          <w:szCs w:val="22"/>
        </w:rPr>
        <w:t xml:space="preserve"> s</w:t>
      </w:r>
      <w:r w:rsidRPr="00594434">
        <w:rPr>
          <w:rFonts w:asciiTheme="minorHAnsi" w:hAnsiTheme="minorHAnsi" w:cstheme="minorHAnsi"/>
          <w:sz w:val="22"/>
          <w:szCs w:val="22"/>
        </w:rPr>
        <w:t>omeone is having osteoporosis</w:t>
      </w:r>
      <w:r w:rsidR="00E93A00" w:rsidRPr="00594434">
        <w:rPr>
          <w:rFonts w:asciiTheme="minorHAnsi" w:hAnsiTheme="minorHAnsi" w:cstheme="minorHAnsi"/>
          <w:sz w:val="22"/>
          <w:szCs w:val="22"/>
        </w:rPr>
        <w:t xml:space="preserve">. That is, </w:t>
      </w:r>
      <w:r w:rsidRPr="00594434">
        <w:rPr>
          <w:rFonts w:asciiTheme="minorHAnsi" w:hAnsiTheme="minorHAnsi" w:cstheme="minorHAnsi"/>
          <w:sz w:val="22"/>
          <w:szCs w:val="22"/>
        </w:rPr>
        <w:t xml:space="preserve">someone with a BMD in the </w:t>
      </w:r>
      <w:r w:rsidR="00E93A00" w:rsidRPr="00594434">
        <w:rPr>
          <w:rFonts w:asciiTheme="minorHAnsi" w:hAnsiTheme="minorHAnsi" w:cstheme="minorHAnsi"/>
          <w:sz w:val="22"/>
          <w:szCs w:val="22"/>
        </w:rPr>
        <w:t>“</w:t>
      </w:r>
      <w:r w:rsidRPr="00594434">
        <w:rPr>
          <w:rFonts w:asciiTheme="minorHAnsi" w:hAnsiTheme="minorHAnsi" w:cstheme="minorHAnsi"/>
          <w:sz w:val="22"/>
          <w:szCs w:val="22"/>
        </w:rPr>
        <w:t>osteopenia</w:t>
      </w:r>
      <w:r w:rsidR="00E93A00" w:rsidRPr="00594434">
        <w:rPr>
          <w:rFonts w:asciiTheme="minorHAnsi" w:hAnsiTheme="minorHAnsi" w:cstheme="minorHAnsi"/>
          <w:sz w:val="22"/>
          <w:szCs w:val="22"/>
        </w:rPr>
        <w:t>”</w:t>
      </w:r>
      <w:r w:rsidRPr="00594434">
        <w:rPr>
          <w:rFonts w:asciiTheme="minorHAnsi" w:hAnsiTheme="minorHAnsi" w:cstheme="minorHAnsi"/>
          <w:sz w:val="22"/>
          <w:szCs w:val="22"/>
        </w:rPr>
        <w:t xml:space="preserve"> range, but who has a fragility fracture, would be considered, as having osteoporosis rather than osteopenia.</w:t>
      </w:r>
      <w:r w:rsidR="0049281C">
        <w:rPr>
          <w:rFonts w:asciiTheme="minorHAnsi" w:hAnsiTheme="minorHAnsi" w:cstheme="minorHAnsi"/>
          <w:sz w:val="22"/>
          <w:szCs w:val="22"/>
        </w:rPr>
        <w:fldChar w:fldCharType="begin"/>
      </w:r>
      <w:r w:rsidR="0049281C">
        <w:rPr>
          <w:rFonts w:asciiTheme="minorHAnsi" w:hAnsiTheme="minorHAnsi" w:cstheme="minorHAnsi"/>
          <w:sz w:val="22"/>
          <w:szCs w:val="22"/>
        </w:rPr>
        <w:instrText xml:space="preserve"> NOTEREF _Ref158630712 \f \h </w:instrText>
      </w:r>
      <w:r w:rsidR="0049281C">
        <w:rPr>
          <w:rFonts w:asciiTheme="minorHAnsi" w:hAnsiTheme="minorHAnsi" w:cstheme="minorHAnsi"/>
          <w:sz w:val="22"/>
          <w:szCs w:val="22"/>
        </w:rPr>
      </w:r>
      <w:r w:rsidR="0049281C">
        <w:rPr>
          <w:rFonts w:asciiTheme="minorHAnsi" w:hAnsiTheme="minorHAnsi" w:cstheme="minorHAnsi"/>
          <w:sz w:val="22"/>
          <w:szCs w:val="22"/>
        </w:rPr>
        <w:fldChar w:fldCharType="separate"/>
      </w:r>
      <w:r w:rsidR="0049281C" w:rsidRPr="0049281C">
        <w:rPr>
          <w:rStyle w:val="EndnoteReference"/>
        </w:rPr>
        <w:t>13</w:t>
      </w:r>
      <w:r w:rsidR="0049281C">
        <w:rPr>
          <w:rFonts w:asciiTheme="minorHAnsi" w:hAnsiTheme="minorHAnsi" w:cstheme="minorHAnsi"/>
          <w:sz w:val="22"/>
          <w:szCs w:val="22"/>
        </w:rPr>
        <w:fldChar w:fldCharType="end"/>
      </w:r>
      <w:r w:rsidRPr="00594434">
        <w:rPr>
          <w:rFonts w:asciiTheme="minorHAnsi" w:hAnsiTheme="minorHAnsi" w:cstheme="minorHAnsi"/>
          <w:sz w:val="22"/>
          <w:szCs w:val="22"/>
        </w:rPr>
        <w:t xml:space="preserve"> </w:t>
      </w:r>
    </w:p>
    <w:p w14:paraId="2BA795CB" w14:textId="77777777" w:rsidR="00E93A00" w:rsidRPr="00594434" w:rsidRDefault="00E93A00" w:rsidP="00F26A8C">
      <w:pPr>
        <w:pStyle w:val="NormalWeb"/>
        <w:spacing w:before="0" w:beforeAutospacing="0" w:after="240" w:afterAutospacing="0"/>
        <w:contextualSpacing/>
        <w:rPr>
          <w:rFonts w:asciiTheme="minorHAnsi" w:hAnsiTheme="minorHAnsi" w:cstheme="minorHAnsi"/>
          <w:sz w:val="22"/>
          <w:szCs w:val="22"/>
        </w:rPr>
      </w:pPr>
    </w:p>
    <w:p w14:paraId="7E5A8864" w14:textId="094C4220" w:rsidR="00A11A3E" w:rsidRPr="00594434" w:rsidRDefault="00A11A3E" w:rsidP="00F26A8C">
      <w:pPr>
        <w:pStyle w:val="NormalWeb"/>
        <w:spacing w:before="0" w:beforeAutospacing="0" w:after="240" w:afterAutospacing="0"/>
        <w:contextualSpacing/>
        <w:rPr>
          <w:rFonts w:asciiTheme="minorHAnsi" w:hAnsiTheme="minorHAnsi" w:cstheme="minorHAnsi"/>
          <w:sz w:val="22"/>
          <w:szCs w:val="22"/>
        </w:rPr>
      </w:pPr>
      <w:r w:rsidRPr="00594434">
        <w:rPr>
          <w:rFonts w:asciiTheme="minorHAnsi" w:hAnsiTheme="minorHAnsi" w:cstheme="minorHAnsi"/>
          <w:sz w:val="22"/>
          <w:szCs w:val="22"/>
        </w:rPr>
        <w:t xml:space="preserve">The ACR appropriateness criteria noted that DXA has a central role in osteoporosis screening and initial diagnosis. In addition, </w:t>
      </w:r>
      <w:r w:rsidR="00B059CE" w:rsidRPr="00594434">
        <w:rPr>
          <w:rFonts w:asciiTheme="minorHAnsi" w:hAnsiTheme="minorHAnsi" w:cstheme="minorHAnsi"/>
          <w:sz w:val="22"/>
          <w:szCs w:val="22"/>
        </w:rPr>
        <w:t>DX</w:t>
      </w:r>
      <w:r w:rsidRPr="00594434">
        <w:rPr>
          <w:rFonts w:asciiTheme="minorHAnsi" w:hAnsiTheme="minorHAnsi" w:cstheme="minorHAnsi"/>
          <w:sz w:val="22"/>
          <w:szCs w:val="22"/>
        </w:rPr>
        <w:t>A</w:t>
      </w:r>
      <w:r w:rsidR="00B059CE" w:rsidRPr="00594434">
        <w:rPr>
          <w:rFonts w:asciiTheme="minorHAnsi" w:hAnsiTheme="minorHAnsi" w:cstheme="minorHAnsi"/>
          <w:sz w:val="22"/>
          <w:szCs w:val="22"/>
        </w:rPr>
        <w:t xml:space="preserve"> is also important for monitoring people with low BMD. Ongoing monitoring may also be indicated for some people with BMD values in the normal range, including people who may have clinical risk factors for fracture or who have declining but still normal BMD.</w:t>
      </w:r>
      <w:r w:rsidR="00ED7243">
        <w:rPr>
          <w:rFonts w:asciiTheme="minorHAnsi" w:hAnsiTheme="minorHAnsi" w:cstheme="minorHAnsi"/>
          <w:sz w:val="22"/>
          <w:szCs w:val="22"/>
        </w:rPr>
        <w:fldChar w:fldCharType="begin"/>
      </w:r>
      <w:r w:rsidR="00ED7243">
        <w:rPr>
          <w:rFonts w:asciiTheme="minorHAnsi" w:hAnsiTheme="minorHAnsi" w:cstheme="minorHAnsi"/>
          <w:sz w:val="22"/>
          <w:szCs w:val="22"/>
        </w:rPr>
        <w:instrText xml:space="preserve"> NOTEREF _Ref158631959 \f \h </w:instrText>
      </w:r>
      <w:r w:rsidR="00ED7243">
        <w:rPr>
          <w:rFonts w:asciiTheme="minorHAnsi" w:hAnsiTheme="minorHAnsi" w:cstheme="minorHAnsi"/>
          <w:sz w:val="22"/>
          <w:szCs w:val="22"/>
        </w:rPr>
      </w:r>
      <w:r w:rsidR="00ED7243">
        <w:rPr>
          <w:rFonts w:asciiTheme="minorHAnsi" w:hAnsiTheme="minorHAnsi" w:cstheme="minorHAnsi"/>
          <w:sz w:val="22"/>
          <w:szCs w:val="22"/>
        </w:rPr>
        <w:fldChar w:fldCharType="separate"/>
      </w:r>
      <w:r w:rsidR="00ED7243" w:rsidRPr="00ED7243">
        <w:rPr>
          <w:rStyle w:val="EndnoteReference"/>
        </w:rPr>
        <w:t>18</w:t>
      </w:r>
      <w:r w:rsidR="00ED7243">
        <w:rPr>
          <w:rFonts w:asciiTheme="minorHAnsi" w:hAnsiTheme="minorHAnsi" w:cstheme="minorHAnsi"/>
          <w:sz w:val="22"/>
          <w:szCs w:val="22"/>
        </w:rPr>
        <w:fldChar w:fldCharType="end"/>
      </w:r>
      <w:r w:rsidR="00B059CE" w:rsidRPr="00594434">
        <w:rPr>
          <w:rFonts w:asciiTheme="minorHAnsi" w:hAnsiTheme="minorHAnsi" w:cstheme="minorHAnsi"/>
          <w:sz w:val="22"/>
          <w:szCs w:val="22"/>
        </w:rPr>
        <w:t xml:space="preserve"> </w:t>
      </w:r>
      <w:r w:rsidRPr="00594434">
        <w:rPr>
          <w:rFonts w:asciiTheme="minorHAnsi" w:hAnsiTheme="minorHAnsi" w:cstheme="minorHAnsi"/>
          <w:sz w:val="22"/>
          <w:szCs w:val="22"/>
        </w:rPr>
        <w:t>T</w:t>
      </w:r>
      <w:r w:rsidR="00B059CE" w:rsidRPr="00594434">
        <w:rPr>
          <w:rFonts w:asciiTheme="minorHAnsi" w:hAnsiTheme="minorHAnsi" w:cstheme="minorHAnsi"/>
          <w:sz w:val="22"/>
          <w:szCs w:val="22"/>
        </w:rPr>
        <w:t xml:space="preserve">he ACR considers BMD of the hip </w:t>
      </w:r>
      <w:r w:rsidRPr="00594434">
        <w:rPr>
          <w:rFonts w:asciiTheme="minorHAnsi" w:hAnsiTheme="minorHAnsi" w:cstheme="minorHAnsi"/>
          <w:sz w:val="22"/>
          <w:szCs w:val="22"/>
        </w:rPr>
        <w:t>as</w:t>
      </w:r>
      <w:r w:rsidR="00B059CE" w:rsidRPr="00594434">
        <w:rPr>
          <w:rFonts w:asciiTheme="minorHAnsi" w:hAnsiTheme="minorHAnsi" w:cstheme="minorHAnsi"/>
          <w:sz w:val="22"/>
          <w:szCs w:val="22"/>
        </w:rPr>
        <w:t xml:space="preserve"> the best approach for estimating fracture risk, </w:t>
      </w:r>
      <w:r w:rsidRPr="00594434">
        <w:rPr>
          <w:rFonts w:asciiTheme="minorHAnsi" w:hAnsiTheme="minorHAnsi" w:cstheme="minorHAnsi"/>
          <w:sz w:val="22"/>
          <w:szCs w:val="22"/>
        </w:rPr>
        <w:t>with</w:t>
      </w:r>
      <w:r w:rsidR="00B059CE" w:rsidRPr="00594434">
        <w:rPr>
          <w:rFonts w:asciiTheme="minorHAnsi" w:hAnsiTheme="minorHAnsi" w:cstheme="minorHAnsi"/>
          <w:sz w:val="22"/>
          <w:szCs w:val="22"/>
        </w:rPr>
        <w:t xml:space="preserve"> imaging of the spine considered best for monitoring treatment response.</w:t>
      </w:r>
      <w:r w:rsidRPr="00594434">
        <w:rPr>
          <w:rFonts w:asciiTheme="minorHAnsi" w:hAnsiTheme="minorHAnsi" w:cstheme="minorHAnsi"/>
          <w:sz w:val="22"/>
          <w:szCs w:val="22"/>
        </w:rPr>
        <w:t xml:space="preserve"> </w:t>
      </w:r>
      <w:r w:rsidR="00B059CE" w:rsidRPr="00594434">
        <w:rPr>
          <w:rFonts w:asciiTheme="minorHAnsi" w:hAnsiTheme="minorHAnsi" w:cstheme="minorHAnsi"/>
          <w:sz w:val="22"/>
          <w:szCs w:val="22"/>
        </w:rPr>
        <w:t>For follow up evaluations is essential that BMD measurements on the same DX</w:t>
      </w:r>
      <w:r w:rsidR="00594434">
        <w:rPr>
          <w:rFonts w:asciiTheme="minorHAnsi" w:hAnsiTheme="minorHAnsi" w:cstheme="minorHAnsi"/>
          <w:sz w:val="22"/>
          <w:szCs w:val="22"/>
        </w:rPr>
        <w:t>A</w:t>
      </w:r>
      <w:r w:rsidR="00B059CE" w:rsidRPr="00594434">
        <w:rPr>
          <w:rFonts w:asciiTheme="minorHAnsi" w:hAnsiTheme="minorHAnsi" w:cstheme="minorHAnsi"/>
          <w:sz w:val="22"/>
          <w:szCs w:val="22"/>
        </w:rPr>
        <w:t xml:space="preserve"> machine and every visit.</w:t>
      </w:r>
      <w:r w:rsidR="00ED7243">
        <w:rPr>
          <w:rFonts w:asciiTheme="minorHAnsi" w:hAnsiTheme="minorHAnsi" w:cstheme="minorHAnsi"/>
          <w:sz w:val="22"/>
          <w:szCs w:val="22"/>
        </w:rPr>
        <w:fldChar w:fldCharType="begin"/>
      </w:r>
      <w:r w:rsidR="00ED7243">
        <w:rPr>
          <w:rFonts w:asciiTheme="minorHAnsi" w:hAnsiTheme="minorHAnsi" w:cstheme="minorHAnsi"/>
          <w:sz w:val="22"/>
          <w:szCs w:val="22"/>
        </w:rPr>
        <w:instrText xml:space="preserve"> NOTEREF _Ref158631959 \f \h </w:instrText>
      </w:r>
      <w:r w:rsidR="00ED7243">
        <w:rPr>
          <w:rFonts w:asciiTheme="minorHAnsi" w:hAnsiTheme="minorHAnsi" w:cstheme="minorHAnsi"/>
          <w:sz w:val="22"/>
          <w:szCs w:val="22"/>
        </w:rPr>
      </w:r>
      <w:r w:rsidR="00ED7243">
        <w:rPr>
          <w:rFonts w:asciiTheme="minorHAnsi" w:hAnsiTheme="minorHAnsi" w:cstheme="minorHAnsi"/>
          <w:sz w:val="22"/>
          <w:szCs w:val="22"/>
        </w:rPr>
        <w:fldChar w:fldCharType="separate"/>
      </w:r>
      <w:r w:rsidR="00ED7243" w:rsidRPr="00ED7243">
        <w:rPr>
          <w:rStyle w:val="EndnoteReference"/>
        </w:rPr>
        <w:t>18</w:t>
      </w:r>
      <w:r w:rsidR="00ED7243">
        <w:rPr>
          <w:rFonts w:asciiTheme="minorHAnsi" w:hAnsiTheme="minorHAnsi" w:cstheme="minorHAnsi"/>
          <w:sz w:val="22"/>
          <w:szCs w:val="22"/>
        </w:rPr>
        <w:fldChar w:fldCharType="end"/>
      </w:r>
      <w:r w:rsidR="00ED7243">
        <w:rPr>
          <w:rFonts w:asciiTheme="minorHAnsi" w:hAnsiTheme="minorHAnsi" w:cstheme="minorHAnsi"/>
          <w:sz w:val="22"/>
          <w:szCs w:val="22"/>
        </w:rPr>
        <w:t xml:space="preserve"> </w:t>
      </w:r>
      <w:r w:rsidRPr="00594434">
        <w:rPr>
          <w:rFonts w:asciiTheme="minorHAnsi" w:hAnsiTheme="minorHAnsi" w:cstheme="minorHAnsi"/>
          <w:sz w:val="22"/>
          <w:szCs w:val="22"/>
        </w:rPr>
        <w:t>D</w:t>
      </w:r>
      <w:r w:rsidR="00B059CE" w:rsidRPr="00594434">
        <w:rPr>
          <w:rFonts w:asciiTheme="minorHAnsi" w:hAnsiTheme="minorHAnsi" w:cstheme="minorHAnsi"/>
          <w:sz w:val="22"/>
          <w:szCs w:val="22"/>
        </w:rPr>
        <w:t>ifferences in technology used by different device vendors make it impossible to meaningly</w:t>
      </w:r>
      <w:r w:rsidRPr="00594434">
        <w:rPr>
          <w:rFonts w:asciiTheme="minorHAnsi" w:hAnsiTheme="minorHAnsi" w:cstheme="minorHAnsi"/>
          <w:sz w:val="22"/>
          <w:szCs w:val="22"/>
        </w:rPr>
        <w:t xml:space="preserve"> c</w:t>
      </w:r>
      <w:r w:rsidR="00B059CE" w:rsidRPr="00594434">
        <w:rPr>
          <w:rFonts w:asciiTheme="minorHAnsi" w:hAnsiTheme="minorHAnsi" w:cstheme="minorHAnsi"/>
          <w:sz w:val="22"/>
          <w:szCs w:val="22"/>
        </w:rPr>
        <w:t>ompare changes overtime unless the devices have been cros</w:t>
      </w:r>
      <w:r w:rsidR="00594434">
        <w:rPr>
          <w:rFonts w:asciiTheme="minorHAnsi" w:hAnsiTheme="minorHAnsi" w:cstheme="minorHAnsi"/>
          <w:sz w:val="22"/>
          <w:szCs w:val="22"/>
        </w:rPr>
        <w:t>s</w:t>
      </w:r>
      <w:r w:rsidRPr="00594434">
        <w:rPr>
          <w:rFonts w:asciiTheme="minorHAnsi" w:hAnsiTheme="minorHAnsi" w:cstheme="minorHAnsi"/>
          <w:sz w:val="22"/>
          <w:szCs w:val="22"/>
        </w:rPr>
        <w:t>-</w:t>
      </w:r>
      <w:r w:rsidR="00B059CE" w:rsidRPr="00594434">
        <w:rPr>
          <w:rFonts w:asciiTheme="minorHAnsi" w:hAnsiTheme="minorHAnsi" w:cstheme="minorHAnsi"/>
          <w:sz w:val="22"/>
          <w:szCs w:val="22"/>
        </w:rPr>
        <w:t>calibrated. Is essential to</w:t>
      </w:r>
      <w:r w:rsidRPr="00594434">
        <w:rPr>
          <w:rFonts w:asciiTheme="minorHAnsi" w:hAnsiTheme="minorHAnsi" w:cstheme="minorHAnsi"/>
          <w:sz w:val="22"/>
          <w:szCs w:val="22"/>
        </w:rPr>
        <w:t xml:space="preserve"> obtain</w:t>
      </w:r>
      <w:r w:rsidR="00B059CE" w:rsidRPr="00594434">
        <w:rPr>
          <w:rFonts w:asciiTheme="minorHAnsi" w:hAnsiTheme="minorHAnsi" w:cstheme="minorHAnsi"/>
          <w:sz w:val="22"/>
          <w:szCs w:val="22"/>
        </w:rPr>
        <w:t xml:space="preserve"> quality images at each visit because it is BM</w:t>
      </w:r>
      <w:r w:rsidRPr="00594434">
        <w:rPr>
          <w:rFonts w:asciiTheme="minorHAnsi" w:hAnsiTheme="minorHAnsi" w:cstheme="minorHAnsi"/>
          <w:sz w:val="22"/>
          <w:szCs w:val="22"/>
        </w:rPr>
        <w:t>D</w:t>
      </w:r>
      <w:r w:rsidR="00B059CE" w:rsidRPr="00594434">
        <w:rPr>
          <w:rFonts w:asciiTheme="minorHAnsi" w:hAnsiTheme="minorHAnsi" w:cstheme="minorHAnsi"/>
          <w:sz w:val="22"/>
          <w:szCs w:val="22"/>
        </w:rPr>
        <w:t xml:space="preserve"> readings that are compared from one visit to the next, not T scores or Z scores. </w:t>
      </w:r>
      <w:r w:rsidRPr="00594434">
        <w:rPr>
          <w:rFonts w:asciiTheme="minorHAnsi" w:hAnsiTheme="minorHAnsi" w:cstheme="minorHAnsi"/>
          <w:sz w:val="22"/>
          <w:szCs w:val="22"/>
        </w:rPr>
        <w:t xml:space="preserve"> </w:t>
      </w:r>
    </w:p>
    <w:p w14:paraId="1FA941B9" w14:textId="77777777" w:rsidR="00A11A3E" w:rsidRPr="00594434" w:rsidRDefault="00A11A3E" w:rsidP="00F26A8C">
      <w:pPr>
        <w:pStyle w:val="NormalWeb"/>
        <w:spacing w:before="0" w:beforeAutospacing="0" w:after="240" w:afterAutospacing="0"/>
        <w:contextualSpacing/>
        <w:rPr>
          <w:rFonts w:asciiTheme="minorHAnsi" w:hAnsiTheme="minorHAnsi" w:cstheme="minorHAnsi"/>
          <w:sz w:val="22"/>
          <w:szCs w:val="22"/>
        </w:rPr>
      </w:pPr>
    </w:p>
    <w:p w14:paraId="1B034D9D" w14:textId="5AC1B59A" w:rsidR="00CB1456" w:rsidRPr="00594434" w:rsidRDefault="009F3B9F" w:rsidP="00F26A8C">
      <w:pPr>
        <w:pStyle w:val="Heading4"/>
        <w:spacing w:before="0" w:beforeAutospacing="0" w:after="240" w:afterAutospacing="0"/>
        <w:contextualSpacing/>
        <w:rPr>
          <w:rFonts w:asciiTheme="minorHAnsi" w:hAnsiTheme="minorHAnsi" w:cstheme="minorHAnsi"/>
          <w:sz w:val="22"/>
          <w:szCs w:val="22"/>
        </w:rPr>
      </w:pPr>
      <w:bookmarkStart w:id="36" w:name="_Hlk158385775"/>
      <w:r w:rsidRPr="00594434">
        <w:rPr>
          <w:rFonts w:asciiTheme="minorHAnsi" w:hAnsiTheme="minorHAnsi" w:cstheme="minorHAnsi"/>
          <w:sz w:val="22"/>
          <w:szCs w:val="22"/>
        </w:rPr>
        <w:lastRenderedPageBreak/>
        <w:t xml:space="preserve">Improving Image Acquisition  </w:t>
      </w:r>
    </w:p>
    <w:bookmarkEnd w:id="36"/>
    <w:p w14:paraId="627B5C8E" w14:textId="4429BFA1" w:rsidR="007A2AFF" w:rsidRDefault="00815421" w:rsidP="00F26A8C">
      <w:pPr>
        <w:spacing w:after="240" w:line="240" w:lineRule="auto"/>
        <w:contextualSpacing/>
        <w:rPr>
          <w:rFonts w:cstheme="minorHAnsi"/>
        </w:rPr>
      </w:pPr>
      <w:r w:rsidRPr="00594434">
        <w:rPr>
          <w:rFonts w:cstheme="minorHAnsi"/>
        </w:rPr>
        <w:t>To facilitate tracking of BMD changes over time, serial scans should be performed on the same densitometry device at the same facility.</w:t>
      </w:r>
      <w:r w:rsidR="009E589E">
        <w:rPr>
          <w:rFonts w:cstheme="minorHAnsi"/>
        </w:rPr>
        <w:fldChar w:fldCharType="begin"/>
      </w:r>
      <w:r w:rsidR="009E589E">
        <w:rPr>
          <w:rFonts w:cstheme="minorHAnsi"/>
        </w:rPr>
        <w:instrText xml:space="preserve"> NOTEREF _Ref158630712 \f \h </w:instrText>
      </w:r>
      <w:r w:rsidR="009E589E">
        <w:rPr>
          <w:rFonts w:cstheme="minorHAnsi"/>
        </w:rPr>
      </w:r>
      <w:r w:rsidR="009E589E">
        <w:rPr>
          <w:rFonts w:cstheme="minorHAnsi"/>
        </w:rPr>
        <w:fldChar w:fldCharType="separate"/>
      </w:r>
      <w:r w:rsidR="009E589E" w:rsidRPr="009E589E">
        <w:rPr>
          <w:rStyle w:val="EndnoteReference"/>
        </w:rPr>
        <w:t>13</w:t>
      </w:r>
      <w:r w:rsidR="009E589E">
        <w:rPr>
          <w:rFonts w:cstheme="minorHAnsi"/>
        </w:rPr>
        <w:fldChar w:fldCharType="end"/>
      </w:r>
      <w:r w:rsidR="009E589E">
        <w:rPr>
          <w:rFonts w:cstheme="minorHAnsi"/>
        </w:rPr>
        <w:t xml:space="preserve"> </w:t>
      </w:r>
      <w:r w:rsidR="003C543C" w:rsidRPr="00594434">
        <w:rPr>
          <w:rFonts w:cstheme="minorHAnsi"/>
        </w:rPr>
        <w:t>The technologist should carefully compare the image data to ensure that the newly acquired image is positioned in exactly the same way as the previous scan.</w:t>
      </w:r>
      <w:r w:rsidR="009E589E">
        <w:rPr>
          <w:rFonts w:cstheme="minorHAnsi"/>
        </w:rPr>
        <w:fldChar w:fldCharType="begin"/>
      </w:r>
      <w:r w:rsidR="009E589E">
        <w:rPr>
          <w:rFonts w:cstheme="minorHAnsi"/>
        </w:rPr>
        <w:instrText xml:space="preserve"> NOTEREF _Ref158630149 \f \h </w:instrText>
      </w:r>
      <w:r w:rsidR="009E589E">
        <w:rPr>
          <w:rFonts w:cstheme="minorHAnsi"/>
        </w:rPr>
      </w:r>
      <w:r w:rsidR="009E589E">
        <w:rPr>
          <w:rFonts w:cstheme="minorHAnsi"/>
        </w:rPr>
        <w:fldChar w:fldCharType="separate"/>
      </w:r>
      <w:r w:rsidR="009E589E" w:rsidRPr="009E589E">
        <w:rPr>
          <w:rStyle w:val="EndnoteReference"/>
        </w:rPr>
        <w:t>9</w:t>
      </w:r>
      <w:r w:rsidR="009E589E">
        <w:rPr>
          <w:rFonts w:cstheme="minorHAnsi"/>
        </w:rPr>
        <w:fldChar w:fldCharType="end"/>
      </w:r>
      <w:r w:rsidR="009E589E">
        <w:rPr>
          <w:rFonts w:cstheme="minorHAnsi"/>
        </w:rPr>
        <w:t xml:space="preserve"> </w:t>
      </w:r>
      <w:r w:rsidR="00BF43F8" w:rsidRPr="00594434">
        <w:rPr>
          <w:rFonts w:cstheme="minorHAnsi"/>
        </w:rPr>
        <w:t>The planar image should be reviewed for proper placement, absence of patient motion, and for artifacts related to metal, overlying hardware, barium, or other factors.</w:t>
      </w:r>
      <w:r w:rsidR="009E589E">
        <w:rPr>
          <w:rFonts w:cstheme="minorHAnsi"/>
        </w:rPr>
        <w:fldChar w:fldCharType="begin"/>
      </w:r>
      <w:r w:rsidR="009E589E">
        <w:rPr>
          <w:rFonts w:cstheme="minorHAnsi"/>
        </w:rPr>
        <w:instrText xml:space="preserve"> NOTEREF _Ref158630149 \f \h </w:instrText>
      </w:r>
      <w:r w:rsidR="009E589E">
        <w:rPr>
          <w:rFonts w:cstheme="minorHAnsi"/>
        </w:rPr>
      </w:r>
      <w:r w:rsidR="009E589E">
        <w:rPr>
          <w:rFonts w:cstheme="minorHAnsi"/>
        </w:rPr>
        <w:fldChar w:fldCharType="separate"/>
      </w:r>
      <w:r w:rsidR="009E589E" w:rsidRPr="009E589E">
        <w:rPr>
          <w:rStyle w:val="EndnoteReference"/>
        </w:rPr>
        <w:t>9</w:t>
      </w:r>
      <w:r w:rsidR="009E589E">
        <w:rPr>
          <w:rFonts w:cstheme="minorHAnsi"/>
        </w:rPr>
        <w:fldChar w:fldCharType="end"/>
      </w:r>
      <w:r w:rsidR="009E589E">
        <w:rPr>
          <w:rFonts w:cstheme="minorHAnsi"/>
        </w:rPr>
        <w:t xml:space="preserve"> </w:t>
      </w:r>
    </w:p>
    <w:p w14:paraId="787065EB" w14:textId="77777777" w:rsidR="008F6413" w:rsidRDefault="008F6413" w:rsidP="00F26A8C">
      <w:pPr>
        <w:spacing w:after="240" w:line="240" w:lineRule="auto"/>
        <w:contextualSpacing/>
        <w:rPr>
          <w:rFonts w:cstheme="minorHAnsi"/>
        </w:rPr>
      </w:pPr>
    </w:p>
    <w:p w14:paraId="319A9272" w14:textId="34CD64F4" w:rsidR="007A2AFF" w:rsidRPr="00594434" w:rsidRDefault="007A2AFF" w:rsidP="00F26A8C">
      <w:pPr>
        <w:spacing w:after="240" w:line="240" w:lineRule="auto"/>
        <w:contextualSpacing/>
        <w:rPr>
          <w:rFonts w:cstheme="minorHAnsi"/>
          <w:i/>
          <w:iCs/>
        </w:rPr>
      </w:pPr>
      <w:bookmarkStart w:id="37" w:name="_Hlk158385795"/>
      <w:r w:rsidRPr="00594434">
        <w:rPr>
          <w:rFonts w:cstheme="minorHAnsi"/>
          <w:i/>
          <w:iCs/>
        </w:rPr>
        <w:t xml:space="preserve">Lumbar spine </w:t>
      </w:r>
    </w:p>
    <w:bookmarkEnd w:id="37"/>
    <w:p w14:paraId="5BD5DEBB" w14:textId="2AEFFD05" w:rsidR="00016462" w:rsidRPr="00594434" w:rsidRDefault="00016462" w:rsidP="00016462">
      <w:pPr>
        <w:spacing w:after="240" w:line="240" w:lineRule="auto"/>
        <w:contextualSpacing/>
        <w:rPr>
          <w:rFonts w:cstheme="minorHAnsi"/>
        </w:rPr>
      </w:pPr>
      <w:r w:rsidRPr="00594434">
        <w:rPr>
          <w:rFonts w:cstheme="minorHAnsi"/>
        </w:rPr>
        <w:t>The patient is typically in a supine position on the DXA table with the lumbar spine centered on the midline of the table. A properly positioned lumbar spine should show the middle of T12 (identifiable by the presence of the ribs) to the middle of L5. The spine must be centered, straight, and not rotated. The pelvic crests are visible just above the bottom of the scan.</w:t>
      </w:r>
      <w:r w:rsidR="00FD2BDC">
        <w:rPr>
          <w:rFonts w:cstheme="minorHAnsi"/>
        </w:rPr>
        <w:fldChar w:fldCharType="begin"/>
      </w:r>
      <w:r w:rsidR="00FD2BDC">
        <w:rPr>
          <w:rFonts w:cstheme="minorHAnsi"/>
        </w:rPr>
        <w:instrText xml:space="preserve"> NOTEREF _Ref158631929 \f \h </w:instrText>
      </w:r>
      <w:r w:rsidR="00FD2BDC">
        <w:rPr>
          <w:rFonts w:cstheme="minorHAnsi"/>
        </w:rPr>
      </w:r>
      <w:r w:rsidR="00FD2BDC">
        <w:rPr>
          <w:rFonts w:cstheme="minorHAnsi"/>
        </w:rPr>
        <w:fldChar w:fldCharType="separate"/>
      </w:r>
      <w:r w:rsidR="00FD2BDC" w:rsidRPr="00FD2BDC">
        <w:rPr>
          <w:rStyle w:val="EndnoteReference"/>
        </w:rPr>
        <w:t>20</w:t>
      </w:r>
      <w:r w:rsidR="00FD2BDC">
        <w:rPr>
          <w:rFonts w:cstheme="minorHAnsi"/>
        </w:rPr>
        <w:fldChar w:fldCharType="end"/>
      </w:r>
      <w:r w:rsidR="00FD2BDC">
        <w:rPr>
          <w:rFonts w:cstheme="minorHAnsi"/>
        </w:rPr>
        <w:t xml:space="preserve"> </w:t>
      </w:r>
      <w:r w:rsidRPr="00594434">
        <w:rPr>
          <w:rFonts w:cstheme="minorHAnsi"/>
        </w:rPr>
        <w:t>Although device manufacturers provide information about patient positioning for specific machines, certain positioning modifications may help to improve the usefulness of the scan in some cases. For example, lumbar lordosis may be reduced by elevating the legs with a block cushion under the knees.</w:t>
      </w:r>
      <w:r w:rsidR="00FD2BDC">
        <w:rPr>
          <w:rFonts w:cstheme="minorHAnsi"/>
        </w:rPr>
        <w:fldChar w:fldCharType="begin"/>
      </w:r>
      <w:r w:rsidR="00FD2BDC">
        <w:rPr>
          <w:rFonts w:cstheme="minorHAnsi"/>
        </w:rPr>
        <w:instrText xml:space="preserve"> NOTEREF _Ref158631929 \f \h </w:instrText>
      </w:r>
      <w:r w:rsidR="00FD2BDC">
        <w:rPr>
          <w:rFonts w:cstheme="minorHAnsi"/>
        </w:rPr>
      </w:r>
      <w:r w:rsidR="00FD2BDC">
        <w:rPr>
          <w:rFonts w:cstheme="minorHAnsi"/>
        </w:rPr>
        <w:fldChar w:fldCharType="separate"/>
      </w:r>
      <w:r w:rsidR="00FD2BDC" w:rsidRPr="00FD2BDC">
        <w:rPr>
          <w:rStyle w:val="EndnoteReference"/>
        </w:rPr>
        <w:t>20</w:t>
      </w:r>
      <w:r w:rsidR="00FD2BDC">
        <w:rPr>
          <w:rFonts w:cstheme="minorHAnsi"/>
        </w:rPr>
        <w:fldChar w:fldCharType="end"/>
      </w:r>
    </w:p>
    <w:p w14:paraId="5E9A8D11" w14:textId="77777777" w:rsidR="00016462" w:rsidRPr="00594434" w:rsidRDefault="00016462" w:rsidP="00F26A8C">
      <w:pPr>
        <w:spacing w:after="240" w:line="240" w:lineRule="auto"/>
        <w:contextualSpacing/>
        <w:rPr>
          <w:rFonts w:cstheme="minorHAnsi"/>
        </w:rPr>
      </w:pPr>
    </w:p>
    <w:p w14:paraId="73D8CF30" w14:textId="29C9B6CE" w:rsidR="00D00736" w:rsidRPr="00594434" w:rsidRDefault="00D00736" w:rsidP="00F26A8C">
      <w:pPr>
        <w:spacing w:after="240" w:line="240" w:lineRule="auto"/>
        <w:contextualSpacing/>
        <w:rPr>
          <w:rFonts w:cstheme="minorHAnsi"/>
        </w:rPr>
      </w:pPr>
      <w:r w:rsidRPr="00594434">
        <w:rPr>
          <w:rFonts w:cstheme="minorHAnsi"/>
        </w:rPr>
        <w:t>The region of interest (ROI) of the lumbar spine for BMD measurement includes L1 to L4.</w:t>
      </w:r>
      <w:r w:rsidR="00FD2BDC">
        <w:rPr>
          <w:rFonts w:cstheme="minorHAnsi"/>
        </w:rPr>
        <w:fldChar w:fldCharType="begin"/>
      </w:r>
      <w:r w:rsidR="00FD2BDC">
        <w:rPr>
          <w:rFonts w:cstheme="minorHAnsi"/>
        </w:rPr>
        <w:instrText xml:space="preserve"> NOTEREF _Ref158631929 \f \h </w:instrText>
      </w:r>
      <w:r w:rsidR="00FD2BDC">
        <w:rPr>
          <w:rFonts w:cstheme="minorHAnsi"/>
        </w:rPr>
      </w:r>
      <w:r w:rsidR="00FD2BDC">
        <w:rPr>
          <w:rFonts w:cstheme="minorHAnsi"/>
        </w:rPr>
        <w:fldChar w:fldCharType="separate"/>
      </w:r>
      <w:r w:rsidR="00FD2BDC" w:rsidRPr="00FD2BDC">
        <w:rPr>
          <w:rStyle w:val="EndnoteReference"/>
        </w:rPr>
        <w:t>20</w:t>
      </w:r>
      <w:r w:rsidR="00FD2BDC">
        <w:rPr>
          <w:rFonts w:cstheme="minorHAnsi"/>
        </w:rPr>
        <w:fldChar w:fldCharType="end"/>
      </w:r>
      <w:r w:rsidRPr="00594434">
        <w:rPr>
          <w:rFonts w:cstheme="minorHAnsi"/>
        </w:rPr>
        <w:t xml:space="preserve"> An average T score is calculated using </w:t>
      </w:r>
      <w:r w:rsidR="00B45AE3" w:rsidRPr="00594434">
        <w:rPr>
          <w:rFonts w:cstheme="minorHAnsi"/>
        </w:rPr>
        <w:t>all</w:t>
      </w:r>
      <w:r w:rsidRPr="00594434">
        <w:rPr>
          <w:rFonts w:cstheme="minorHAnsi"/>
        </w:rPr>
        <w:t xml:space="preserve"> the vertebrae</w:t>
      </w:r>
      <w:r w:rsidR="00723461" w:rsidRPr="00594434">
        <w:rPr>
          <w:rFonts w:cstheme="minorHAnsi"/>
        </w:rPr>
        <w:t xml:space="preserve">, unless </w:t>
      </w:r>
      <w:r w:rsidRPr="00594434">
        <w:rPr>
          <w:rFonts w:cstheme="minorHAnsi"/>
        </w:rPr>
        <w:t>contraindicated because of lumbar spine artifacts or anatomic variations. Vertebrae that are obviously abnormal or with a T score with more than 1.0 difference from surrounding vertebrae should be excluded. If 1 or 2 of the vertebrae cannot be used, BMD should be based on the remaining vertebrae. If only 1 vertebra is valid, a site other than the spine should be selected for BMD measurement.</w:t>
      </w:r>
      <w:r w:rsidR="00FD2BDC">
        <w:rPr>
          <w:rFonts w:cstheme="minorHAnsi"/>
        </w:rPr>
        <w:fldChar w:fldCharType="begin"/>
      </w:r>
      <w:r w:rsidR="00FD2BDC">
        <w:rPr>
          <w:rFonts w:cstheme="minorHAnsi"/>
        </w:rPr>
        <w:instrText xml:space="preserve"> NOTEREF _Ref158631929 \f \h </w:instrText>
      </w:r>
      <w:r w:rsidR="00FD2BDC">
        <w:rPr>
          <w:rFonts w:cstheme="minorHAnsi"/>
        </w:rPr>
      </w:r>
      <w:r w:rsidR="00FD2BDC">
        <w:rPr>
          <w:rFonts w:cstheme="minorHAnsi"/>
        </w:rPr>
        <w:fldChar w:fldCharType="separate"/>
      </w:r>
      <w:r w:rsidR="00FD2BDC" w:rsidRPr="00FD2BDC">
        <w:rPr>
          <w:rStyle w:val="EndnoteReference"/>
        </w:rPr>
        <w:t>20</w:t>
      </w:r>
      <w:r w:rsidR="00FD2BDC">
        <w:rPr>
          <w:rFonts w:cstheme="minorHAnsi"/>
        </w:rPr>
        <w:fldChar w:fldCharType="end"/>
      </w:r>
      <w:r w:rsidR="00FD2BDC">
        <w:rPr>
          <w:rFonts w:cstheme="minorHAnsi"/>
        </w:rPr>
        <w:t xml:space="preserve">  </w:t>
      </w:r>
      <w:r w:rsidRPr="00594434">
        <w:rPr>
          <w:rFonts w:cstheme="minorHAnsi"/>
        </w:rPr>
        <w:t xml:space="preserve">    </w:t>
      </w:r>
    </w:p>
    <w:p w14:paraId="6457C721" w14:textId="438837EA" w:rsidR="007A2AFF" w:rsidRPr="00594434" w:rsidRDefault="007A2AFF" w:rsidP="00F26A8C">
      <w:pPr>
        <w:spacing w:after="240" w:line="240" w:lineRule="auto"/>
        <w:contextualSpacing/>
        <w:rPr>
          <w:rFonts w:cstheme="minorHAnsi"/>
        </w:rPr>
      </w:pPr>
    </w:p>
    <w:p w14:paraId="26A0FD69" w14:textId="23B1C0D3" w:rsidR="007A2AFF" w:rsidRPr="00594434" w:rsidRDefault="007A2AFF" w:rsidP="00F26A8C">
      <w:pPr>
        <w:spacing w:after="240" w:line="240" w:lineRule="auto"/>
        <w:contextualSpacing/>
        <w:rPr>
          <w:rFonts w:cstheme="minorHAnsi"/>
        </w:rPr>
      </w:pPr>
      <w:r w:rsidRPr="00594434">
        <w:rPr>
          <w:rFonts w:cstheme="minorHAnsi"/>
        </w:rPr>
        <w:t xml:space="preserve">As the scan is acquired, the technologist should monitor the emerging planar image to ensure that the spine is centered and straight, </w:t>
      </w:r>
      <w:r w:rsidR="00CD699D" w:rsidRPr="00594434">
        <w:rPr>
          <w:rFonts w:cstheme="minorHAnsi"/>
        </w:rPr>
        <w:t>with a</w:t>
      </w:r>
      <w:r w:rsidRPr="00594434">
        <w:rPr>
          <w:rFonts w:cstheme="minorHAnsi"/>
        </w:rPr>
        <w:t xml:space="preserve"> small part of the iliac crest visible at the bottom of the screen. If the patient is not positioned properly, the technologist should stop the acquisition, reposition the position, and restart the aquistion.</w:t>
      </w:r>
      <w:r w:rsidR="00AA4561">
        <w:rPr>
          <w:rFonts w:cstheme="minorHAnsi"/>
        </w:rPr>
        <w:fldChar w:fldCharType="begin"/>
      </w:r>
      <w:r w:rsidR="00AA4561">
        <w:rPr>
          <w:rFonts w:cstheme="minorHAnsi"/>
        </w:rPr>
        <w:instrText xml:space="preserve"> NOTEREF _Ref158630149 \f \h </w:instrText>
      </w:r>
      <w:r w:rsidR="00AA4561">
        <w:rPr>
          <w:rFonts w:cstheme="minorHAnsi"/>
        </w:rPr>
      </w:r>
      <w:r w:rsidR="00AA4561">
        <w:rPr>
          <w:rFonts w:cstheme="minorHAnsi"/>
        </w:rPr>
        <w:fldChar w:fldCharType="separate"/>
      </w:r>
      <w:r w:rsidR="00AA4561" w:rsidRPr="00AA4561">
        <w:rPr>
          <w:rStyle w:val="EndnoteReference"/>
        </w:rPr>
        <w:t>9</w:t>
      </w:r>
      <w:r w:rsidR="00AA4561">
        <w:rPr>
          <w:rFonts w:cstheme="minorHAnsi"/>
        </w:rPr>
        <w:fldChar w:fldCharType="end"/>
      </w:r>
      <w:r w:rsidR="00AA4561">
        <w:rPr>
          <w:rFonts w:cstheme="minorHAnsi"/>
        </w:rPr>
        <w:t xml:space="preserve"> </w:t>
      </w:r>
      <w:r w:rsidRPr="00594434">
        <w:rPr>
          <w:rFonts w:cstheme="minorHAnsi"/>
        </w:rPr>
        <w:t>Although most DXA scanners use automated ROI placement, the technologist must manually adjust the ROI to ensure that the correct region is captured and that there is adequate soft tissue on either side of the spine</w:t>
      </w:r>
      <w:r w:rsidRPr="00EA2DE3">
        <w:rPr>
          <w:rFonts w:cstheme="minorHAnsi"/>
          <w:highlight w:val="yellow"/>
        </w:rPr>
        <w:t xml:space="preserve">. </w:t>
      </w:r>
      <w:bookmarkStart w:id="38" w:name="_Hlk158391252"/>
      <w:r w:rsidRPr="00EA2DE3">
        <w:rPr>
          <w:rFonts w:cstheme="minorHAnsi"/>
          <w:highlight w:val="yellow"/>
        </w:rPr>
        <w:t xml:space="preserve">A line drawn from the highest point of </w:t>
      </w:r>
      <w:commentRangeStart w:id="39"/>
      <w:r w:rsidRPr="00EA2DE3">
        <w:rPr>
          <w:rFonts w:cstheme="minorHAnsi"/>
          <w:highlight w:val="yellow"/>
        </w:rPr>
        <w:t>one</w:t>
      </w:r>
      <w:commentRangeEnd w:id="39"/>
      <w:r w:rsidR="00EA2DE3">
        <w:rPr>
          <w:rStyle w:val="CommentReference"/>
        </w:rPr>
        <w:commentReference w:id="39"/>
      </w:r>
      <w:r w:rsidRPr="00EA2DE3">
        <w:rPr>
          <w:rFonts w:cstheme="minorHAnsi"/>
          <w:highlight w:val="yellow"/>
        </w:rPr>
        <w:t xml:space="preserve"> iliac crest to the other will usually traverse the L4-L5 </w:t>
      </w:r>
      <w:r w:rsidR="0002311B" w:rsidRPr="00EA2DE3">
        <w:rPr>
          <w:rFonts w:cstheme="minorHAnsi"/>
          <w:highlight w:val="yellow"/>
        </w:rPr>
        <w:t>interverbal</w:t>
      </w:r>
      <w:r w:rsidRPr="00EA2DE3">
        <w:rPr>
          <w:rFonts w:cstheme="minorHAnsi"/>
          <w:highlight w:val="yellow"/>
        </w:rPr>
        <w:t xml:space="preserve"> disk space, which provides a landmark for box placement</w:t>
      </w:r>
      <w:bookmarkEnd w:id="38"/>
      <w:r w:rsidRPr="00EA2DE3">
        <w:rPr>
          <w:rFonts w:cstheme="minorHAnsi"/>
          <w:highlight w:val="yellow"/>
        </w:rPr>
        <w:t>.</w:t>
      </w:r>
      <w:r w:rsidR="00AA4561">
        <w:rPr>
          <w:rFonts w:cstheme="minorHAnsi"/>
          <w:highlight w:val="yellow"/>
        </w:rPr>
        <w:fldChar w:fldCharType="begin"/>
      </w:r>
      <w:r w:rsidR="00AA4561">
        <w:rPr>
          <w:rFonts w:cstheme="minorHAnsi"/>
          <w:highlight w:val="yellow"/>
        </w:rPr>
        <w:instrText xml:space="preserve"> NOTEREF _Ref158630149 \f \h </w:instrText>
      </w:r>
      <w:r w:rsidR="00AA4561">
        <w:rPr>
          <w:rFonts w:cstheme="minorHAnsi"/>
          <w:highlight w:val="yellow"/>
        </w:rPr>
      </w:r>
      <w:r w:rsidR="00AA4561">
        <w:rPr>
          <w:rFonts w:cstheme="minorHAnsi"/>
          <w:highlight w:val="yellow"/>
        </w:rPr>
        <w:fldChar w:fldCharType="separate"/>
      </w:r>
      <w:r w:rsidR="00AA4561" w:rsidRPr="00AA4561">
        <w:rPr>
          <w:rStyle w:val="EndnoteReference"/>
          <w:highlight w:val="yellow"/>
        </w:rPr>
        <w:t>9</w:t>
      </w:r>
      <w:r w:rsidR="00AA4561">
        <w:rPr>
          <w:rFonts w:cstheme="minorHAnsi"/>
          <w:highlight w:val="yellow"/>
        </w:rPr>
        <w:fldChar w:fldCharType="end"/>
      </w:r>
      <w:r w:rsidR="00AA4561">
        <w:rPr>
          <w:rFonts w:cstheme="minorHAnsi"/>
        </w:rPr>
        <w:t xml:space="preserve"> </w:t>
      </w:r>
      <w:r w:rsidRPr="00594434">
        <w:rPr>
          <w:rFonts w:cstheme="minorHAnsi"/>
        </w:rPr>
        <w:t xml:space="preserve"> </w:t>
      </w:r>
    </w:p>
    <w:p w14:paraId="092671A6" w14:textId="77777777" w:rsidR="007A2AFF" w:rsidRDefault="007A2AFF" w:rsidP="00F26A8C">
      <w:pPr>
        <w:spacing w:after="240" w:line="240" w:lineRule="auto"/>
        <w:contextualSpacing/>
        <w:rPr>
          <w:rFonts w:cstheme="minorHAnsi"/>
        </w:rPr>
      </w:pPr>
    </w:p>
    <w:p w14:paraId="4A258F6C" w14:textId="326C3CAE" w:rsidR="004B6ABD" w:rsidRDefault="004B6ABD" w:rsidP="00F26A8C">
      <w:pPr>
        <w:spacing w:after="240" w:line="240" w:lineRule="auto"/>
        <w:contextualSpacing/>
        <w:rPr>
          <w:rFonts w:cstheme="minorHAnsi"/>
        </w:rPr>
      </w:pPr>
      <w:r>
        <w:rPr>
          <w:rFonts w:cstheme="minorHAnsi"/>
        </w:rPr>
        <w:t>An example of lumbar spine placement and the resulting bone density graph is shown in Figure 1.</w:t>
      </w:r>
      <w:bookmarkStart w:id="40" w:name="_Ref158633923"/>
      <w:r w:rsidR="002F60E6">
        <w:rPr>
          <w:rStyle w:val="EndnoteReference"/>
          <w:rFonts w:cstheme="minorHAnsi"/>
        </w:rPr>
        <w:endnoteReference w:id="23"/>
      </w:r>
      <w:bookmarkEnd w:id="40"/>
      <w:r>
        <w:rPr>
          <w:rFonts w:cstheme="minorHAnsi"/>
        </w:rPr>
        <w:t xml:space="preserve"> </w:t>
      </w:r>
    </w:p>
    <w:p w14:paraId="72E9ADBE" w14:textId="77777777" w:rsidR="00A14644" w:rsidRDefault="00A14644" w:rsidP="00F26A8C">
      <w:pPr>
        <w:spacing w:after="240" w:line="240" w:lineRule="auto"/>
        <w:contextualSpacing/>
        <w:rPr>
          <w:rFonts w:cstheme="minorHAnsi"/>
        </w:rPr>
      </w:pPr>
    </w:p>
    <w:p w14:paraId="57A89D44" w14:textId="753F1413" w:rsidR="00350C4A" w:rsidRPr="00350C4A" w:rsidRDefault="003A05AE" w:rsidP="00350C4A">
      <w:pPr>
        <w:spacing w:after="240" w:line="240" w:lineRule="auto"/>
        <w:contextualSpacing/>
        <w:rPr>
          <w:rFonts w:cstheme="minorHAnsi"/>
        </w:rPr>
      </w:pPr>
      <w:r>
        <w:rPr>
          <w:rFonts w:cstheme="minorHAnsi"/>
        </w:rPr>
        <w:t xml:space="preserve">Figure </w:t>
      </w:r>
      <w:r w:rsidR="00AA4561">
        <w:rPr>
          <w:rFonts w:cstheme="minorHAnsi"/>
        </w:rPr>
        <w:t>1</w:t>
      </w:r>
      <w:r>
        <w:rPr>
          <w:rFonts w:cstheme="minorHAnsi"/>
        </w:rPr>
        <w:t xml:space="preserve">. Normal positioning and bone density graph for lumbar spine </w:t>
      </w:r>
      <w:commentRangeStart w:id="41"/>
      <w:r>
        <w:rPr>
          <w:rFonts w:cstheme="minorHAnsi"/>
        </w:rPr>
        <w:t>DXA</w:t>
      </w:r>
      <w:commentRangeEnd w:id="41"/>
      <w:r w:rsidR="00946F28">
        <w:rPr>
          <w:rStyle w:val="CommentReference"/>
        </w:rPr>
        <w:commentReference w:id="41"/>
      </w:r>
      <w:r>
        <w:rPr>
          <w:rFonts w:cstheme="minorHAnsi"/>
        </w:rPr>
        <w:t>.</w:t>
      </w:r>
      <w:r w:rsidR="0002311B">
        <w:rPr>
          <w:rFonts w:cstheme="minorHAnsi"/>
        </w:rPr>
        <w:t xml:space="preserve"> </w:t>
      </w:r>
      <w:r w:rsidR="00350C4A">
        <w:rPr>
          <w:rFonts w:cstheme="minorHAnsi"/>
        </w:rPr>
        <w:t xml:space="preserve">Left: </w:t>
      </w:r>
      <w:r w:rsidR="007509BA">
        <w:rPr>
          <w:rFonts w:cstheme="minorHAnsi"/>
        </w:rPr>
        <w:t>I</w:t>
      </w:r>
      <w:r w:rsidR="00350C4A" w:rsidRPr="00350C4A">
        <w:rPr>
          <w:rFonts w:cstheme="minorHAnsi"/>
        </w:rPr>
        <w:t>nitial DXA</w:t>
      </w:r>
    </w:p>
    <w:p w14:paraId="7342A1BF" w14:textId="09E62C39" w:rsidR="00A14644" w:rsidRDefault="00350C4A" w:rsidP="0040561C">
      <w:pPr>
        <w:spacing w:after="240" w:line="240" w:lineRule="auto"/>
        <w:contextualSpacing/>
        <w:rPr>
          <w:rFonts w:cstheme="minorHAnsi"/>
        </w:rPr>
      </w:pPr>
      <w:r w:rsidRPr="00350C4A">
        <w:rPr>
          <w:rFonts w:cstheme="minorHAnsi"/>
        </w:rPr>
        <w:t>of a 72-year-old woman. In the posteroanterior view of the lumbar</w:t>
      </w:r>
      <w:r w:rsidR="00AA4561">
        <w:rPr>
          <w:rFonts w:cstheme="minorHAnsi"/>
        </w:rPr>
        <w:t xml:space="preserve"> </w:t>
      </w:r>
      <w:r w:rsidRPr="00350C4A">
        <w:rPr>
          <w:rFonts w:cstheme="minorHAnsi"/>
        </w:rPr>
        <w:t>spine the lines through the disc spaces and the lines outlining the</w:t>
      </w:r>
      <w:r w:rsidR="007509BA">
        <w:rPr>
          <w:rFonts w:cstheme="minorHAnsi"/>
        </w:rPr>
        <w:t xml:space="preserve"> </w:t>
      </w:r>
      <w:r w:rsidRPr="00350C4A">
        <w:rPr>
          <w:rFonts w:cstheme="minorHAnsi"/>
        </w:rPr>
        <w:t>lateral margins of the vertebra demarcate the ROI. This patient has</w:t>
      </w:r>
      <w:r w:rsidR="007509BA">
        <w:rPr>
          <w:rFonts w:cstheme="minorHAnsi"/>
        </w:rPr>
        <w:t xml:space="preserve"> </w:t>
      </w:r>
      <w:r w:rsidRPr="00350C4A">
        <w:rPr>
          <w:rFonts w:cstheme="minorHAnsi"/>
        </w:rPr>
        <w:t>ﬁve lumbar vertebrae</w:t>
      </w:r>
      <w:r w:rsidR="007509BA">
        <w:rPr>
          <w:rFonts w:cstheme="minorHAnsi"/>
        </w:rPr>
        <w:t xml:space="preserve">. Right: </w:t>
      </w:r>
      <w:r w:rsidR="003A05AE">
        <w:rPr>
          <w:rFonts w:cstheme="minorHAnsi"/>
        </w:rPr>
        <w:t xml:space="preserve"> </w:t>
      </w:r>
      <w:r w:rsidR="0040561C" w:rsidRPr="0040561C">
        <w:rPr>
          <w:rFonts w:cstheme="minorHAnsi"/>
        </w:rPr>
        <w:t>The bone density graph</w:t>
      </w:r>
      <w:r w:rsidR="0040561C">
        <w:rPr>
          <w:rFonts w:cstheme="minorHAnsi"/>
        </w:rPr>
        <w:t xml:space="preserve"> for the s</w:t>
      </w:r>
      <w:r w:rsidR="0040561C" w:rsidRPr="0040561C">
        <w:rPr>
          <w:rFonts w:cstheme="minorHAnsi"/>
        </w:rPr>
        <w:t>ame patient</w:t>
      </w:r>
      <w:r w:rsidR="0040561C">
        <w:rPr>
          <w:rFonts w:cstheme="minorHAnsi"/>
        </w:rPr>
        <w:t>.</w:t>
      </w:r>
      <w:r w:rsidR="0040561C" w:rsidRPr="0040561C">
        <w:rPr>
          <w:rFonts w:cstheme="minorHAnsi"/>
        </w:rPr>
        <w:t xml:space="preserve"> This graph</w:t>
      </w:r>
      <w:r w:rsidR="0040561C">
        <w:rPr>
          <w:rFonts w:cstheme="minorHAnsi"/>
        </w:rPr>
        <w:t xml:space="preserve"> </w:t>
      </w:r>
      <w:r w:rsidR="0040561C" w:rsidRPr="0040561C">
        <w:rPr>
          <w:rFonts w:cstheme="minorHAnsi"/>
        </w:rPr>
        <w:t>shows the bone densities of the reference population with which the</w:t>
      </w:r>
      <w:r w:rsidR="0040561C">
        <w:rPr>
          <w:rFonts w:cstheme="minorHAnsi"/>
        </w:rPr>
        <w:t xml:space="preserve"> </w:t>
      </w:r>
      <w:r w:rsidR="0040561C" w:rsidRPr="0040561C">
        <w:rPr>
          <w:rFonts w:cstheme="minorHAnsi"/>
        </w:rPr>
        <w:t>patient is being compared (central light green region). The bone</w:t>
      </w:r>
      <w:r w:rsidR="00CE79DE">
        <w:rPr>
          <w:rFonts w:cstheme="minorHAnsi"/>
        </w:rPr>
        <w:t xml:space="preserve"> </w:t>
      </w:r>
      <w:r w:rsidR="0040561C" w:rsidRPr="0040561C">
        <w:rPr>
          <w:rFonts w:cstheme="minorHAnsi"/>
        </w:rPr>
        <w:t>densities for normal, osteopenia, and osteoporosis are superimposed</w:t>
      </w:r>
      <w:r w:rsidR="00CE79DE">
        <w:rPr>
          <w:rFonts w:cstheme="minorHAnsi"/>
        </w:rPr>
        <w:t xml:space="preserve"> </w:t>
      </w:r>
      <w:r w:rsidR="0040561C" w:rsidRPr="0040561C">
        <w:rPr>
          <w:rFonts w:cstheme="minorHAnsi"/>
        </w:rPr>
        <w:t>on the graph. The location of the patient’s vertebral bone density is</w:t>
      </w:r>
      <w:r w:rsidR="00CE79DE">
        <w:rPr>
          <w:rFonts w:cstheme="minorHAnsi"/>
        </w:rPr>
        <w:t xml:space="preserve"> </w:t>
      </w:r>
      <w:r w:rsidR="0040561C" w:rsidRPr="0040561C">
        <w:rPr>
          <w:rFonts w:cstheme="minorHAnsi"/>
        </w:rPr>
        <w:t xml:space="preserve">shown on the graph (square dot in the </w:t>
      </w:r>
      <w:commentRangeStart w:id="42"/>
      <w:r w:rsidR="0040561C" w:rsidRPr="0040561C">
        <w:rPr>
          <w:rFonts w:cstheme="minorHAnsi"/>
        </w:rPr>
        <w:t>box</w:t>
      </w:r>
      <w:commentRangeEnd w:id="42"/>
      <w:r w:rsidR="004B6ABD">
        <w:rPr>
          <w:rStyle w:val="CommentReference"/>
        </w:rPr>
        <w:commentReference w:id="42"/>
      </w:r>
      <w:r w:rsidR="0040561C" w:rsidRPr="0040561C">
        <w:rPr>
          <w:rFonts w:cstheme="minorHAnsi"/>
        </w:rPr>
        <w:t>).</w:t>
      </w:r>
      <w:r w:rsidR="002F60E6">
        <w:rPr>
          <w:rFonts w:cstheme="minorHAnsi"/>
        </w:rPr>
        <w:fldChar w:fldCharType="begin"/>
      </w:r>
      <w:r w:rsidR="002F60E6">
        <w:rPr>
          <w:rFonts w:cstheme="minorHAnsi"/>
        </w:rPr>
        <w:instrText xml:space="preserve"> NOTEREF _Ref158633923 \f \h </w:instrText>
      </w:r>
      <w:r w:rsidR="002F60E6">
        <w:rPr>
          <w:rFonts w:cstheme="minorHAnsi"/>
        </w:rPr>
      </w:r>
      <w:r w:rsidR="002F60E6">
        <w:rPr>
          <w:rFonts w:cstheme="minorHAnsi"/>
        </w:rPr>
        <w:fldChar w:fldCharType="separate"/>
      </w:r>
      <w:r w:rsidR="002F60E6" w:rsidRPr="002F60E6">
        <w:rPr>
          <w:rStyle w:val="EndnoteReference"/>
        </w:rPr>
        <w:t>23</w:t>
      </w:r>
      <w:r w:rsidR="002F60E6">
        <w:rPr>
          <w:rFonts w:cstheme="minorHAnsi"/>
        </w:rPr>
        <w:fldChar w:fldCharType="end"/>
      </w:r>
      <w:r w:rsidR="004B6ABD">
        <w:rPr>
          <w:rFonts w:cstheme="minorHAnsi"/>
        </w:rPr>
        <w:t xml:space="preserve"> </w:t>
      </w:r>
    </w:p>
    <w:p w14:paraId="34B70297" w14:textId="77777777" w:rsidR="00946F28" w:rsidRDefault="00946F28" w:rsidP="00F26A8C">
      <w:pPr>
        <w:spacing w:after="240" w:line="240" w:lineRule="auto"/>
        <w:contextualSpacing/>
        <w:rPr>
          <w:rFonts w:cstheme="minorHAnsi"/>
        </w:rPr>
      </w:pPr>
    </w:p>
    <w:p w14:paraId="38518DD9" w14:textId="77777777" w:rsidR="00946F28" w:rsidRDefault="00946F28" w:rsidP="00F26A8C">
      <w:pPr>
        <w:spacing w:after="240" w:line="240" w:lineRule="auto"/>
        <w:contextualSpacing/>
        <w:rPr>
          <w:rFonts w:cstheme="minorHAnsi"/>
        </w:rPr>
      </w:pPr>
    </w:p>
    <w:p w14:paraId="542150E6" w14:textId="1938A5A6" w:rsidR="00946F28" w:rsidRDefault="00517BB5" w:rsidP="00F26A8C">
      <w:pPr>
        <w:spacing w:after="240" w:line="240" w:lineRule="auto"/>
        <w:contextualSpacing/>
        <w:rPr>
          <w:rFonts w:cstheme="minorHAnsi"/>
        </w:rPr>
      </w:pPr>
      <w:r>
        <w:rPr>
          <w:noProof/>
        </w:rPr>
        <w:lastRenderedPageBreak/>
        <w:drawing>
          <wp:inline distT="0" distB="0" distL="0" distR="0" wp14:anchorId="2D377D97" wp14:editId="0B3E7985">
            <wp:extent cx="5943600" cy="3423285"/>
            <wp:effectExtent l="0" t="0" r="0" b="5715"/>
            <wp:docPr id="81762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25851" name=""/>
                    <pic:cNvPicPr/>
                  </pic:nvPicPr>
                  <pic:blipFill>
                    <a:blip r:embed="rId13"/>
                    <a:stretch>
                      <a:fillRect/>
                    </a:stretch>
                  </pic:blipFill>
                  <pic:spPr>
                    <a:xfrm>
                      <a:off x="0" y="0"/>
                      <a:ext cx="5943600" cy="3423285"/>
                    </a:xfrm>
                    <a:prstGeom prst="rect">
                      <a:avLst/>
                    </a:prstGeom>
                  </pic:spPr>
                </pic:pic>
              </a:graphicData>
            </a:graphic>
          </wp:inline>
        </w:drawing>
      </w:r>
    </w:p>
    <w:p w14:paraId="2FF4BE84" w14:textId="77777777" w:rsidR="003A05AE" w:rsidRDefault="003A05AE" w:rsidP="00F26A8C">
      <w:pPr>
        <w:spacing w:after="240" w:line="240" w:lineRule="auto"/>
        <w:contextualSpacing/>
        <w:rPr>
          <w:rFonts w:cstheme="minorHAnsi"/>
        </w:rPr>
      </w:pPr>
    </w:p>
    <w:p w14:paraId="26915D43" w14:textId="77777777" w:rsidR="00A14644" w:rsidRDefault="00A14644" w:rsidP="00F26A8C">
      <w:pPr>
        <w:spacing w:after="240" w:line="240" w:lineRule="auto"/>
        <w:contextualSpacing/>
        <w:rPr>
          <w:rFonts w:cstheme="minorHAnsi"/>
        </w:rPr>
      </w:pPr>
    </w:p>
    <w:p w14:paraId="2D5409E2" w14:textId="77777777" w:rsidR="00A14644" w:rsidRPr="00594434" w:rsidRDefault="00A14644" w:rsidP="00F26A8C">
      <w:pPr>
        <w:spacing w:after="240" w:line="240" w:lineRule="auto"/>
        <w:contextualSpacing/>
        <w:rPr>
          <w:rFonts w:cstheme="minorHAnsi"/>
        </w:rPr>
      </w:pPr>
    </w:p>
    <w:p w14:paraId="22E2B23E" w14:textId="1AAEBF1A" w:rsidR="007A2AFF" w:rsidRPr="00594434" w:rsidRDefault="007A2AFF" w:rsidP="00F26A8C">
      <w:pPr>
        <w:spacing w:after="240" w:line="240" w:lineRule="auto"/>
        <w:contextualSpacing/>
        <w:rPr>
          <w:rFonts w:cstheme="minorHAnsi"/>
          <w:i/>
          <w:iCs/>
        </w:rPr>
      </w:pPr>
      <w:bookmarkStart w:id="43" w:name="_Hlk158385803"/>
      <w:r w:rsidRPr="00594434">
        <w:rPr>
          <w:rFonts w:cstheme="minorHAnsi"/>
          <w:i/>
          <w:iCs/>
        </w:rPr>
        <w:t xml:space="preserve">Proximal femur </w:t>
      </w:r>
    </w:p>
    <w:bookmarkEnd w:id="43"/>
    <w:p w14:paraId="45C6D26E" w14:textId="2888E5D1" w:rsidR="007A2AFF" w:rsidRDefault="007A2AFF" w:rsidP="00F26A8C">
      <w:pPr>
        <w:spacing w:after="240" w:line="240" w:lineRule="auto"/>
        <w:contextualSpacing/>
        <w:rPr>
          <w:rFonts w:cstheme="minorHAnsi"/>
        </w:rPr>
      </w:pPr>
      <w:r w:rsidRPr="00594434">
        <w:rPr>
          <w:rFonts w:cstheme="minorHAnsi"/>
        </w:rPr>
        <w:t>The proximal femur includes the head, neck, shaft, and the greater and lesser trochanters.</w:t>
      </w:r>
      <w:r w:rsidR="00104B3A">
        <w:rPr>
          <w:rFonts w:cstheme="minorHAnsi"/>
        </w:rPr>
        <w:fldChar w:fldCharType="begin"/>
      </w:r>
      <w:r w:rsidR="00104B3A">
        <w:rPr>
          <w:rFonts w:cstheme="minorHAnsi"/>
        </w:rPr>
        <w:instrText xml:space="preserve"> NOTEREF _Ref158631929 \f \h </w:instrText>
      </w:r>
      <w:r w:rsidR="00104B3A">
        <w:rPr>
          <w:rFonts w:cstheme="minorHAnsi"/>
        </w:rPr>
      </w:r>
      <w:r w:rsidR="00104B3A">
        <w:rPr>
          <w:rFonts w:cstheme="minorHAnsi"/>
        </w:rPr>
        <w:fldChar w:fldCharType="separate"/>
      </w:r>
      <w:r w:rsidR="00104B3A" w:rsidRPr="00104B3A">
        <w:rPr>
          <w:rStyle w:val="EndnoteReference"/>
        </w:rPr>
        <w:t>20</w:t>
      </w:r>
      <w:r w:rsidR="00104B3A">
        <w:rPr>
          <w:rFonts w:cstheme="minorHAnsi"/>
        </w:rPr>
        <w:fldChar w:fldCharType="end"/>
      </w:r>
      <w:r w:rsidR="00104B3A">
        <w:rPr>
          <w:rFonts w:cstheme="minorHAnsi"/>
        </w:rPr>
        <w:t xml:space="preserve"> </w:t>
      </w:r>
      <w:r w:rsidRPr="00594434">
        <w:rPr>
          <w:rFonts w:cstheme="minorHAnsi"/>
        </w:rPr>
        <w:t xml:space="preserve"> The patient should lie supine in the midline of the table, </w:t>
      </w:r>
      <w:r w:rsidR="00096D8F" w:rsidRPr="00594434">
        <w:rPr>
          <w:rFonts w:cstheme="minorHAnsi"/>
        </w:rPr>
        <w:t xml:space="preserve">and </w:t>
      </w:r>
      <w:r w:rsidRPr="00594434">
        <w:rPr>
          <w:rFonts w:cstheme="minorHAnsi"/>
        </w:rPr>
        <w:t>positioned so that the femoral neck of the hip to be scanned is parallel to the</w:t>
      </w:r>
      <w:r w:rsidR="00096D8F" w:rsidRPr="00594434">
        <w:rPr>
          <w:rFonts w:cstheme="minorHAnsi"/>
        </w:rPr>
        <w:t xml:space="preserve"> surface of the</w:t>
      </w:r>
      <w:r w:rsidRPr="00594434">
        <w:rPr>
          <w:rFonts w:cstheme="minorHAnsi"/>
        </w:rPr>
        <w:t xml:space="preserve"> scan table. This positioning can be obtained by rotating the leg internally by approximately 15 to 20 degrees. </w:t>
      </w:r>
      <w:r w:rsidR="00096D8F" w:rsidRPr="00594434">
        <w:rPr>
          <w:rFonts w:cstheme="minorHAnsi"/>
        </w:rPr>
        <w:t>The femur should be positioned parallel to the patient’s craniocaudal axis, and rotated to minimize visualization of the lesser trochanter.</w:t>
      </w:r>
      <w:r w:rsidR="00104B3A">
        <w:rPr>
          <w:rFonts w:cstheme="minorHAnsi"/>
        </w:rPr>
        <w:fldChar w:fldCharType="begin"/>
      </w:r>
      <w:r w:rsidR="00104B3A">
        <w:rPr>
          <w:rFonts w:cstheme="minorHAnsi"/>
        </w:rPr>
        <w:instrText xml:space="preserve"> NOTEREF _Ref158630149 \f \h </w:instrText>
      </w:r>
      <w:r w:rsidR="00104B3A">
        <w:rPr>
          <w:rFonts w:cstheme="minorHAnsi"/>
        </w:rPr>
      </w:r>
      <w:r w:rsidR="00104B3A">
        <w:rPr>
          <w:rFonts w:cstheme="minorHAnsi"/>
        </w:rPr>
        <w:fldChar w:fldCharType="separate"/>
      </w:r>
      <w:r w:rsidR="00104B3A" w:rsidRPr="00104B3A">
        <w:rPr>
          <w:rStyle w:val="EndnoteReference"/>
        </w:rPr>
        <w:t>9</w:t>
      </w:r>
      <w:r w:rsidR="00104B3A">
        <w:rPr>
          <w:rFonts w:cstheme="minorHAnsi"/>
        </w:rPr>
        <w:fldChar w:fldCharType="end"/>
      </w:r>
      <w:r w:rsidR="00096D8F" w:rsidRPr="00594434">
        <w:rPr>
          <w:rFonts w:cstheme="minorHAnsi"/>
        </w:rPr>
        <w:t xml:space="preserve"> </w:t>
      </w:r>
      <w:r w:rsidRPr="00594434">
        <w:rPr>
          <w:rFonts w:cstheme="minorHAnsi"/>
        </w:rPr>
        <w:t xml:space="preserve">Use of the DXA scanner’s positioning devices on every scan can help ensure correct positioning and make it easier to compare results across scans.[Berry 2018] The </w:t>
      </w:r>
      <w:r w:rsidR="00257EBD" w:rsidRPr="00594434">
        <w:rPr>
          <w:rFonts w:cstheme="minorHAnsi"/>
        </w:rPr>
        <w:t>ROI</w:t>
      </w:r>
      <w:r w:rsidRPr="00594434">
        <w:rPr>
          <w:rFonts w:cstheme="minorHAnsi"/>
        </w:rPr>
        <w:t xml:space="preserve"> in the proximal femur may vary according the device manufacturer, but usually includes the femoral neck, trochanter, shaft or inter region, and total</w:t>
      </w:r>
      <w:r w:rsidR="00096D8F" w:rsidRPr="00594434">
        <w:rPr>
          <w:rFonts w:cstheme="minorHAnsi"/>
        </w:rPr>
        <w:t xml:space="preserve"> hip</w:t>
      </w:r>
      <w:r w:rsidRPr="00594434">
        <w:rPr>
          <w:rFonts w:cstheme="minorHAnsi"/>
        </w:rPr>
        <w:t xml:space="preserve">. </w:t>
      </w:r>
      <w:r w:rsidRPr="00EA2DE3">
        <w:rPr>
          <w:rFonts w:cstheme="minorHAnsi"/>
          <w:highlight w:val="yellow"/>
        </w:rPr>
        <w:t xml:space="preserve">Ward’s area, </w:t>
      </w:r>
      <w:bookmarkStart w:id="44" w:name="_Hlk158391627"/>
      <w:r w:rsidRPr="00EA2DE3">
        <w:rPr>
          <w:rFonts w:cstheme="minorHAnsi"/>
          <w:highlight w:val="yellow"/>
        </w:rPr>
        <w:t xml:space="preserve">a calculated region </w:t>
      </w:r>
      <w:commentRangeStart w:id="45"/>
      <w:r w:rsidRPr="00EA2DE3">
        <w:rPr>
          <w:rFonts w:cstheme="minorHAnsi"/>
          <w:highlight w:val="yellow"/>
        </w:rPr>
        <w:t>of</w:t>
      </w:r>
      <w:commentRangeEnd w:id="45"/>
      <w:r w:rsidR="00EA2DE3">
        <w:rPr>
          <w:rStyle w:val="CommentReference"/>
        </w:rPr>
        <w:commentReference w:id="45"/>
      </w:r>
      <w:r w:rsidRPr="00EA2DE3">
        <w:rPr>
          <w:rFonts w:cstheme="minorHAnsi"/>
          <w:highlight w:val="yellow"/>
        </w:rPr>
        <w:t xml:space="preserve"> low BMD in the femoral head, is often included in the BMD values reported by the DXA device, but is not used clinically</w:t>
      </w:r>
      <w:bookmarkEnd w:id="44"/>
      <w:r w:rsidRPr="00594434">
        <w:rPr>
          <w:rFonts w:cstheme="minorHAnsi"/>
        </w:rPr>
        <w:t>.</w:t>
      </w:r>
      <w:r w:rsidR="00104B3A">
        <w:rPr>
          <w:rFonts w:cstheme="minorHAnsi"/>
        </w:rPr>
        <w:fldChar w:fldCharType="begin"/>
      </w:r>
      <w:r w:rsidR="00104B3A">
        <w:rPr>
          <w:rFonts w:cstheme="minorHAnsi"/>
        </w:rPr>
        <w:instrText xml:space="preserve"> NOTEREF _Ref158630149 \f \h </w:instrText>
      </w:r>
      <w:r w:rsidR="00104B3A">
        <w:rPr>
          <w:rFonts w:cstheme="minorHAnsi"/>
        </w:rPr>
      </w:r>
      <w:r w:rsidR="00104B3A">
        <w:rPr>
          <w:rFonts w:cstheme="minorHAnsi"/>
        </w:rPr>
        <w:fldChar w:fldCharType="separate"/>
      </w:r>
      <w:r w:rsidR="00104B3A" w:rsidRPr="00104B3A">
        <w:rPr>
          <w:rStyle w:val="EndnoteReference"/>
        </w:rPr>
        <w:t>9</w:t>
      </w:r>
      <w:r w:rsidR="00104B3A">
        <w:rPr>
          <w:rFonts w:cstheme="minorHAnsi"/>
        </w:rPr>
        <w:fldChar w:fldCharType="end"/>
      </w:r>
      <w:r w:rsidR="00104B3A">
        <w:rPr>
          <w:rFonts w:cstheme="minorHAnsi"/>
        </w:rPr>
        <w:t xml:space="preserve"> </w:t>
      </w:r>
    </w:p>
    <w:p w14:paraId="03B40278" w14:textId="77777777" w:rsidR="00861924" w:rsidRDefault="00861924" w:rsidP="00F26A8C">
      <w:pPr>
        <w:spacing w:after="240" w:line="240" w:lineRule="auto"/>
        <w:contextualSpacing/>
        <w:rPr>
          <w:rFonts w:cstheme="minorHAnsi"/>
        </w:rPr>
      </w:pPr>
    </w:p>
    <w:p w14:paraId="2E19F15C" w14:textId="55A753BA" w:rsidR="00823916" w:rsidRDefault="00861924" w:rsidP="00F26A8C">
      <w:pPr>
        <w:spacing w:after="240" w:line="240" w:lineRule="auto"/>
        <w:contextualSpacing/>
        <w:rPr>
          <w:rFonts w:cstheme="minorHAnsi"/>
        </w:rPr>
      </w:pPr>
      <w:r>
        <w:rPr>
          <w:rFonts w:cstheme="minorHAnsi"/>
        </w:rPr>
        <w:t xml:space="preserve">An example of incorrect and correct </w:t>
      </w:r>
      <w:r w:rsidR="00823916">
        <w:rPr>
          <w:rFonts w:cstheme="minorHAnsi"/>
        </w:rPr>
        <w:t xml:space="preserve">hip ROI placement is shown in Figure </w:t>
      </w:r>
      <w:r w:rsidR="00104B3A">
        <w:rPr>
          <w:rFonts w:cstheme="minorHAnsi"/>
        </w:rPr>
        <w:t>2.</w:t>
      </w:r>
      <w:r w:rsidR="00104B3A">
        <w:rPr>
          <w:rStyle w:val="EndnoteReference"/>
          <w:rFonts w:cstheme="minorHAnsi"/>
        </w:rPr>
        <w:endnoteReference w:id="24"/>
      </w:r>
      <w:r w:rsidR="00823916">
        <w:rPr>
          <w:rFonts w:cstheme="minorHAnsi"/>
        </w:rPr>
        <w:t xml:space="preserve"> </w:t>
      </w:r>
    </w:p>
    <w:p w14:paraId="11197423" w14:textId="77777777" w:rsidR="00207566" w:rsidRDefault="00207566" w:rsidP="00F26A8C">
      <w:pPr>
        <w:spacing w:after="240" w:line="240" w:lineRule="auto"/>
        <w:contextualSpacing/>
        <w:rPr>
          <w:rFonts w:cstheme="minorHAnsi"/>
        </w:rPr>
      </w:pPr>
    </w:p>
    <w:p w14:paraId="5F52F9E4" w14:textId="5699E983" w:rsidR="00207566" w:rsidRDefault="00207566" w:rsidP="00F26A8C">
      <w:pPr>
        <w:spacing w:after="240" w:line="240" w:lineRule="auto"/>
        <w:contextualSpacing/>
        <w:rPr>
          <w:rFonts w:cstheme="minorHAnsi"/>
        </w:rPr>
      </w:pPr>
      <w:r>
        <w:rPr>
          <w:noProof/>
        </w:rPr>
        <w:lastRenderedPageBreak/>
        <w:drawing>
          <wp:inline distT="0" distB="0" distL="0" distR="0" wp14:anchorId="69A02B97" wp14:editId="46217900">
            <wp:extent cx="5943600" cy="3891280"/>
            <wp:effectExtent l="0" t="0" r="0" b="0"/>
            <wp:docPr id="1162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928" name=""/>
                    <pic:cNvPicPr/>
                  </pic:nvPicPr>
                  <pic:blipFill>
                    <a:blip r:embed="rId14"/>
                    <a:stretch>
                      <a:fillRect/>
                    </a:stretch>
                  </pic:blipFill>
                  <pic:spPr>
                    <a:xfrm>
                      <a:off x="0" y="0"/>
                      <a:ext cx="5943600" cy="3891280"/>
                    </a:xfrm>
                    <a:prstGeom prst="rect">
                      <a:avLst/>
                    </a:prstGeom>
                  </pic:spPr>
                </pic:pic>
              </a:graphicData>
            </a:graphic>
          </wp:inline>
        </w:drawing>
      </w:r>
    </w:p>
    <w:p w14:paraId="5AE0D7D9" w14:textId="77777777" w:rsidR="00207566" w:rsidRPr="00594434" w:rsidRDefault="00207566" w:rsidP="00F26A8C">
      <w:pPr>
        <w:spacing w:after="240" w:line="240" w:lineRule="auto"/>
        <w:contextualSpacing/>
        <w:rPr>
          <w:rFonts w:cstheme="minorHAnsi"/>
        </w:rPr>
      </w:pPr>
    </w:p>
    <w:p w14:paraId="77839EE6" w14:textId="77777777" w:rsidR="007A2AFF" w:rsidRPr="00594434" w:rsidRDefault="007A2AFF" w:rsidP="00F26A8C">
      <w:pPr>
        <w:spacing w:after="240" w:line="240" w:lineRule="auto"/>
        <w:contextualSpacing/>
        <w:rPr>
          <w:rFonts w:cstheme="minorHAnsi"/>
        </w:rPr>
      </w:pPr>
    </w:p>
    <w:p w14:paraId="5EB93600" w14:textId="77777777" w:rsidR="00185980" w:rsidRPr="00594434" w:rsidRDefault="007A2AFF" w:rsidP="00F26A8C">
      <w:pPr>
        <w:spacing w:after="240" w:line="240" w:lineRule="auto"/>
        <w:contextualSpacing/>
        <w:rPr>
          <w:rFonts w:cstheme="minorHAnsi"/>
          <w:i/>
          <w:iCs/>
        </w:rPr>
      </w:pPr>
      <w:bookmarkStart w:id="46" w:name="_Hlk158385812"/>
      <w:r w:rsidRPr="00594434">
        <w:rPr>
          <w:rFonts w:cstheme="minorHAnsi"/>
          <w:i/>
          <w:iCs/>
        </w:rPr>
        <w:t>Forearm</w:t>
      </w:r>
    </w:p>
    <w:bookmarkEnd w:id="46"/>
    <w:p w14:paraId="68CD674A" w14:textId="5503AADC" w:rsidR="007A2AFF" w:rsidRPr="00594434" w:rsidRDefault="00185980" w:rsidP="00F26A8C">
      <w:pPr>
        <w:spacing w:after="240" w:line="240" w:lineRule="auto"/>
        <w:contextualSpacing/>
        <w:rPr>
          <w:rFonts w:cstheme="minorHAnsi"/>
        </w:rPr>
      </w:pPr>
      <w:r w:rsidRPr="00594434">
        <w:rPr>
          <w:rFonts w:cstheme="minorHAnsi"/>
        </w:rPr>
        <w:t>F</w:t>
      </w:r>
      <w:r w:rsidR="007A2AFF" w:rsidRPr="00594434">
        <w:rPr>
          <w:rFonts w:cstheme="minorHAnsi"/>
        </w:rPr>
        <w:t>or forearm imaging, the patient is seated next to the table with the nondominant forearm, wrist, and hand lad flat, palm side down. The for</w:t>
      </w:r>
      <w:r w:rsidR="00BA06A2" w:rsidRPr="00594434">
        <w:rPr>
          <w:rFonts w:cstheme="minorHAnsi"/>
        </w:rPr>
        <w:t>e</w:t>
      </w:r>
      <w:r w:rsidR="007A2AFF" w:rsidRPr="00594434">
        <w:rPr>
          <w:rFonts w:cstheme="minorHAnsi"/>
        </w:rPr>
        <w:t>arm is secured to a positioning board with a strap.</w:t>
      </w:r>
      <w:r w:rsidR="002604D3">
        <w:rPr>
          <w:rFonts w:cstheme="minorHAnsi"/>
        </w:rPr>
        <w:fldChar w:fldCharType="begin"/>
      </w:r>
      <w:r w:rsidR="002604D3">
        <w:rPr>
          <w:rFonts w:cstheme="minorHAnsi"/>
        </w:rPr>
        <w:instrText xml:space="preserve"> NOTEREF _Ref158630149 \f \h </w:instrText>
      </w:r>
      <w:r w:rsidR="002604D3">
        <w:rPr>
          <w:rFonts w:cstheme="minorHAnsi"/>
        </w:rPr>
      </w:r>
      <w:r w:rsidR="002604D3">
        <w:rPr>
          <w:rFonts w:cstheme="minorHAnsi"/>
        </w:rPr>
        <w:fldChar w:fldCharType="separate"/>
      </w:r>
      <w:r w:rsidR="002604D3" w:rsidRPr="002604D3">
        <w:rPr>
          <w:rStyle w:val="EndnoteReference"/>
        </w:rPr>
        <w:t>9</w:t>
      </w:r>
      <w:r w:rsidR="002604D3">
        <w:rPr>
          <w:rFonts w:cstheme="minorHAnsi"/>
        </w:rPr>
        <w:fldChar w:fldCharType="end"/>
      </w:r>
      <w:r w:rsidR="002604D3">
        <w:rPr>
          <w:rFonts w:cstheme="minorHAnsi"/>
        </w:rPr>
        <w:t xml:space="preserve"> </w:t>
      </w:r>
      <w:r w:rsidR="007A2AFF" w:rsidRPr="00594434">
        <w:rPr>
          <w:rFonts w:cstheme="minorHAnsi"/>
        </w:rPr>
        <w:t xml:space="preserve">The ulnar and radial shafts of the forearm are aligned with the long axis of the table, with the carpal bones in the top one third of the image. </w:t>
      </w:r>
      <w:r w:rsidR="004E7327" w:rsidRPr="00594434">
        <w:rPr>
          <w:rFonts w:cstheme="minorHAnsi"/>
        </w:rPr>
        <w:t>The ROI for the forearm is manually positioned</w:t>
      </w:r>
      <w:r w:rsidR="00257EBD" w:rsidRPr="00594434">
        <w:rPr>
          <w:rFonts w:cstheme="minorHAnsi"/>
        </w:rPr>
        <w:t>, w</w:t>
      </w:r>
      <w:r w:rsidR="009232F8" w:rsidRPr="00594434">
        <w:rPr>
          <w:rFonts w:cstheme="minorHAnsi"/>
        </w:rPr>
        <w:t>ith the goal of including</w:t>
      </w:r>
      <w:r w:rsidR="007A2AFF" w:rsidRPr="00594434">
        <w:rPr>
          <w:rFonts w:cstheme="minorHAnsi"/>
        </w:rPr>
        <w:t xml:space="preserve"> the distal 1/3 radius (radius 33%), which is a 20-mm length of the radial shaft located one third of the distance between the ulnar styloid and the olecranon.</w:t>
      </w:r>
      <w:r w:rsidR="00043925">
        <w:rPr>
          <w:rFonts w:cstheme="minorHAnsi"/>
        </w:rPr>
        <w:fldChar w:fldCharType="begin"/>
      </w:r>
      <w:r w:rsidR="00043925">
        <w:rPr>
          <w:rFonts w:cstheme="minorHAnsi"/>
        </w:rPr>
        <w:instrText xml:space="preserve"> NOTEREF _Ref158630149 \f \h </w:instrText>
      </w:r>
      <w:r w:rsidR="00043925">
        <w:rPr>
          <w:rFonts w:cstheme="minorHAnsi"/>
        </w:rPr>
      </w:r>
      <w:r w:rsidR="00043925">
        <w:rPr>
          <w:rFonts w:cstheme="minorHAnsi"/>
        </w:rPr>
        <w:fldChar w:fldCharType="separate"/>
      </w:r>
      <w:r w:rsidR="00043925" w:rsidRPr="00043925">
        <w:rPr>
          <w:rStyle w:val="EndnoteReference"/>
        </w:rPr>
        <w:t>9</w:t>
      </w:r>
      <w:r w:rsidR="00043925">
        <w:rPr>
          <w:rFonts w:cstheme="minorHAnsi"/>
        </w:rPr>
        <w:fldChar w:fldCharType="end"/>
      </w:r>
      <w:r w:rsidR="00043925">
        <w:rPr>
          <w:rFonts w:cstheme="minorHAnsi"/>
        </w:rPr>
        <w:t xml:space="preserve"> </w:t>
      </w:r>
      <w:r w:rsidR="007A2AFF" w:rsidRPr="00594434">
        <w:rPr>
          <w:rFonts w:cstheme="minorHAnsi"/>
        </w:rPr>
        <w:t xml:space="preserve"> </w:t>
      </w:r>
    </w:p>
    <w:p w14:paraId="2BA6926A" w14:textId="77777777" w:rsidR="00185980" w:rsidRPr="00594434" w:rsidRDefault="00185980" w:rsidP="00F26A8C">
      <w:pPr>
        <w:spacing w:after="240" w:line="240" w:lineRule="auto"/>
        <w:contextualSpacing/>
        <w:rPr>
          <w:rFonts w:cstheme="minorHAnsi"/>
        </w:rPr>
      </w:pPr>
    </w:p>
    <w:p w14:paraId="2A3E8854" w14:textId="3B8BE1E9" w:rsidR="006E46A9" w:rsidRPr="00594434" w:rsidRDefault="00303BA1" w:rsidP="00F26A8C">
      <w:pPr>
        <w:spacing w:after="240" w:line="240" w:lineRule="auto"/>
        <w:contextualSpacing/>
        <w:rPr>
          <w:rFonts w:cstheme="minorHAnsi"/>
        </w:rPr>
      </w:pPr>
      <w:r w:rsidRPr="00027035">
        <w:rPr>
          <w:rFonts w:cstheme="minorHAnsi"/>
          <w:highlight w:val="green"/>
        </w:rPr>
        <w:t xml:space="preserve">Attention to several </w:t>
      </w:r>
      <w:r w:rsidR="006E46A9" w:rsidRPr="00027035">
        <w:rPr>
          <w:rFonts w:cstheme="minorHAnsi"/>
          <w:highlight w:val="green"/>
        </w:rPr>
        <w:t>practical issues</w:t>
      </w:r>
      <w:r w:rsidRPr="00027035">
        <w:rPr>
          <w:rFonts w:cstheme="minorHAnsi"/>
          <w:highlight w:val="green"/>
        </w:rPr>
        <w:t xml:space="preserve"> can increase the likelihood of a successful DXA scan</w:t>
      </w:r>
      <w:r w:rsidR="006E46A9" w:rsidRPr="00027035">
        <w:rPr>
          <w:rFonts w:cstheme="minorHAnsi"/>
          <w:highlight w:val="green"/>
        </w:rPr>
        <w:t>:</w:t>
      </w:r>
      <w:r w:rsidR="00043925">
        <w:rPr>
          <w:rStyle w:val="EndnoteReference"/>
          <w:rFonts w:cstheme="minorHAnsi"/>
          <w:highlight w:val="green"/>
        </w:rPr>
        <w:endnoteReference w:id="25"/>
      </w:r>
      <w:r w:rsidR="006E46A9" w:rsidRPr="00027035">
        <w:rPr>
          <w:rFonts w:cstheme="minorHAnsi"/>
          <w:highlight w:val="green"/>
        </w:rPr>
        <w:t xml:space="preserve"> </w:t>
      </w:r>
      <w:r w:rsidR="00043925">
        <w:rPr>
          <w:rFonts w:cstheme="minorHAnsi"/>
        </w:rPr>
        <w:t xml:space="preserve"> </w:t>
      </w:r>
    </w:p>
    <w:p w14:paraId="4E04461C" w14:textId="72331092" w:rsidR="007A56CC" w:rsidRPr="00594434" w:rsidRDefault="00040119" w:rsidP="00F26A8C">
      <w:pPr>
        <w:pStyle w:val="NormalWeb"/>
        <w:numPr>
          <w:ilvl w:val="0"/>
          <w:numId w:val="6"/>
        </w:numPr>
        <w:spacing w:before="0" w:beforeAutospacing="0" w:after="240" w:afterAutospacing="0"/>
        <w:contextualSpacing/>
        <w:rPr>
          <w:rFonts w:asciiTheme="minorHAnsi" w:hAnsiTheme="minorHAnsi" w:cstheme="minorHAnsi"/>
          <w:sz w:val="22"/>
          <w:szCs w:val="22"/>
        </w:rPr>
      </w:pPr>
      <w:r w:rsidRPr="00594434">
        <w:rPr>
          <w:rFonts w:asciiTheme="minorHAnsi" w:hAnsiTheme="minorHAnsi" w:cstheme="minorHAnsi"/>
          <w:sz w:val="22"/>
          <w:szCs w:val="22"/>
        </w:rPr>
        <w:t>The technologist should ensure that any automatic segmentation</w:t>
      </w:r>
      <w:r w:rsidR="007A56CC" w:rsidRPr="00594434">
        <w:rPr>
          <w:rFonts w:asciiTheme="minorHAnsi" w:hAnsiTheme="minorHAnsi" w:cstheme="minorHAnsi"/>
          <w:sz w:val="22"/>
          <w:szCs w:val="22"/>
        </w:rPr>
        <w:t xml:space="preserve"> has been performed correctly (</w:t>
      </w:r>
      <w:r w:rsidRPr="00594434">
        <w:rPr>
          <w:rFonts w:asciiTheme="minorHAnsi" w:hAnsiTheme="minorHAnsi" w:cstheme="minorHAnsi"/>
          <w:sz w:val="22"/>
          <w:szCs w:val="22"/>
        </w:rPr>
        <w:t xml:space="preserve">for example, </w:t>
      </w:r>
      <w:r w:rsidR="007A56CC" w:rsidRPr="00594434">
        <w:rPr>
          <w:rFonts w:asciiTheme="minorHAnsi" w:hAnsiTheme="minorHAnsi" w:cstheme="minorHAnsi"/>
          <w:sz w:val="22"/>
          <w:szCs w:val="22"/>
        </w:rPr>
        <w:t>not including ilium on lumbar spine or ischium on hip calculations)</w:t>
      </w:r>
    </w:p>
    <w:p w14:paraId="15027717" w14:textId="46BAB377" w:rsidR="007A56CC" w:rsidRPr="00594434" w:rsidRDefault="00B34845" w:rsidP="00F26A8C">
      <w:pPr>
        <w:pStyle w:val="NormalWeb"/>
        <w:numPr>
          <w:ilvl w:val="0"/>
          <w:numId w:val="6"/>
        </w:numPr>
        <w:spacing w:before="0" w:beforeAutospacing="0" w:after="240" w:afterAutospacing="0"/>
        <w:contextualSpacing/>
        <w:rPr>
          <w:rFonts w:asciiTheme="minorHAnsi" w:hAnsiTheme="minorHAnsi" w:cstheme="minorHAnsi"/>
          <w:sz w:val="22"/>
          <w:szCs w:val="22"/>
        </w:rPr>
      </w:pPr>
      <w:r w:rsidRPr="00594434">
        <w:rPr>
          <w:rFonts w:asciiTheme="minorHAnsi" w:hAnsiTheme="minorHAnsi" w:cstheme="minorHAnsi"/>
          <w:sz w:val="22"/>
          <w:szCs w:val="22"/>
        </w:rPr>
        <w:t>E</w:t>
      </w:r>
      <w:r w:rsidR="007A56CC" w:rsidRPr="00594434">
        <w:rPr>
          <w:rFonts w:asciiTheme="minorHAnsi" w:hAnsiTheme="minorHAnsi" w:cstheme="minorHAnsi"/>
          <w:sz w:val="22"/>
          <w:szCs w:val="22"/>
        </w:rPr>
        <w:t>nsure the bone edges have been accurately detected</w:t>
      </w:r>
      <w:r w:rsidRPr="00594434">
        <w:rPr>
          <w:rFonts w:asciiTheme="minorHAnsi" w:hAnsiTheme="minorHAnsi" w:cstheme="minorHAnsi"/>
          <w:sz w:val="22"/>
          <w:szCs w:val="22"/>
        </w:rPr>
        <w:t xml:space="preserve">, especially </w:t>
      </w:r>
      <w:r w:rsidR="007A56CC" w:rsidRPr="00594434">
        <w:rPr>
          <w:rFonts w:asciiTheme="minorHAnsi" w:hAnsiTheme="minorHAnsi" w:cstheme="minorHAnsi"/>
          <w:sz w:val="22"/>
          <w:szCs w:val="22"/>
        </w:rPr>
        <w:t xml:space="preserve">in individuals with very low </w:t>
      </w:r>
      <w:r w:rsidRPr="00594434">
        <w:rPr>
          <w:rFonts w:asciiTheme="minorHAnsi" w:hAnsiTheme="minorHAnsi" w:cstheme="minorHAnsi"/>
          <w:sz w:val="22"/>
          <w:szCs w:val="22"/>
        </w:rPr>
        <w:t>BMD</w:t>
      </w:r>
      <w:r w:rsidR="007A56CC" w:rsidRPr="00594434">
        <w:rPr>
          <w:rFonts w:asciiTheme="minorHAnsi" w:hAnsiTheme="minorHAnsi" w:cstheme="minorHAnsi"/>
          <w:sz w:val="22"/>
          <w:szCs w:val="22"/>
        </w:rPr>
        <w:t>, where software cannot detect a clear density difference between soft tissue and bone</w:t>
      </w:r>
      <w:r w:rsidRPr="00594434">
        <w:rPr>
          <w:rFonts w:asciiTheme="minorHAnsi" w:hAnsiTheme="minorHAnsi" w:cstheme="minorHAnsi"/>
          <w:sz w:val="22"/>
          <w:szCs w:val="22"/>
        </w:rPr>
        <w:t xml:space="preserve"> </w:t>
      </w:r>
    </w:p>
    <w:p w14:paraId="1A9F7BCF" w14:textId="5381E6F1" w:rsidR="007A56CC" w:rsidRPr="00594434" w:rsidRDefault="0002311B" w:rsidP="00F26A8C">
      <w:pPr>
        <w:pStyle w:val="NormalWeb"/>
        <w:numPr>
          <w:ilvl w:val="0"/>
          <w:numId w:val="6"/>
        </w:numPr>
        <w:spacing w:before="0" w:beforeAutospacing="0" w:after="240" w:afterAutospacing="0"/>
        <w:contextualSpacing/>
        <w:rPr>
          <w:rFonts w:asciiTheme="minorHAnsi" w:hAnsiTheme="minorHAnsi" w:cstheme="minorHAnsi"/>
          <w:sz w:val="22"/>
          <w:szCs w:val="22"/>
        </w:rPr>
      </w:pPr>
      <w:r w:rsidRPr="00594434">
        <w:rPr>
          <w:rFonts w:asciiTheme="minorHAnsi" w:hAnsiTheme="minorHAnsi" w:cstheme="minorHAnsi"/>
          <w:sz w:val="22"/>
          <w:szCs w:val="22"/>
        </w:rPr>
        <w:t>To</w:t>
      </w:r>
      <w:r w:rsidR="00F004A0" w:rsidRPr="00594434">
        <w:rPr>
          <w:rFonts w:asciiTheme="minorHAnsi" w:hAnsiTheme="minorHAnsi" w:cstheme="minorHAnsi"/>
          <w:sz w:val="22"/>
          <w:szCs w:val="22"/>
        </w:rPr>
        <w:t xml:space="preserve"> compare patient data across multiple examinations, the patient must be imaged in the same position each time. </w:t>
      </w:r>
      <w:r w:rsidR="004657B1" w:rsidRPr="00594434">
        <w:rPr>
          <w:rFonts w:asciiTheme="minorHAnsi" w:hAnsiTheme="minorHAnsi" w:cstheme="minorHAnsi"/>
          <w:sz w:val="22"/>
          <w:szCs w:val="22"/>
        </w:rPr>
        <w:t xml:space="preserve">In addition, </w:t>
      </w:r>
      <w:r w:rsidR="006D5B05" w:rsidRPr="00594434">
        <w:rPr>
          <w:rFonts w:asciiTheme="minorHAnsi" w:hAnsiTheme="minorHAnsi" w:cstheme="minorHAnsi"/>
          <w:sz w:val="22"/>
          <w:szCs w:val="22"/>
        </w:rPr>
        <w:t>inadequate</w:t>
      </w:r>
      <w:r w:rsidR="004657B1" w:rsidRPr="00594434">
        <w:rPr>
          <w:rFonts w:asciiTheme="minorHAnsi" w:hAnsiTheme="minorHAnsi" w:cstheme="minorHAnsi"/>
          <w:sz w:val="22"/>
          <w:szCs w:val="22"/>
        </w:rPr>
        <w:t xml:space="preserve"> patient positioning can artificially </w:t>
      </w:r>
      <w:r w:rsidR="007A56CC" w:rsidRPr="00594434">
        <w:rPr>
          <w:rFonts w:asciiTheme="minorHAnsi" w:hAnsiTheme="minorHAnsi" w:cstheme="minorHAnsi"/>
          <w:sz w:val="22"/>
          <w:szCs w:val="22"/>
        </w:rPr>
        <w:t>decrease</w:t>
      </w:r>
      <w:r w:rsidR="004657B1" w:rsidRPr="00594434">
        <w:rPr>
          <w:rFonts w:asciiTheme="minorHAnsi" w:hAnsiTheme="minorHAnsi" w:cstheme="minorHAnsi"/>
          <w:sz w:val="22"/>
          <w:szCs w:val="22"/>
        </w:rPr>
        <w:t xml:space="preserve"> BMD</w:t>
      </w:r>
      <w:r w:rsidR="007A56CC" w:rsidRPr="00594434">
        <w:rPr>
          <w:rFonts w:asciiTheme="minorHAnsi" w:hAnsiTheme="minorHAnsi" w:cstheme="minorHAnsi"/>
          <w:sz w:val="22"/>
          <w:szCs w:val="22"/>
        </w:rPr>
        <w:t xml:space="preserve"> (e.g. </w:t>
      </w:r>
      <w:r w:rsidR="004657B1" w:rsidRPr="00594434">
        <w:rPr>
          <w:rFonts w:asciiTheme="minorHAnsi" w:hAnsiTheme="minorHAnsi" w:cstheme="minorHAnsi"/>
          <w:sz w:val="22"/>
          <w:szCs w:val="22"/>
        </w:rPr>
        <w:t xml:space="preserve">due to </w:t>
      </w:r>
      <w:r w:rsidR="007A56CC" w:rsidRPr="00594434">
        <w:rPr>
          <w:rFonts w:asciiTheme="minorHAnsi" w:hAnsiTheme="minorHAnsi" w:cstheme="minorHAnsi"/>
          <w:sz w:val="22"/>
          <w:szCs w:val="22"/>
        </w:rPr>
        <w:t>spinal rotation) or increase</w:t>
      </w:r>
      <w:r w:rsidR="004657B1" w:rsidRPr="00594434">
        <w:rPr>
          <w:rFonts w:asciiTheme="minorHAnsi" w:hAnsiTheme="minorHAnsi" w:cstheme="minorHAnsi"/>
          <w:sz w:val="22"/>
          <w:szCs w:val="22"/>
        </w:rPr>
        <w:t xml:space="preserve"> it</w:t>
      </w:r>
      <w:r w:rsidR="007A56CC" w:rsidRPr="00594434">
        <w:rPr>
          <w:rFonts w:asciiTheme="minorHAnsi" w:hAnsiTheme="minorHAnsi" w:cstheme="minorHAnsi"/>
          <w:sz w:val="22"/>
          <w:szCs w:val="22"/>
        </w:rPr>
        <w:t xml:space="preserve"> (e.g. insufficient internal rotation of the femur)</w:t>
      </w:r>
    </w:p>
    <w:p w14:paraId="0FD48BDB" w14:textId="67CA2DF2" w:rsidR="004E7327" w:rsidRPr="00594434" w:rsidRDefault="004657B1" w:rsidP="00B475D4">
      <w:pPr>
        <w:pStyle w:val="NormalWeb"/>
        <w:numPr>
          <w:ilvl w:val="0"/>
          <w:numId w:val="6"/>
        </w:numPr>
        <w:spacing w:before="0" w:beforeAutospacing="0" w:after="240" w:afterAutospacing="0"/>
        <w:contextualSpacing/>
        <w:rPr>
          <w:rFonts w:asciiTheme="minorHAnsi" w:hAnsiTheme="minorHAnsi" w:cstheme="minorHAnsi"/>
          <w:sz w:val="22"/>
          <w:szCs w:val="22"/>
        </w:rPr>
      </w:pPr>
      <w:r w:rsidRPr="00594434">
        <w:rPr>
          <w:rFonts w:asciiTheme="minorHAnsi" w:hAnsiTheme="minorHAnsi" w:cstheme="minorHAnsi"/>
          <w:sz w:val="22"/>
          <w:szCs w:val="22"/>
        </w:rPr>
        <w:t xml:space="preserve">BMD </w:t>
      </w:r>
      <w:r w:rsidR="007A56CC" w:rsidRPr="00594434">
        <w:rPr>
          <w:rFonts w:asciiTheme="minorHAnsi" w:hAnsiTheme="minorHAnsi" w:cstheme="minorHAnsi"/>
          <w:sz w:val="22"/>
          <w:szCs w:val="22"/>
        </w:rPr>
        <w:t>scores in the lumbar spine can be</w:t>
      </w:r>
      <w:r w:rsidRPr="00594434">
        <w:rPr>
          <w:rFonts w:asciiTheme="minorHAnsi" w:hAnsiTheme="minorHAnsi" w:cstheme="minorHAnsi"/>
          <w:sz w:val="22"/>
          <w:szCs w:val="22"/>
        </w:rPr>
        <w:t xml:space="preserve"> </w:t>
      </w:r>
      <w:r w:rsidR="006D5B05" w:rsidRPr="00594434">
        <w:rPr>
          <w:rFonts w:asciiTheme="minorHAnsi" w:hAnsiTheme="minorHAnsi" w:cstheme="minorHAnsi"/>
          <w:sz w:val="22"/>
          <w:szCs w:val="22"/>
        </w:rPr>
        <w:t>artificially</w:t>
      </w:r>
      <w:r w:rsidR="007A56CC" w:rsidRPr="00594434">
        <w:rPr>
          <w:rFonts w:asciiTheme="minorHAnsi" w:hAnsiTheme="minorHAnsi" w:cstheme="minorHAnsi"/>
          <w:sz w:val="22"/>
          <w:szCs w:val="22"/>
        </w:rPr>
        <w:t xml:space="preserve"> increased</w:t>
      </w:r>
      <w:r w:rsidR="009E04A4" w:rsidRPr="00594434">
        <w:rPr>
          <w:rFonts w:asciiTheme="minorHAnsi" w:hAnsiTheme="minorHAnsi" w:cstheme="minorHAnsi"/>
          <w:sz w:val="22"/>
          <w:szCs w:val="22"/>
        </w:rPr>
        <w:t xml:space="preserve"> in conditions where there is a focal abnormality</w:t>
      </w:r>
      <w:r w:rsidR="00230CA1" w:rsidRPr="00594434">
        <w:rPr>
          <w:rFonts w:asciiTheme="minorHAnsi" w:hAnsiTheme="minorHAnsi" w:cstheme="minorHAnsi"/>
          <w:sz w:val="22"/>
          <w:szCs w:val="22"/>
        </w:rPr>
        <w:t xml:space="preserve">, such as </w:t>
      </w:r>
      <w:r w:rsidR="007A56CC" w:rsidRPr="00594434">
        <w:rPr>
          <w:rFonts w:asciiTheme="minorHAnsi" w:hAnsiTheme="minorHAnsi" w:cstheme="minorHAnsi"/>
          <w:sz w:val="22"/>
          <w:szCs w:val="22"/>
        </w:rPr>
        <w:t>degenerative sclerotic change,</w:t>
      </w:r>
      <w:r w:rsidR="006D5B05" w:rsidRPr="00594434">
        <w:rPr>
          <w:rFonts w:asciiTheme="minorHAnsi" w:hAnsiTheme="minorHAnsi" w:cstheme="minorHAnsi"/>
          <w:sz w:val="22"/>
          <w:szCs w:val="22"/>
        </w:rPr>
        <w:t xml:space="preserve"> ankylosing spondylitis, </w:t>
      </w:r>
      <w:r w:rsidR="007F11E7" w:rsidRPr="00594434">
        <w:rPr>
          <w:rFonts w:asciiTheme="minorHAnsi" w:hAnsiTheme="minorHAnsi" w:cstheme="minorHAnsi"/>
          <w:sz w:val="22"/>
          <w:szCs w:val="22"/>
        </w:rPr>
        <w:t>or spinal fractures</w:t>
      </w:r>
    </w:p>
    <w:p w14:paraId="2C487CC9" w14:textId="5370F2E1" w:rsidR="004E7327" w:rsidRPr="00594434" w:rsidRDefault="00310E7D" w:rsidP="00717ADE">
      <w:pPr>
        <w:pStyle w:val="NormalWeb"/>
        <w:numPr>
          <w:ilvl w:val="0"/>
          <w:numId w:val="6"/>
        </w:numPr>
        <w:spacing w:before="0" w:beforeAutospacing="0" w:after="240" w:afterAutospacing="0"/>
        <w:contextualSpacing/>
        <w:rPr>
          <w:rFonts w:asciiTheme="minorHAnsi" w:hAnsiTheme="minorHAnsi" w:cstheme="minorHAnsi"/>
          <w:sz w:val="22"/>
          <w:szCs w:val="22"/>
        </w:rPr>
      </w:pPr>
      <w:r w:rsidRPr="00594434">
        <w:rPr>
          <w:rFonts w:asciiTheme="minorHAnsi" w:hAnsiTheme="minorHAnsi" w:cstheme="minorHAnsi"/>
          <w:sz w:val="22"/>
          <w:szCs w:val="22"/>
        </w:rPr>
        <w:t>Patients may exhibit significant differences in BMD values or T scores for the left and right hips. To allow for these potential discrepancies, some facilities conduct dual-femur examinations, especially in cases where the lumbar spine information is invalid or incomplete.</w:t>
      </w:r>
      <w:r w:rsidR="002B1FEC">
        <w:rPr>
          <w:rFonts w:asciiTheme="minorHAnsi" w:hAnsiTheme="minorHAnsi" w:cstheme="minorHAnsi"/>
          <w:sz w:val="22"/>
          <w:szCs w:val="22"/>
        </w:rPr>
        <w:fldChar w:fldCharType="begin"/>
      </w:r>
      <w:r w:rsidR="002B1FEC">
        <w:rPr>
          <w:rFonts w:asciiTheme="minorHAnsi" w:hAnsiTheme="minorHAnsi" w:cstheme="minorHAnsi"/>
          <w:sz w:val="22"/>
          <w:szCs w:val="22"/>
        </w:rPr>
        <w:instrText xml:space="preserve"> NOTEREF _Ref158631929 \f \h </w:instrText>
      </w:r>
      <w:r w:rsidR="002B1FEC">
        <w:rPr>
          <w:rFonts w:asciiTheme="minorHAnsi" w:hAnsiTheme="minorHAnsi" w:cstheme="minorHAnsi"/>
          <w:sz w:val="22"/>
          <w:szCs w:val="22"/>
        </w:rPr>
      </w:r>
      <w:r w:rsidR="002B1FEC">
        <w:rPr>
          <w:rFonts w:asciiTheme="minorHAnsi" w:hAnsiTheme="minorHAnsi" w:cstheme="minorHAnsi"/>
          <w:sz w:val="22"/>
          <w:szCs w:val="22"/>
        </w:rPr>
        <w:fldChar w:fldCharType="separate"/>
      </w:r>
      <w:r w:rsidR="002B1FEC" w:rsidRPr="002B1FEC">
        <w:rPr>
          <w:rStyle w:val="EndnoteReference"/>
        </w:rPr>
        <w:t>20</w:t>
      </w:r>
      <w:r w:rsidR="002B1FEC">
        <w:rPr>
          <w:rFonts w:asciiTheme="minorHAnsi" w:hAnsiTheme="minorHAnsi" w:cstheme="minorHAnsi"/>
          <w:sz w:val="22"/>
          <w:szCs w:val="22"/>
        </w:rPr>
        <w:fldChar w:fldCharType="end"/>
      </w:r>
      <w:r w:rsidR="00043925">
        <w:rPr>
          <w:rFonts w:asciiTheme="minorHAnsi" w:hAnsiTheme="minorHAnsi" w:cstheme="minorHAnsi"/>
          <w:sz w:val="22"/>
          <w:szCs w:val="22"/>
        </w:rPr>
        <w:t xml:space="preserve"> </w:t>
      </w:r>
    </w:p>
    <w:p w14:paraId="66A2E856" w14:textId="5B086146" w:rsidR="0092208D" w:rsidRDefault="0092208D" w:rsidP="00717ADE">
      <w:pPr>
        <w:pStyle w:val="NormalWeb"/>
        <w:numPr>
          <w:ilvl w:val="0"/>
          <w:numId w:val="6"/>
        </w:numPr>
        <w:spacing w:before="0" w:beforeAutospacing="0" w:after="240" w:afterAutospacing="0"/>
        <w:contextualSpacing/>
        <w:rPr>
          <w:rFonts w:asciiTheme="minorHAnsi" w:hAnsiTheme="minorHAnsi" w:cstheme="minorHAnsi"/>
          <w:sz w:val="22"/>
          <w:szCs w:val="22"/>
        </w:rPr>
      </w:pPr>
      <w:r w:rsidRPr="00594434">
        <w:rPr>
          <w:rFonts w:asciiTheme="minorHAnsi" w:hAnsiTheme="minorHAnsi" w:cstheme="minorHAnsi"/>
          <w:sz w:val="22"/>
          <w:szCs w:val="22"/>
        </w:rPr>
        <w:lastRenderedPageBreak/>
        <w:t xml:space="preserve">Some patients have </w:t>
      </w:r>
      <w:r w:rsidR="008D0F6F" w:rsidRPr="00594434">
        <w:rPr>
          <w:rFonts w:asciiTheme="minorHAnsi" w:hAnsiTheme="minorHAnsi" w:cstheme="minorHAnsi"/>
          <w:sz w:val="22"/>
          <w:szCs w:val="22"/>
        </w:rPr>
        <w:t>anatomical variations in the structure of the lumbar spine</w:t>
      </w:r>
      <w:r w:rsidR="001E1DE6" w:rsidRPr="00594434">
        <w:rPr>
          <w:rFonts w:asciiTheme="minorHAnsi" w:hAnsiTheme="minorHAnsi" w:cstheme="minorHAnsi"/>
          <w:sz w:val="22"/>
          <w:szCs w:val="22"/>
        </w:rPr>
        <w:t xml:space="preserve"> and surrounding structures</w:t>
      </w:r>
      <w:r w:rsidR="008D0F6F" w:rsidRPr="00594434">
        <w:rPr>
          <w:rFonts w:asciiTheme="minorHAnsi" w:hAnsiTheme="minorHAnsi" w:cstheme="minorHAnsi"/>
          <w:sz w:val="22"/>
          <w:szCs w:val="22"/>
        </w:rPr>
        <w:t xml:space="preserve"> that can affect </w:t>
      </w:r>
      <w:r w:rsidR="00C512B2" w:rsidRPr="00594434">
        <w:rPr>
          <w:rFonts w:asciiTheme="minorHAnsi" w:hAnsiTheme="minorHAnsi" w:cstheme="minorHAnsi"/>
          <w:sz w:val="22"/>
          <w:szCs w:val="22"/>
        </w:rPr>
        <w:t>the accuracy of DXA measurement.</w:t>
      </w:r>
      <w:r w:rsidR="002B1FEC">
        <w:rPr>
          <w:rFonts w:asciiTheme="minorHAnsi" w:hAnsiTheme="minorHAnsi" w:cstheme="minorHAnsi"/>
          <w:sz w:val="22"/>
          <w:szCs w:val="22"/>
        </w:rPr>
        <w:fldChar w:fldCharType="begin"/>
      </w:r>
      <w:r w:rsidR="002B1FEC">
        <w:rPr>
          <w:rFonts w:asciiTheme="minorHAnsi" w:hAnsiTheme="minorHAnsi" w:cstheme="minorHAnsi"/>
          <w:sz w:val="22"/>
          <w:szCs w:val="22"/>
        </w:rPr>
        <w:instrText xml:space="preserve"> NOTEREF _Ref158631929 \f \h </w:instrText>
      </w:r>
      <w:r w:rsidR="002B1FEC">
        <w:rPr>
          <w:rFonts w:asciiTheme="minorHAnsi" w:hAnsiTheme="minorHAnsi" w:cstheme="minorHAnsi"/>
          <w:sz w:val="22"/>
          <w:szCs w:val="22"/>
        </w:rPr>
      </w:r>
      <w:r w:rsidR="002B1FEC">
        <w:rPr>
          <w:rFonts w:asciiTheme="minorHAnsi" w:hAnsiTheme="minorHAnsi" w:cstheme="minorHAnsi"/>
          <w:sz w:val="22"/>
          <w:szCs w:val="22"/>
        </w:rPr>
        <w:fldChar w:fldCharType="separate"/>
      </w:r>
      <w:r w:rsidR="002B1FEC" w:rsidRPr="002B1FEC">
        <w:rPr>
          <w:rStyle w:val="EndnoteReference"/>
        </w:rPr>
        <w:t>20</w:t>
      </w:r>
      <w:r w:rsidR="002B1FEC">
        <w:rPr>
          <w:rFonts w:asciiTheme="minorHAnsi" w:hAnsiTheme="minorHAnsi" w:cstheme="minorHAnsi"/>
          <w:sz w:val="22"/>
          <w:szCs w:val="22"/>
        </w:rPr>
        <w:fldChar w:fldCharType="end"/>
      </w:r>
      <w:r w:rsidR="002B1FEC">
        <w:rPr>
          <w:rFonts w:asciiTheme="minorHAnsi" w:hAnsiTheme="minorHAnsi" w:cstheme="minorHAnsi"/>
          <w:sz w:val="22"/>
          <w:szCs w:val="22"/>
        </w:rPr>
        <w:t xml:space="preserve"> </w:t>
      </w:r>
      <w:r w:rsidR="00062E4C" w:rsidRPr="00594434">
        <w:rPr>
          <w:rFonts w:asciiTheme="minorHAnsi" w:hAnsiTheme="minorHAnsi" w:cstheme="minorHAnsi"/>
          <w:sz w:val="22"/>
          <w:szCs w:val="22"/>
        </w:rPr>
        <w:t xml:space="preserve">Two of most common variations include patients who have 6 lumbar vertebrae rather than 5, </w:t>
      </w:r>
      <w:r w:rsidR="003555C2" w:rsidRPr="00594434">
        <w:rPr>
          <w:rFonts w:asciiTheme="minorHAnsi" w:hAnsiTheme="minorHAnsi" w:cstheme="minorHAnsi"/>
          <w:sz w:val="22"/>
          <w:szCs w:val="22"/>
        </w:rPr>
        <w:t xml:space="preserve">and patients who have absent ribs </w:t>
      </w:r>
      <w:r w:rsidR="00781BE2" w:rsidRPr="00594434">
        <w:rPr>
          <w:rFonts w:asciiTheme="minorHAnsi" w:hAnsiTheme="minorHAnsi" w:cstheme="minorHAnsi"/>
          <w:sz w:val="22"/>
          <w:szCs w:val="22"/>
        </w:rPr>
        <w:t>on T12.</w:t>
      </w:r>
      <w:r w:rsidR="00FA7ABA" w:rsidRPr="00594434">
        <w:rPr>
          <w:rFonts w:asciiTheme="minorHAnsi" w:hAnsiTheme="minorHAnsi" w:cstheme="minorHAnsi"/>
          <w:sz w:val="22"/>
          <w:szCs w:val="22"/>
        </w:rPr>
        <w:t xml:space="preserve"> To avoid discrepancies that can </w:t>
      </w:r>
      <w:r w:rsidR="007A655D" w:rsidRPr="00594434">
        <w:rPr>
          <w:rFonts w:asciiTheme="minorHAnsi" w:hAnsiTheme="minorHAnsi" w:cstheme="minorHAnsi"/>
          <w:sz w:val="22"/>
          <w:szCs w:val="22"/>
        </w:rPr>
        <w:t>influence BMD calculations, the lumbar vertebrae should be labelled from the bottom of the spine upward.</w:t>
      </w:r>
      <w:r w:rsidR="0010193B">
        <w:rPr>
          <w:rFonts w:asciiTheme="minorHAnsi" w:hAnsiTheme="minorHAnsi" w:cstheme="minorHAnsi"/>
          <w:sz w:val="22"/>
          <w:szCs w:val="22"/>
        </w:rPr>
        <w:fldChar w:fldCharType="begin"/>
      </w:r>
      <w:r w:rsidR="0010193B">
        <w:rPr>
          <w:rFonts w:asciiTheme="minorHAnsi" w:hAnsiTheme="minorHAnsi" w:cstheme="minorHAnsi"/>
          <w:sz w:val="22"/>
          <w:szCs w:val="22"/>
        </w:rPr>
        <w:instrText xml:space="preserve"> NOTEREF _Ref158631929 \f \h </w:instrText>
      </w:r>
      <w:r w:rsidR="0010193B">
        <w:rPr>
          <w:rFonts w:asciiTheme="minorHAnsi" w:hAnsiTheme="minorHAnsi" w:cstheme="minorHAnsi"/>
          <w:sz w:val="22"/>
          <w:szCs w:val="22"/>
        </w:rPr>
      </w:r>
      <w:r w:rsidR="0010193B">
        <w:rPr>
          <w:rFonts w:asciiTheme="minorHAnsi" w:hAnsiTheme="minorHAnsi" w:cstheme="minorHAnsi"/>
          <w:sz w:val="22"/>
          <w:szCs w:val="22"/>
        </w:rPr>
        <w:fldChar w:fldCharType="separate"/>
      </w:r>
      <w:r w:rsidR="0010193B" w:rsidRPr="0010193B">
        <w:rPr>
          <w:rStyle w:val="EndnoteReference"/>
        </w:rPr>
        <w:t>20</w:t>
      </w:r>
      <w:r w:rsidR="0010193B">
        <w:rPr>
          <w:rFonts w:asciiTheme="minorHAnsi" w:hAnsiTheme="minorHAnsi" w:cstheme="minorHAnsi"/>
          <w:sz w:val="22"/>
          <w:szCs w:val="22"/>
        </w:rPr>
        <w:fldChar w:fldCharType="end"/>
      </w:r>
      <w:r w:rsidR="007A655D" w:rsidRPr="00594434">
        <w:rPr>
          <w:rFonts w:asciiTheme="minorHAnsi" w:hAnsiTheme="minorHAnsi" w:cstheme="minorHAnsi"/>
          <w:sz w:val="22"/>
          <w:szCs w:val="22"/>
        </w:rPr>
        <w:t xml:space="preserve"> </w:t>
      </w:r>
      <w:r w:rsidR="00781BE2" w:rsidRPr="00594434">
        <w:rPr>
          <w:rFonts w:asciiTheme="minorHAnsi" w:hAnsiTheme="minorHAnsi" w:cstheme="minorHAnsi"/>
          <w:sz w:val="22"/>
          <w:szCs w:val="22"/>
        </w:rPr>
        <w:t xml:space="preserve"> </w:t>
      </w:r>
    </w:p>
    <w:p w14:paraId="0397A1F2" w14:textId="007F6A6B" w:rsidR="00F215A1" w:rsidRDefault="00F215A1" w:rsidP="00717ADE">
      <w:pPr>
        <w:pStyle w:val="NormalWeb"/>
        <w:numPr>
          <w:ilvl w:val="0"/>
          <w:numId w:val="6"/>
        </w:numPr>
        <w:spacing w:before="0" w:beforeAutospacing="0" w:after="240" w:afterAutospacing="0"/>
        <w:contextualSpacing/>
        <w:rPr>
          <w:rFonts w:asciiTheme="minorHAnsi" w:hAnsiTheme="minorHAnsi" w:cstheme="minorHAnsi"/>
          <w:sz w:val="22"/>
          <w:szCs w:val="22"/>
        </w:rPr>
      </w:pPr>
      <w:r>
        <w:rPr>
          <w:rFonts w:asciiTheme="minorHAnsi" w:hAnsiTheme="minorHAnsi" w:cstheme="minorHAnsi"/>
          <w:sz w:val="22"/>
          <w:szCs w:val="22"/>
        </w:rPr>
        <w:t xml:space="preserve">The ISCD has developed a set of Best Practices for DXA for radiographers. Highlights of these practices are summarized in Table </w:t>
      </w:r>
      <w:r w:rsidR="0010193B">
        <w:rPr>
          <w:rFonts w:asciiTheme="minorHAnsi" w:hAnsiTheme="minorHAnsi" w:cstheme="minorHAnsi"/>
          <w:sz w:val="22"/>
          <w:szCs w:val="22"/>
        </w:rPr>
        <w:t>2</w:t>
      </w:r>
      <w:r>
        <w:rPr>
          <w:rFonts w:asciiTheme="minorHAnsi" w:hAnsiTheme="minorHAnsi" w:cstheme="minorHAnsi"/>
          <w:sz w:val="22"/>
          <w:szCs w:val="22"/>
        </w:rPr>
        <w:t>.</w:t>
      </w:r>
      <w:bookmarkStart w:id="47" w:name="_Ref158634854"/>
      <w:r w:rsidR="0010193B">
        <w:rPr>
          <w:rStyle w:val="EndnoteReference"/>
          <w:rFonts w:asciiTheme="minorHAnsi" w:hAnsiTheme="minorHAnsi" w:cstheme="minorHAnsi"/>
          <w:sz w:val="22"/>
          <w:szCs w:val="22"/>
        </w:rPr>
        <w:endnoteReference w:id="26"/>
      </w:r>
      <w:bookmarkEnd w:id="47"/>
      <w:r>
        <w:rPr>
          <w:rFonts w:asciiTheme="minorHAnsi" w:hAnsiTheme="minorHAnsi" w:cstheme="minorHAnsi"/>
          <w:sz w:val="22"/>
          <w:szCs w:val="22"/>
        </w:rPr>
        <w:t xml:space="preserve">  </w:t>
      </w:r>
    </w:p>
    <w:p w14:paraId="07BDDAC0" w14:textId="77777777" w:rsidR="00A377C1" w:rsidRDefault="00A377C1" w:rsidP="00A377C1">
      <w:pPr>
        <w:pStyle w:val="NormalWeb"/>
        <w:spacing w:before="0" w:beforeAutospacing="0" w:after="240" w:afterAutospacing="0"/>
        <w:contextualSpacing/>
        <w:rPr>
          <w:rFonts w:asciiTheme="minorHAnsi" w:hAnsiTheme="minorHAnsi" w:cstheme="minorHAnsi"/>
          <w:sz w:val="22"/>
          <w:szCs w:val="22"/>
        </w:rPr>
      </w:pPr>
    </w:p>
    <w:p w14:paraId="05ED986F" w14:textId="28830752" w:rsidR="00A377C1" w:rsidRDefault="00A377C1" w:rsidP="00A377C1">
      <w:pPr>
        <w:pStyle w:val="NormalWeb"/>
        <w:spacing w:before="0" w:beforeAutospacing="0" w:after="240" w:afterAutospacing="0"/>
        <w:contextualSpacing/>
        <w:rPr>
          <w:rFonts w:asciiTheme="minorHAnsi" w:hAnsiTheme="minorHAnsi" w:cstheme="minorHAnsi"/>
          <w:sz w:val="22"/>
          <w:szCs w:val="22"/>
        </w:rPr>
      </w:pPr>
      <w:r>
        <w:rPr>
          <w:rFonts w:asciiTheme="minorHAnsi" w:hAnsiTheme="minorHAnsi" w:cstheme="minorHAnsi"/>
          <w:sz w:val="22"/>
          <w:szCs w:val="22"/>
        </w:rPr>
        <w:t xml:space="preserve">Table </w:t>
      </w:r>
      <w:r w:rsidR="0010193B">
        <w:rPr>
          <w:rFonts w:asciiTheme="minorHAnsi" w:hAnsiTheme="minorHAnsi" w:cstheme="minorHAnsi"/>
          <w:sz w:val="22"/>
          <w:szCs w:val="22"/>
        </w:rPr>
        <w:t>2</w:t>
      </w:r>
      <w:r>
        <w:rPr>
          <w:rFonts w:asciiTheme="minorHAnsi" w:hAnsiTheme="minorHAnsi" w:cstheme="minorHAnsi"/>
          <w:sz w:val="22"/>
          <w:szCs w:val="22"/>
        </w:rPr>
        <w:t>. ISCD best practices for DXA</w:t>
      </w:r>
      <w:r w:rsidR="0010193B">
        <w:rPr>
          <w:rFonts w:asciiTheme="minorHAnsi" w:hAnsiTheme="minorHAnsi" w:cstheme="minorHAnsi"/>
          <w:sz w:val="22"/>
          <w:szCs w:val="22"/>
        </w:rPr>
        <w:t>.</w:t>
      </w:r>
      <w:commentRangeStart w:id="48"/>
      <w:r w:rsidR="0010193B">
        <w:rPr>
          <w:rFonts w:asciiTheme="minorHAnsi" w:hAnsiTheme="minorHAnsi" w:cstheme="minorHAnsi"/>
          <w:sz w:val="22"/>
          <w:szCs w:val="22"/>
        </w:rPr>
        <w:fldChar w:fldCharType="begin"/>
      </w:r>
      <w:r w:rsidR="0010193B">
        <w:rPr>
          <w:rFonts w:asciiTheme="minorHAnsi" w:hAnsiTheme="minorHAnsi" w:cstheme="minorHAnsi"/>
          <w:sz w:val="22"/>
          <w:szCs w:val="22"/>
        </w:rPr>
        <w:instrText xml:space="preserve"> NOTEREF _Ref158634854 \f \h </w:instrText>
      </w:r>
      <w:r w:rsidR="0010193B">
        <w:rPr>
          <w:rFonts w:asciiTheme="minorHAnsi" w:hAnsiTheme="minorHAnsi" w:cstheme="minorHAnsi"/>
          <w:sz w:val="22"/>
          <w:szCs w:val="22"/>
        </w:rPr>
      </w:r>
      <w:r w:rsidR="0010193B">
        <w:rPr>
          <w:rFonts w:asciiTheme="minorHAnsi" w:hAnsiTheme="minorHAnsi" w:cstheme="minorHAnsi"/>
          <w:sz w:val="22"/>
          <w:szCs w:val="22"/>
        </w:rPr>
        <w:fldChar w:fldCharType="separate"/>
      </w:r>
      <w:r w:rsidR="0010193B" w:rsidRPr="0010193B">
        <w:rPr>
          <w:rStyle w:val="EndnoteReference"/>
        </w:rPr>
        <w:t>26</w:t>
      </w:r>
      <w:r w:rsidR="0010193B">
        <w:rPr>
          <w:rFonts w:asciiTheme="minorHAnsi" w:hAnsiTheme="minorHAnsi" w:cstheme="minorHAnsi"/>
          <w:sz w:val="22"/>
          <w:szCs w:val="22"/>
        </w:rPr>
        <w:fldChar w:fldCharType="end"/>
      </w:r>
      <w:commentRangeEnd w:id="48"/>
      <w:r w:rsidR="0010193B">
        <w:rPr>
          <w:rStyle w:val="CommentReference"/>
          <w:rFonts w:asciiTheme="minorHAnsi" w:eastAsiaTheme="minorHAnsi" w:hAnsiTheme="minorHAnsi" w:cstheme="minorBidi"/>
          <w:kern w:val="2"/>
          <w14:ligatures w14:val="standardContextual"/>
        </w:rPr>
        <w:commentReference w:id="48"/>
      </w:r>
      <w:r w:rsidR="0010193B">
        <w:rPr>
          <w:rFonts w:asciiTheme="minorHAnsi" w:hAnsiTheme="minorHAnsi" w:cstheme="minorHAnsi"/>
          <w:sz w:val="22"/>
          <w:szCs w:val="22"/>
        </w:rPr>
        <w:t xml:space="preserve"> </w:t>
      </w:r>
      <w:r w:rsidR="00AA40A1">
        <w:rPr>
          <w:rFonts w:asciiTheme="minorHAnsi" w:hAnsiTheme="minorHAnsi" w:cstheme="minorHAnsi"/>
          <w:sz w:val="22"/>
          <w:szCs w:val="22"/>
        </w:rPr>
        <w:t xml:space="preserve"> </w:t>
      </w:r>
    </w:p>
    <w:p w14:paraId="0D656CEA" w14:textId="77777777" w:rsidR="00B4445C" w:rsidRDefault="00B4445C" w:rsidP="00B4445C">
      <w:pPr>
        <w:pStyle w:val="NormalWeb"/>
        <w:spacing w:before="0" w:beforeAutospacing="0" w:after="240" w:afterAutospacing="0"/>
        <w:contextualSpacing/>
        <w:rPr>
          <w:rFonts w:asciiTheme="minorHAnsi" w:hAnsiTheme="minorHAnsi" w:cstheme="minorHAnsi"/>
          <w:sz w:val="22"/>
          <w:szCs w:val="22"/>
        </w:rPr>
      </w:pPr>
    </w:p>
    <w:tbl>
      <w:tblPr>
        <w:tblStyle w:val="TableGrid"/>
        <w:tblW w:w="9895" w:type="dxa"/>
        <w:tblLook w:val="04A0" w:firstRow="1" w:lastRow="0" w:firstColumn="1" w:lastColumn="0" w:noHBand="0" w:noVBand="1"/>
      </w:tblPr>
      <w:tblGrid>
        <w:gridCol w:w="3116"/>
        <w:gridCol w:w="6779"/>
      </w:tblGrid>
      <w:tr w:rsidR="00AA40A1" w14:paraId="49878C8F" w14:textId="77777777" w:rsidTr="00AA40A1">
        <w:trPr>
          <w:trHeight w:val="620"/>
        </w:trPr>
        <w:tc>
          <w:tcPr>
            <w:tcW w:w="3116" w:type="dxa"/>
          </w:tcPr>
          <w:p w14:paraId="14EFAB8D" w14:textId="08611576" w:rsidR="00AA40A1" w:rsidRDefault="00AA40A1" w:rsidP="00B4445C">
            <w:pPr>
              <w:pStyle w:val="NormalWeb"/>
              <w:spacing w:before="0" w:beforeAutospacing="0" w:after="240" w:afterAutospacing="0"/>
              <w:contextualSpacing/>
              <w:rPr>
                <w:rFonts w:asciiTheme="minorHAnsi" w:hAnsiTheme="minorHAnsi" w:cstheme="minorHAnsi"/>
                <w:sz w:val="22"/>
                <w:szCs w:val="22"/>
              </w:rPr>
            </w:pPr>
            <w:r>
              <w:rPr>
                <w:rFonts w:asciiTheme="minorHAnsi" w:hAnsiTheme="minorHAnsi" w:cstheme="minorHAnsi"/>
                <w:sz w:val="22"/>
                <w:szCs w:val="22"/>
              </w:rPr>
              <w:t xml:space="preserve">Recommendations for scan acquisition and analysis </w:t>
            </w:r>
          </w:p>
        </w:tc>
        <w:tc>
          <w:tcPr>
            <w:tcW w:w="6779" w:type="dxa"/>
          </w:tcPr>
          <w:p w14:paraId="3BC33D89" w14:textId="77777777" w:rsidR="007A7C56" w:rsidRPr="007A7C56" w:rsidRDefault="007A7C56" w:rsidP="007A7C56">
            <w:pPr>
              <w:pStyle w:val="NormalWeb"/>
              <w:numPr>
                <w:ilvl w:val="0"/>
                <w:numId w:val="12"/>
              </w:numPr>
              <w:spacing w:after="240"/>
              <w:contextualSpacing/>
              <w:rPr>
                <w:rFonts w:asciiTheme="minorHAnsi" w:hAnsiTheme="minorHAnsi" w:cstheme="minorHAnsi"/>
                <w:sz w:val="22"/>
                <w:szCs w:val="22"/>
              </w:rPr>
            </w:pPr>
            <w:r w:rsidRPr="007A7C56">
              <w:rPr>
                <w:rFonts w:asciiTheme="minorHAnsi" w:hAnsiTheme="minorHAnsi" w:cstheme="minorHAnsi"/>
                <w:sz w:val="22"/>
                <w:szCs w:val="22"/>
              </w:rPr>
              <w:t>At least one practicing DXA technologist, and preferably all, has a valid certiﬁcation in bone densitometry.</w:t>
            </w:r>
          </w:p>
          <w:p w14:paraId="7B8E9067" w14:textId="796C3C83" w:rsidR="007A7C56" w:rsidRPr="007A7C56" w:rsidRDefault="007A7C56" w:rsidP="00BB6840">
            <w:pPr>
              <w:pStyle w:val="NormalWeb"/>
              <w:numPr>
                <w:ilvl w:val="0"/>
                <w:numId w:val="12"/>
              </w:numPr>
              <w:spacing w:after="240"/>
              <w:contextualSpacing/>
              <w:rPr>
                <w:rFonts w:asciiTheme="minorHAnsi" w:hAnsiTheme="minorHAnsi" w:cstheme="minorHAnsi"/>
                <w:sz w:val="22"/>
                <w:szCs w:val="22"/>
              </w:rPr>
            </w:pPr>
            <w:r w:rsidRPr="007A7C56">
              <w:rPr>
                <w:rFonts w:asciiTheme="minorHAnsi" w:hAnsiTheme="minorHAnsi" w:cstheme="minorHAnsi"/>
                <w:sz w:val="22"/>
                <w:szCs w:val="22"/>
              </w:rPr>
              <w:t>Each DXA technologist has access to the manufacturer’s manual of technical standards and applies these standards for BMD measurement.</w:t>
            </w:r>
          </w:p>
          <w:p w14:paraId="61E9D4A5" w14:textId="1CBD3B3E" w:rsidR="007A7C56" w:rsidRPr="007A7C56" w:rsidRDefault="007A7C56" w:rsidP="00F92CD4">
            <w:pPr>
              <w:pStyle w:val="NormalWeb"/>
              <w:numPr>
                <w:ilvl w:val="0"/>
                <w:numId w:val="12"/>
              </w:numPr>
              <w:spacing w:after="240"/>
              <w:contextualSpacing/>
              <w:rPr>
                <w:rFonts w:asciiTheme="minorHAnsi" w:hAnsiTheme="minorHAnsi" w:cstheme="minorHAnsi"/>
                <w:sz w:val="22"/>
                <w:szCs w:val="22"/>
              </w:rPr>
            </w:pPr>
            <w:r w:rsidRPr="007A7C56">
              <w:rPr>
                <w:rFonts w:asciiTheme="minorHAnsi" w:hAnsiTheme="minorHAnsi" w:cstheme="minorHAnsi"/>
                <w:sz w:val="22"/>
                <w:szCs w:val="22"/>
              </w:rPr>
              <w:t>Each DXA facility has detailed standard operating procedures for DXA performance that are updated when</w:t>
            </w:r>
            <w:r>
              <w:rPr>
                <w:rFonts w:asciiTheme="minorHAnsi" w:hAnsiTheme="minorHAnsi" w:cstheme="minorHAnsi"/>
                <w:sz w:val="22"/>
                <w:szCs w:val="22"/>
              </w:rPr>
              <w:t xml:space="preserve"> </w:t>
            </w:r>
            <w:r w:rsidRPr="007A7C56">
              <w:rPr>
                <w:rFonts w:asciiTheme="minorHAnsi" w:hAnsiTheme="minorHAnsi" w:cstheme="minorHAnsi"/>
                <w:sz w:val="22"/>
                <w:szCs w:val="22"/>
              </w:rPr>
              <w:t>appropriate and available for review by all key personnel.</w:t>
            </w:r>
          </w:p>
          <w:p w14:paraId="628FACFC" w14:textId="2296794A" w:rsidR="007A7C56" w:rsidRPr="007A7C56" w:rsidRDefault="007A7C56" w:rsidP="007A7C56">
            <w:pPr>
              <w:pStyle w:val="NormalWeb"/>
              <w:numPr>
                <w:ilvl w:val="0"/>
                <w:numId w:val="12"/>
              </w:numPr>
              <w:spacing w:after="240"/>
              <w:contextualSpacing/>
              <w:rPr>
                <w:rFonts w:asciiTheme="minorHAnsi" w:hAnsiTheme="minorHAnsi" w:cstheme="minorHAnsi"/>
                <w:sz w:val="22"/>
                <w:szCs w:val="22"/>
              </w:rPr>
            </w:pPr>
            <w:r w:rsidRPr="007A7C56">
              <w:rPr>
                <w:rFonts w:asciiTheme="minorHAnsi" w:hAnsiTheme="minorHAnsi" w:cstheme="minorHAnsi"/>
                <w:sz w:val="22"/>
                <w:szCs w:val="22"/>
              </w:rPr>
              <w:t>The DXA facility must comply with all applicable radiation safety requirements.</w:t>
            </w:r>
          </w:p>
          <w:p w14:paraId="10C41BE4" w14:textId="2926D432" w:rsidR="007A7C56" w:rsidRPr="00893F15" w:rsidRDefault="007A7C56" w:rsidP="00AA726A">
            <w:pPr>
              <w:pStyle w:val="NormalWeb"/>
              <w:numPr>
                <w:ilvl w:val="0"/>
                <w:numId w:val="12"/>
              </w:numPr>
              <w:spacing w:after="240"/>
              <w:contextualSpacing/>
              <w:rPr>
                <w:rFonts w:asciiTheme="minorHAnsi" w:hAnsiTheme="minorHAnsi" w:cstheme="minorHAnsi"/>
                <w:sz w:val="22"/>
                <w:szCs w:val="22"/>
              </w:rPr>
            </w:pPr>
            <w:r w:rsidRPr="00893F15">
              <w:rPr>
                <w:rFonts w:asciiTheme="minorHAnsi" w:hAnsiTheme="minorHAnsi" w:cstheme="minorHAnsi"/>
                <w:sz w:val="22"/>
                <w:szCs w:val="22"/>
              </w:rPr>
              <w:t>Spine phantom BMD measurement is performed at least once weekly to document stability of DXA performance over time. BMD values must be maintained within a tolerance of ±1.5%, with a deﬁned ongoing monitoring plan that deﬁnes a correction approach when the tolerance has been exceeded.</w:t>
            </w:r>
          </w:p>
          <w:p w14:paraId="0ABE4FB0" w14:textId="0EE502A1" w:rsidR="007A7C56" w:rsidRPr="00893F15" w:rsidRDefault="007A7C56" w:rsidP="0070024B">
            <w:pPr>
              <w:pStyle w:val="NormalWeb"/>
              <w:numPr>
                <w:ilvl w:val="0"/>
                <w:numId w:val="12"/>
              </w:numPr>
              <w:spacing w:after="240"/>
              <w:contextualSpacing/>
              <w:rPr>
                <w:rFonts w:asciiTheme="minorHAnsi" w:hAnsiTheme="minorHAnsi" w:cstheme="minorHAnsi"/>
                <w:sz w:val="22"/>
                <w:szCs w:val="22"/>
              </w:rPr>
            </w:pPr>
            <w:r w:rsidRPr="00893F15">
              <w:rPr>
                <w:rFonts w:asciiTheme="minorHAnsi" w:hAnsiTheme="minorHAnsi" w:cstheme="minorHAnsi"/>
                <w:sz w:val="22"/>
                <w:szCs w:val="22"/>
              </w:rPr>
              <w:t>Each DXA technologist has performed in vivo precision</w:t>
            </w:r>
            <w:r w:rsidR="00893F15" w:rsidRPr="00893F15">
              <w:rPr>
                <w:rFonts w:asciiTheme="minorHAnsi" w:hAnsiTheme="minorHAnsi" w:cstheme="minorHAnsi"/>
                <w:sz w:val="22"/>
                <w:szCs w:val="22"/>
              </w:rPr>
              <w:t xml:space="preserve"> </w:t>
            </w:r>
            <w:r w:rsidRPr="00893F15">
              <w:rPr>
                <w:rFonts w:asciiTheme="minorHAnsi" w:hAnsiTheme="minorHAnsi" w:cstheme="minorHAnsi"/>
                <w:sz w:val="22"/>
                <w:szCs w:val="22"/>
              </w:rPr>
              <w:t>assessment according to standard methods and the</w:t>
            </w:r>
            <w:r w:rsidR="00893F15">
              <w:rPr>
                <w:rFonts w:asciiTheme="minorHAnsi" w:hAnsiTheme="minorHAnsi" w:cstheme="minorHAnsi"/>
                <w:sz w:val="22"/>
                <w:szCs w:val="22"/>
              </w:rPr>
              <w:t xml:space="preserve"> </w:t>
            </w:r>
            <w:r w:rsidRPr="00893F15">
              <w:rPr>
                <w:rFonts w:asciiTheme="minorHAnsi" w:hAnsiTheme="minorHAnsi" w:cstheme="minorHAnsi"/>
                <w:sz w:val="22"/>
                <w:szCs w:val="22"/>
              </w:rPr>
              <w:t>facility LSC has been calculated.</w:t>
            </w:r>
          </w:p>
          <w:p w14:paraId="4203C67D" w14:textId="094C589C" w:rsidR="007A7C56" w:rsidRPr="007A7C56" w:rsidRDefault="007A7C56" w:rsidP="007A7C56">
            <w:pPr>
              <w:pStyle w:val="NormalWeb"/>
              <w:numPr>
                <w:ilvl w:val="0"/>
                <w:numId w:val="12"/>
              </w:numPr>
              <w:spacing w:after="240"/>
              <w:contextualSpacing/>
              <w:rPr>
                <w:rFonts w:asciiTheme="minorHAnsi" w:hAnsiTheme="minorHAnsi" w:cstheme="minorHAnsi"/>
                <w:sz w:val="22"/>
                <w:szCs w:val="22"/>
              </w:rPr>
            </w:pPr>
            <w:r w:rsidRPr="007A7C56">
              <w:rPr>
                <w:rFonts w:asciiTheme="minorHAnsi" w:hAnsiTheme="minorHAnsi" w:cstheme="minorHAnsi"/>
                <w:sz w:val="22"/>
                <w:szCs w:val="22"/>
              </w:rPr>
              <w:t xml:space="preserve">The </w:t>
            </w:r>
            <w:r w:rsidR="00893F15">
              <w:rPr>
                <w:rFonts w:asciiTheme="minorHAnsi" w:hAnsiTheme="minorHAnsi" w:cstheme="minorHAnsi"/>
                <w:sz w:val="22"/>
                <w:szCs w:val="22"/>
              </w:rPr>
              <w:t>least significant change</w:t>
            </w:r>
            <w:r w:rsidRPr="007A7C56">
              <w:rPr>
                <w:rFonts w:asciiTheme="minorHAnsi" w:hAnsiTheme="minorHAnsi" w:cstheme="minorHAnsi"/>
                <w:sz w:val="22"/>
                <w:szCs w:val="22"/>
              </w:rPr>
              <w:t xml:space="preserve"> for each DXA technologist should not exceed 5.3% for the lumbar spine, 5.0% for the total proximal</w:t>
            </w:r>
          </w:p>
          <w:p w14:paraId="4994F9C4" w14:textId="25E2820D" w:rsidR="00AA40A1" w:rsidRDefault="007A7C56" w:rsidP="007A7C56">
            <w:pPr>
              <w:pStyle w:val="NormalWeb"/>
              <w:numPr>
                <w:ilvl w:val="0"/>
                <w:numId w:val="12"/>
              </w:numPr>
              <w:spacing w:before="0" w:beforeAutospacing="0" w:after="240" w:afterAutospacing="0"/>
              <w:contextualSpacing/>
              <w:rPr>
                <w:rFonts w:asciiTheme="minorHAnsi" w:hAnsiTheme="minorHAnsi" w:cstheme="minorHAnsi"/>
                <w:sz w:val="22"/>
                <w:szCs w:val="22"/>
              </w:rPr>
            </w:pPr>
            <w:r w:rsidRPr="007A7C56">
              <w:rPr>
                <w:rFonts w:asciiTheme="minorHAnsi" w:hAnsiTheme="minorHAnsi" w:cstheme="minorHAnsi"/>
                <w:sz w:val="22"/>
                <w:szCs w:val="22"/>
              </w:rPr>
              <w:t>femur, and 6.9% for the femoral neck.</w:t>
            </w:r>
          </w:p>
        </w:tc>
      </w:tr>
      <w:tr w:rsidR="00AA40A1" w14:paraId="198E7163" w14:textId="77777777" w:rsidTr="00AA40A1">
        <w:tc>
          <w:tcPr>
            <w:tcW w:w="3116" w:type="dxa"/>
          </w:tcPr>
          <w:p w14:paraId="702836AB" w14:textId="46C506DF" w:rsidR="00AA40A1" w:rsidRDefault="00AA40A1" w:rsidP="00B4445C">
            <w:pPr>
              <w:pStyle w:val="NormalWeb"/>
              <w:spacing w:before="0" w:beforeAutospacing="0" w:after="240" w:afterAutospacing="0"/>
              <w:contextualSpacing/>
              <w:rPr>
                <w:rFonts w:asciiTheme="minorHAnsi" w:hAnsiTheme="minorHAnsi" w:cstheme="minorHAnsi"/>
                <w:sz w:val="22"/>
                <w:szCs w:val="22"/>
              </w:rPr>
            </w:pPr>
            <w:r>
              <w:rPr>
                <w:rFonts w:asciiTheme="minorHAnsi" w:hAnsiTheme="minorHAnsi" w:cstheme="minorHAnsi"/>
                <w:sz w:val="22"/>
                <w:szCs w:val="22"/>
              </w:rPr>
              <w:t xml:space="preserve">Recommendations for interpretation and reporting </w:t>
            </w:r>
          </w:p>
        </w:tc>
        <w:tc>
          <w:tcPr>
            <w:tcW w:w="6779" w:type="dxa"/>
          </w:tcPr>
          <w:p w14:paraId="7D2ACE73" w14:textId="77777777" w:rsidR="008F6413" w:rsidRPr="008F6413" w:rsidRDefault="008F6413" w:rsidP="008F6413">
            <w:pPr>
              <w:pStyle w:val="NormalWeb"/>
              <w:numPr>
                <w:ilvl w:val="0"/>
                <w:numId w:val="13"/>
              </w:numPr>
              <w:spacing w:after="240"/>
              <w:contextualSpacing/>
              <w:rPr>
                <w:rFonts w:asciiTheme="minorHAnsi" w:hAnsiTheme="minorHAnsi" w:cstheme="minorHAnsi"/>
                <w:sz w:val="22"/>
                <w:szCs w:val="22"/>
              </w:rPr>
            </w:pPr>
            <w:r w:rsidRPr="008F6413">
              <w:rPr>
                <w:rFonts w:asciiTheme="minorHAnsi" w:hAnsiTheme="minorHAnsi" w:cstheme="minorHAnsi"/>
                <w:sz w:val="22"/>
                <w:szCs w:val="22"/>
              </w:rPr>
              <w:t>At least 1 practicing DXA interpreter, and preferably all, has a valid certiﬁcation in bone densitometry.</w:t>
            </w:r>
          </w:p>
          <w:p w14:paraId="6E3F07C9" w14:textId="4480082A" w:rsidR="008F6413" w:rsidRPr="008F6413" w:rsidRDefault="008F6413" w:rsidP="008F6413">
            <w:pPr>
              <w:pStyle w:val="NormalWeb"/>
              <w:numPr>
                <w:ilvl w:val="0"/>
                <w:numId w:val="13"/>
              </w:numPr>
              <w:spacing w:after="240"/>
              <w:contextualSpacing/>
              <w:rPr>
                <w:rFonts w:asciiTheme="minorHAnsi" w:hAnsiTheme="minorHAnsi" w:cstheme="minorHAnsi"/>
                <w:sz w:val="22"/>
                <w:szCs w:val="22"/>
              </w:rPr>
            </w:pPr>
            <w:r w:rsidRPr="008F6413">
              <w:rPr>
                <w:rFonts w:asciiTheme="minorHAnsi" w:hAnsiTheme="minorHAnsi" w:cstheme="minorHAnsi"/>
                <w:sz w:val="22"/>
                <w:szCs w:val="22"/>
              </w:rPr>
              <w:t>The DXA manufacturer and model are noted on the report.</w:t>
            </w:r>
          </w:p>
          <w:p w14:paraId="317F98C4" w14:textId="0159DF3B" w:rsidR="008F6413" w:rsidRPr="008F6413" w:rsidRDefault="008F6413" w:rsidP="00BD70D4">
            <w:pPr>
              <w:pStyle w:val="NormalWeb"/>
              <w:numPr>
                <w:ilvl w:val="0"/>
                <w:numId w:val="13"/>
              </w:numPr>
              <w:spacing w:after="240"/>
              <w:contextualSpacing/>
              <w:rPr>
                <w:rFonts w:asciiTheme="minorHAnsi" w:hAnsiTheme="minorHAnsi" w:cstheme="minorHAnsi"/>
                <w:sz w:val="22"/>
                <w:szCs w:val="22"/>
              </w:rPr>
            </w:pPr>
            <w:r w:rsidRPr="008F6413">
              <w:rPr>
                <w:rFonts w:asciiTheme="minorHAnsi" w:hAnsiTheme="minorHAnsi" w:cstheme="minorHAnsi"/>
                <w:sz w:val="22"/>
                <w:szCs w:val="22"/>
              </w:rPr>
              <w:t>The DXA report includes a statement regarding scan factors that may adversely affect acquisition/analysis quality and artifacts/confounders, if present.</w:t>
            </w:r>
          </w:p>
          <w:p w14:paraId="330E6088" w14:textId="1BE2D895" w:rsidR="008F6413" w:rsidRPr="008F6413" w:rsidRDefault="008F6413" w:rsidP="00993778">
            <w:pPr>
              <w:pStyle w:val="NormalWeb"/>
              <w:numPr>
                <w:ilvl w:val="0"/>
                <w:numId w:val="13"/>
              </w:numPr>
              <w:spacing w:after="240"/>
              <w:contextualSpacing/>
              <w:rPr>
                <w:rFonts w:asciiTheme="minorHAnsi" w:hAnsiTheme="minorHAnsi" w:cstheme="minorHAnsi"/>
                <w:sz w:val="22"/>
                <w:szCs w:val="22"/>
              </w:rPr>
            </w:pPr>
            <w:r w:rsidRPr="008F6413">
              <w:rPr>
                <w:rFonts w:asciiTheme="minorHAnsi" w:hAnsiTheme="minorHAnsi" w:cstheme="minorHAnsi"/>
                <w:sz w:val="22"/>
                <w:szCs w:val="22"/>
              </w:rPr>
              <w:t>The DXA report identiﬁes the skeletal site, region of interest, and body side for each technically valid BMD</w:t>
            </w:r>
            <w:r>
              <w:rPr>
                <w:rFonts w:asciiTheme="minorHAnsi" w:hAnsiTheme="minorHAnsi" w:cstheme="minorHAnsi"/>
                <w:sz w:val="22"/>
                <w:szCs w:val="22"/>
              </w:rPr>
              <w:t xml:space="preserve"> </w:t>
            </w:r>
            <w:r w:rsidRPr="008F6413">
              <w:rPr>
                <w:rFonts w:asciiTheme="minorHAnsi" w:hAnsiTheme="minorHAnsi" w:cstheme="minorHAnsi"/>
                <w:sz w:val="22"/>
                <w:szCs w:val="22"/>
              </w:rPr>
              <w:t>measurement.</w:t>
            </w:r>
          </w:p>
          <w:p w14:paraId="499A02F8" w14:textId="689B7C28" w:rsidR="008F6413" w:rsidRPr="008F6413" w:rsidRDefault="008F6413" w:rsidP="008F6413">
            <w:pPr>
              <w:pStyle w:val="NormalWeb"/>
              <w:numPr>
                <w:ilvl w:val="0"/>
                <w:numId w:val="13"/>
              </w:numPr>
              <w:spacing w:after="240"/>
              <w:contextualSpacing/>
              <w:rPr>
                <w:rFonts w:asciiTheme="minorHAnsi" w:hAnsiTheme="minorHAnsi" w:cstheme="minorHAnsi"/>
                <w:sz w:val="22"/>
                <w:szCs w:val="22"/>
              </w:rPr>
            </w:pPr>
            <w:r w:rsidRPr="008F6413">
              <w:rPr>
                <w:rFonts w:asciiTheme="minorHAnsi" w:hAnsiTheme="minorHAnsi" w:cstheme="minorHAnsi"/>
                <w:sz w:val="22"/>
                <w:szCs w:val="22"/>
              </w:rPr>
              <w:t>There is a single diagnosis reported for each patient, not a different diagnosis for each skeletal site measured.</w:t>
            </w:r>
          </w:p>
          <w:p w14:paraId="3470BB76" w14:textId="2FF6F4EE" w:rsidR="008F6413" w:rsidRPr="008F6413" w:rsidRDefault="008F6413" w:rsidP="008F6413">
            <w:pPr>
              <w:pStyle w:val="NormalWeb"/>
              <w:numPr>
                <w:ilvl w:val="0"/>
                <w:numId w:val="13"/>
              </w:numPr>
              <w:spacing w:after="240"/>
              <w:contextualSpacing/>
              <w:rPr>
                <w:rFonts w:asciiTheme="minorHAnsi" w:hAnsiTheme="minorHAnsi" w:cstheme="minorHAnsi"/>
                <w:sz w:val="22"/>
                <w:szCs w:val="22"/>
              </w:rPr>
            </w:pPr>
            <w:r w:rsidRPr="008F6413">
              <w:rPr>
                <w:rFonts w:asciiTheme="minorHAnsi" w:hAnsiTheme="minorHAnsi" w:cstheme="minorHAnsi"/>
                <w:sz w:val="22"/>
                <w:szCs w:val="22"/>
              </w:rPr>
              <w:t>A fracture risk assessment tool is used appropriately.</w:t>
            </w:r>
          </w:p>
          <w:p w14:paraId="51C62D77" w14:textId="6C7CE746" w:rsidR="00AA40A1" w:rsidRDefault="008F6413" w:rsidP="008F6413">
            <w:pPr>
              <w:pStyle w:val="NormalWeb"/>
              <w:numPr>
                <w:ilvl w:val="0"/>
                <w:numId w:val="13"/>
              </w:numPr>
              <w:spacing w:after="240"/>
              <w:contextualSpacing/>
              <w:rPr>
                <w:rFonts w:asciiTheme="minorHAnsi" w:hAnsiTheme="minorHAnsi" w:cstheme="minorHAnsi"/>
                <w:sz w:val="22"/>
                <w:szCs w:val="22"/>
              </w:rPr>
            </w:pPr>
            <w:r w:rsidRPr="008F6413">
              <w:rPr>
                <w:rFonts w:asciiTheme="minorHAnsi" w:hAnsiTheme="minorHAnsi" w:cstheme="minorHAnsi"/>
                <w:sz w:val="22"/>
                <w:szCs w:val="22"/>
              </w:rPr>
              <w:t>When reporting differences in BMD with serial measurements, only those changes that meet or exceed the LSC</w:t>
            </w:r>
            <w:r>
              <w:rPr>
                <w:rFonts w:asciiTheme="minorHAnsi" w:hAnsiTheme="minorHAnsi" w:cstheme="minorHAnsi"/>
                <w:sz w:val="22"/>
                <w:szCs w:val="22"/>
              </w:rPr>
              <w:t xml:space="preserve"> </w:t>
            </w:r>
            <w:r w:rsidRPr="008F6413">
              <w:rPr>
                <w:rFonts w:asciiTheme="minorHAnsi" w:hAnsiTheme="minorHAnsi" w:cstheme="minorHAnsi"/>
                <w:sz w:val="22"/>
                <w:szCs w:val="22"/>
              </w:rPr>
              <w:t>are reported as a change.</w:t>
            </w:r>
          </w:p>
        </w:tc>
      </w:tr>
    </w:tbl>
    <w:p w14:paraId="3BE68BF7" w14:textId="77777777" w:rsidR="00B4445C" w:rsidRDefault="00B4445C" w:rsidP="00B4445C">
      <w:pPr>
        <w:pStyle w:val="NormalWeb"/>
        <w:spacing w:before="0" w:beforeAutospacing="0" w:after="240" w:afterAutospacing="0"/>
        <w:contextualSpacing/>
        <w:rPr>
          <w:rFonts w:asciiTheme="minorHAnsi" w:hAnsiTheme="minorHAnsi" w:cstheme="minorHAnsi"/>
          <w:sz w:val="22"/>
          <w:szCs w:val="22"/>
        </w:rPr>
      </w:pPr>
    </w:p>
    <w:p w14:paraId="54D29D28" w14:textId="77777777" w:rsidR="00B4445C" w:rsidRDefault="00B4445C" w:rsidP="00B4445C">
      <w:pPr>
        <w:pStyle w:val="NormalWeb"/>
        <w:spacing w:before="0" w:beforeAutospacing="0" w:after="240" w:afterAutospacing="0"/>
        <w:contextualSpacing/>
        <w:rPr>
          <w:rFonts w:asciiTheme="minorHAnsi" w:hAnsiTheme="minorHAnsi" w:cstheme="minorHAnsi"/>
          <w:sz w:val="22"/>
          <w:szCs w:val="22"/>
        </w:rPr>
      </w:pPr>
    </w:p>
    <w:p w14:paraId="49904ECF" w14:textId="58FA9A53" w:rsidR="00380285" w:rsidRPr="00594434" w:rsidRDefault="00380285" w:rsidP="00F26A8C">
      <w:pPr>
        <w:spacing w:after="240" w:line="240" w:lineRule="auto"/>
        <w:contextualSpacing/>
        <w:rPr>
          <w:rFonts w:cstheme="minorHAnsi"/>
          <w:i/>
          <w:iCs/>
        </w:rPr>
      </w:pPr>
      <w:bookmarkStart w:id="49" w:name="_Hlk158385828"/>
      <w:r w:rsidRPr="00594434">
        <w:rPr>
          <w:rFonts w:cstheme="minorHAnsi"/>
          <w:i/>
          <w:iCs/>
        </w:rPr>
        <w:t xml:space="preserve">Potential Artifacts </w:t>
      </w:r>
    </w:p>
    <w:bookmarkEnd w:id="49"/>
    <w:p w14:paraId="71EE710B" w14:textId="18C5500B" w:rsidR="003740EB" w:rsidRPr="00594434" w:rsidRDefault="003740EB" w:rsidP="00F26A8C">
      <w:pPr>
        <w:spacing w:after="240" w:line="240" w:lineRule="auto"/>
        <w:contextualSpacing/>
        <w:rPr>
          <w:rFonts w:cstheme="minorHAnsi"/>
        </w:rPr>
      </w:pPr>
      <w:r w:rsidRPr="00594434">
        <w:rPr>
          <w:rFonts w:cstheme="minorHAnsi"/>
        </w:rPr>
        <w:t>Artifacts can influence DXA results and may lead to misdiagnosis. In the lumbar spine, these may include:</w:t>
      </w:r>
      <w:r w:rsidR="0010193B">
        <w:rPr>
          <w:rFonts w:cstheme="minorHAnsi"/>
        </w:rPr>
        <w:fldChar w:fldCharType="begin"/>
      </w:r>
      <w:r w:rsidR="0010193B">
        <w:rPr>
          <w:rFonts w:cstheme="minorHAnsi"/>
        </w:rPr>
        <w:instrText xml:space="preserve"> NOTEREF _Ref158631929 \f \h </w:instrText>
      </w:r>
      <w:r w:rsidR="0010193B">
        <w:rPr>
          <w:rFonts w:cstheme="minorHAnsi"/>
        </w:rPr>
      </w:r>
      <w:r w:rsidR="0010193B">
        <w:rPr>
          <w:rFonts w:cstheme="minorHAnsi"/>
        </w:rPr>
        <w:fldChar w:fldCharType="separate"/>
      </w:r>
      <w:r w:rsidR="0010193B" w:rsidRPr="0010193B">
        <w:rPr>
          <w:rStyle w:val="EndnoteReference"/>
        </w:rPr>
        <w:t>20</w:t>
      </w:r>
      <w:r w:rsidR="0010193B">
        <w:rPr>
          <w:rFonts w:cstheme="minorHAnsi"/>
        </w:rPr>
        <w:fldChar w:fldCharType="end"/>
      </w:r>
      <w:r w:rsidRPr="00594434">
        <w:rPr>
          <w:rFonts w:cstheme="minorHAnsi"/>
        </w:rPr>
        <w:t xml:space="preserve">  </w:t>
      </w:r>
    </w:p>
    <w:p w14:paraId="637396E0" w14:textId="77777777" w:rsidR="003740EB" w:rsidRPr="00594434" w:rsidRDefault="003740EB" w:rsidP="00F26A8C">
      <w:pPr>
        <w:pStyle w:val="ListParagraph"/>
        <w:numPr>
          <w:ilvl w:val="0"/>
          <w:numId w:val="8"/>
        </w:numPr>
        <w:spacing w:after="240" w:line="240" w:lineRule="auto"/>
        <w:rPr>
          <w:rFonts w:cstheme="minorHAnsi"/>
        </w:rPr>
      </w:pPr>
      <w:r w:rsidRPr="00594434">
        <w:rPr>
          <w:rFonts w:cstheme="minorHAnsi"/>
        </w:rPr>
        <w:t xml:space="preserve">Calcified aorta </w:t>
      </w:r>
    </w:p>
    <w:p w14:paraId="646FEE28" w14:textId="77777777" w:rsidR="003740EB" w:rsidRPr="00594434" w:rsidRDefault="003740EB" w:rsidP="00F26A8C">
      <w:pPr>
        <w:pStyle w:val="ListParagraph"/>
        <w:numPr>
          <w:ilvl w:val="0"/>
          <w:numId w:val="8"/>
        </w:numPr>
        <w:spacing w:after="240" w:line="240" w:lineRule="auto"/>
        <w:rPr>
          <w:rFonts w:cstheme="minorHAnsi"/>
        </w:rPr>
      </w:pPr>
      <w:r w:rsidRPr="00594434">
        <w:rPr>
          <w:rFonts w:cstheme="minorHAnsi"/>
        </w:rPr>
        <w:t xml:space="preserve">Degenerative disc disease </w:t>
      </w:r>
    </w:p>
    <w:p w14:paraId="35106C1E" w14:textId="77777777" w:rsidR="003740EB" w:rsidRPr="00594434" w:rsidRDefault="003740EB" w:rsidP="00F26A8C">
      <w:pPr>
        <w:pStyle w:val="ListParagraph"/>
        <w:numPr>
          <w:ilvl w:val="0"/>
          <w:numId w:val="8"/>
        </w:numPr>
        <w:spacing w:after="240" w:line="240" w:lineRule="auto"/>
        <w:rPr>
          <w:rFonts w:cstheme="minorHAnsi"/>
        </w:rPr>
      </w:pPr>
      <w:r w:rsidRPr="00594434">
        <w:rPr>
          <w:rFonts w:cstheme="minorHAnsi"/>
        </w:rPr>
        <w:t xml:space="preserve">Osteoarthritis </w:t>
      </w:r>
    </w:p>
    <w:p w14:paraId="521090D7" w14:textId="77777777" w:rsidR="003740EB" w:rsidRPr="00594434" w:rsidRDefault="003740EB" w:rsidP="00F26A8C">
      <w:pPr>
        <w:pStyle w:val="ListParagraph"/>
        <w:numPr>
          <w:ilvl w:val="0"/>
          <w:numId w:val="8"/>
        </w:numPr>
        <w:spacing w:after="240" w:line="240" w:lineRule="auto"/>
        <w:rPr>
          <w:rFonts w:cstheme="minorHAnsi"/>
        </w:rPr>
      </w:pPr>
      <w:r w:rsidRPr="00594434">
        <w:rPr>
          <w:rFonts w:cstheme="minorHAnsi"/>
        </w:rPr>
        <w:t xml:space="preserve">Sclerosis </w:t>
      </w:r>
    </w:p>
    <w:p w14:paraId="60916F0E" w14:textId="77777777" w:rsidR="003740EB" w:rsidRPr="00594434" w:rsidRDefault="003740EB" w:rsidP="00F26A8C">
      <w:pPr>
        <w:pStyle w:val="ListParagraph"/>
        <w:numPr>
          <w:ilvl w:val="0"/>
          <w:numId w:val="8"/>
        </w:numPr>
        <w:spacing w:after="240" w:line="240" w:lineRule="auto"/>
        <w:rPr>
          <w:rFonts w:cstheme="minorHAnsi"/>
        </w:rPr>
      </w:pPr>
      <w:r w:rsidRPr="00594434">
        <w:rPr>
          <w:rFonts w:cstheme="minorHAnsi"/>
        </w:rPr>
        <w:t xml:space="preserve">Osteophytes (bone spurs) </w:t>
      </w:r>
    </w:p>
    <w:p w14:paraId="465E5BF4" w14:textId="77777777" w:rsidR="003740EB" w:rsidRPr="00594434" w:rsidRDefault="003740EB" w:rsidP="00F26A8C">
      <w:pPr>
        <w:pStyle w:val="ListParagraph"/>
        <w:numPr>
          <w:ilvl w:val="0"/>
          <w:numId w:val="8"/>
        </w:numPr>
        <w:spacing w:after="240" w:line="240" w:lineRule="auto"/>
        <w:rPr>
          <w:rFonts w:cstheme="minorHAnsi"/>
        </w:rPr>
      </w:pPr>
      <w:r w:rsidRPr="00594434">
        <w:rPr>
          <w:rFonts w:cstheme="minorHAnsi"/>
        </w:rPr>
        <w:t xml:space="preserve">Surgical changes </w:t>
      </w:r>
    </w:p>
    <w:p w14:paraId="2CFA80C0" w14:textId="77777777" w:rsidR="003740EB" w:rsidRPr="00594434" w:rsidRDefault="003740EB" w:rsidP="00F26A8C">
      <w:pPr>
        <w:pStyle w:val="ListParagraph"/>
        <w:numPr>
          <w:ilvl w:val="0"/>
          <w:numId w:val="8"/>
        </w:numPr>
        <w:spacing w:after="240" w:line="240" w:lineRule="auto"/>
        <w:rPr>
          <w:rFonts w:cstheme="minorHAnsi"/>
        </w:rPr>
      </w:pPr>
      <w:r w:rsidRPr="00594434">
        <w:rPr>
          <w:rFonts w:cstheme="minorHAnsi"/>
        </w:rPr>
        <w:t xml:space="preserve">Ingested tablets </w:t>
      </w:r>
    </w:p>
    <w:p w14:paraId="212A08D0" w14:textId="5213423B" w:rsidR="003740EB" w:rsidRPr="00594434" w:rsidRDefault="003740EB" w:rsidP="00F26A8C">
      <w:pPr>
        <w:spacing w:after="240" w:line="240" w:lineRule="auto"/>
        <w:contextualSpacing/>
        <w:rPr>
          <w:rFonts w:cstheme="minorHAnsi"/>
        </w:rPr>
      </w:pPr>
      <w:r w:rsidRPr="00594434">
        <w:rPr>
          <w:rFonts w:cstheme="minorHAnsi"/>
        </w:rPr>
        <w:t xml:space="preserve">The proximal hip is less susceptible to </w:t>
      </w:r>
      <w:r w:rsidR="0002311B" w:rsidRPr="00594434">
        <w:rPr>
          <w:rFonts w:cstheme="minorHAnsi"/>
        </w:rPr>
        <w:t>artifacts</w:t>
      </w:r>
      <w:r w:rsidRPr="00594434">
        <w:rPr>
          <w:rFonts w:cstheme="minorHAnsi"/>
        </w:rPr>
        <w:t xml:space="preserve"> than the lumbar spine. Potential artifacts in this region include previous fractures or surgical replacement of the hip, as well as artifacts associated with removable objects (eg, coins, zippers).</w:t>
      </w:r>
      <w:r w:rsidR="0010193B">
        <w:rPr>
          <w:rFonts w:cstheme="minorHAnsi"/>
        </w:rPr>
        <w:fldChar w:fldCharType="begin"/>
      </w:r>
      <w:r w:rsidR="0010193B">
        <w:rPr>
          <w:rFonts w:cstheme="minorHAnsi"/>
        </w:rPr>
        <w:instrText xml:space="preserve"> NOTEREF _Ref158631929 \f \h </w:instrText>
      </w:r>
      <w:r w:rsidR="0010193B">
        <w:rPr>
          <w:rFonts w:cstheme="minorHAnsi"/>
        </w:rPr>
      </w:r>
      <w:r w:rsidR="0010193B">
        <w:rPr>
          <w:rFonts w:cstheme="minorHAnsi"/>
        </w:rPr>
        <w:fldChar w:fldCharType="separate"/>
      </w:r>
      <w:r w:rsidR="0010193B" w:rsidRPr="0010193B">
        <w:rPr>
          <w:rStyle w:val="EndnoteReference"/>
        </w:rPr>
        <w:t>20</w:t>
      </w:r>
      <w:r w:rsidR="0010193B">
        <w:rPr>
          <w:rFonts w:cstheme="minorHAnsi"/>
        </w:rPr>
        <w:fldChar w:fldCharType="end"/>
      </w:r>
      <w:r w:rsidR="0010193B">
        <w:rPr>
          <w:rFonts w:cstheme="minorHAnsi"/>
        </w:rPr>
        <w:t xml:space="preserve"> </w:t>
      </w:r>
    </w:p>
    <w:p w14:paraId="3F763F74" w14:textId="77777777" w:rsidR="001C676E" w:rsidRPr="00594434" w:rsidRDefault="001C676E" w:rsidP="00F26A8C">
      <w:pPr>
        <w:spacing w:after="240" w:line="240" w:lineRule="auto"/>
        <w:contextualSpacing/>
        <w:rPr>
          <w:rFonts w:cstheme="minorHAnsi"/>
        </w:rPr>
      </w:pPr>
    </w:p>
    <w:p w14:paraId="7234A997" w14:textId="77777777" w:rsidR="001C676E" w:rsidRPr="00594434" w:rsidRDefault="001C676E" w:rsidP="00F26A8C">
      <w:pPr>
        <w:spacing w:after="240" w:line="240" w:lineRule="auto"/>
        <w:contextualSpacing/>
        <w:rPr>
          <w:rFonts w:cstheme="minorHAnsi"/>
          <w:i/>
          <w:iCs/>
        </w:rPr>
      </w:pPr>
      <w:bookmarkStart w:id="50" w:name="_Hlk158385834"/>
      <w:r w:rsidRPr="00594434">
        <w:rPr>
          <w:rFonts w:cstheme="minorHAnsi"/>
          <w:i/>
          <w:iCs/>
        </w:rPr>
        <w:t xml:space="preserve">Patient Preparation </w:t>
      </w:r>
    </w:p>
    <w:bookmarkEnd w:id="50"/>
    <w:p w14:paraId="695AFEA3" w14:textId="50939EE3" w:rsidR="001C676E" w:rsidRPr="00594434" w:rsidRDefault="001C676E" w:rsidP="00F26A8C">
      <w:pPr>
        <w:spacing w:after="240" w:line="240" w:lineRule="auto"/>
        <w:contextualSpacing/>
        <w:rPr>
          <w:rFonts w:cstheme="minorHAnsi"/>
        </w:rPr>
      </w:pPr>
      <w:r w:rsidRPr="00027035">
        <w:rPr>
          <w:rFonts w:cstheme="minorHAnsi"/>
          <w:highlight w:val="green"/>
        </w:rPr>
        <w:t xml:space="preserve">Effective patient preparation can increase the </w:t>
      </w:r>
      <w:commentRangeStart w:id="51"/>
      <w:r w:rsidRPr="00027035">
        <w:rPr>
          <w:rFonts w:cstheme="minorHAnsi"/>
          <w:highlight w:val="green"/>
        </w:rPr>
        <w:t>likelihood</w:t>
      </w:r>
      <w:commentRangeEnd w:id="51"/>
      <w:r w:rsidR="00027035">
        <w:rPr>
          <w:rStyle w:val="CommentReference"/>
        </w:rPr>
        <w:commentReference w:id="51"/>
      </w:r>
      <w:r w:rsidRPr="00027035">
        <w:rPr>
          <w:rFonts w:cstheme="minorHAnsi"/>
          <w:highlight w:val="green"/>
        </w:rPr>
        <w:t xml:space="preserve"> of a successful DXA sca</w:t>
      </w:r>
      <w:r w:rsidRPr="00594434">
        <w:rPr>
          <w:rFonts w:cstheme="minorHAnsi"/>
        </w:rPr>
        <w:t>n. Some patient preparation steps include:</w:t>
      </w:r>
      <w:r w:rsidR="00A86362" w:rsidRPr="00A86362">
        <w:rPr>
          <w:rFonts w:cstheme="minorHAnsi"/>
          <w:vertAlign w:val="superscript"/>
        </w:rPr>
        <w:fldChar w:fldCharType="begin"/>
      </w:r>
      <w:r w:rsidR="00A86362" w:rsidRPr="00A86362">
        <w:rPr>
          <w:rFonts w:cstheme="minorHAnsi"/>
          <w:vertAlign w:val="superscript"/>
        </w:rPr>
        <w:instrText xml:space="preserve"> NOTEREF _Ref158630149 \f \h </w:instrText>
      </w:r>
      <w:r w:rsidR="00A86362">
        <w:rPr>
          <w:rFonts w:cstheme="minorHAnsi"/>
          <w:vertAlign w:val="superscript"/>
        </w:rPr>
        <w:instrText xml:space="preserve"> \* MERGEFORMAT </w:instrText>
      </w:r>
      <w:r w:rsidR="00A86362" w:rsidRPr="00A86362">
        <w:rPr>
          <w:rFonts w:cstheme="minorHAnsi"/>
          <w:vertAlign w:val="superscript"/>
        </w:rPr>
      </w:r>
      <w:r w:rsidR="00A86362" w:rsidRPr="00A86362">
        <w:rPr>
          <w:rFonts w:cstheme="minorHAnsi"/>
          <w:vertAlign w:val="superscript"/>
        </w:rPr>
        <w:fldChar w:fldCharType="separate"/>
      </w:r>
      <w:r w:rsidR="00A86362" w:rsidRPr="00A86362">
        <w:rPr>
          <w:rStyle w:val="EndnoteReference"/>
        </w:rPr>
        <w:t>9</w:t>
      </w:r>
      <w:r w:rsidR="00A86362" w:rsidRPr="00A86362">
        <w:rPr>
          <w:rFonts w:cstheme="minorHAnsi"/>
          <w:vertAlign w:val="superscript"/>
        </w:rPr>
        <w:fldChar w:fldCharType="end"/>
      </w:r>
      <w:r w:rsidR="00A86362" w:rsidRPr="00A86362">
        <w:rPr>
          <w:rFonts w:cstheme="minorHAnsi"/>
          <w:vertAlign w:val="superscript"/>
        </w:rPr>
        <w:t>,</w:t>
      </w:r>
      <w:r w:rsidR="00A86362" w:rsidRPr="00A86362">
        <w:rPr>
          <w:rFonts w:cstheme="minorHAnsi"/>
          <w:vertAlign w:val="superscript"/>
        </w:rPr>
        <w:fldChar w:fldCharType="begin"/>
      </w:r>
      <w:r w:rsidR="00A86362" w:rsidRPr="00A86362">
        <w:rPr>
          <w:rFonts w:cstheme="minorHAnsi"/>
          <w:vertAlign w:val="superscript"/>
        </w:rPr>
        <w:instrText xml:space="preserve"> NOTEREF _Ref158631929 \f \h </w:instrText>
      </w:r>
      <w:r w:rsidR="00A86362">
        <w:rPr>
          <w:rFonts w:cstheme="minorHAnsi"/>
          <w:vertAlign w:val="superscript"/>
        </w:rPr>
        <w:instrText xml:space="preserve"> \* MERGEFORMAT </w:instrText>
      </w:r>
      <w:r w:rsidR="00A86362" w:rsidRPr="00A86362">
        <w:rPr>
          <w:rFonts w:cstheme="minorHAnsi"/>
          <w:vertAlign w:val="superscript"/>
        </w:rPr>
      </w:r>
      <w:r w:rsidR="00A86362" w:rsidRPr="00A86362">
        <w:rPr>
          <w:rFonts w:cstheme="minorHAnsi"/>
          <w:vertAlign w:val="superscript"/>
        </w:rPr>
        <w:fldChar w:fldCharType="separate"/>
      </w:r>
      <w:r w:rsidR="00A86362" w:rsidRPr="00A86362">
        <w:rPr>
          <w:rStyle w:val="EndnoteReference"/>
        </w:rPr>
        <w:t>20</w:t>
      </w:r>
      <w:r w:rsidR="00A86362" w:rsidRPr="00A86362">
        <w:rPr>
          <w:rFonts w:cstheme="minorHAnsi"/>
          <w:vertAlign w:val="superscript"/>
        </w:rPr>
        <w:fldChar w:fldCharType="end"/>
      </w:r>
      <w:r w:rsidR="0010193B">
        <w:rPr>
          <w:rFonts w:cstheme="minorHAnsi"/>
        </w:rPr>
        <w:t xml:space="preserve"> </w:t>
      </w:r>
    </w:p>
    <w:p w14:paraId="62E7ABEC" w14:textId="77777777" w:rsidR="001C676E" w:rsidRPr="00594434" w:rsidRDefault="001C676E" w:rsidP="00F26A8C">
      <w:pPr>
        <w:pStyle w:val="ListParagraph"/>
        <w:numPr>
          <w:ilvl w:val="0"/>
          <w:numId w:val="7"/>
        </w:numPr>
        <w:spacing w:after="240" w:line="240" w:lineRule="auto"/>
        <w:rPr>
          <w:rFonts w:cstheme="minorHAnsi"/>
        </w:rPr>
      </w:pPr>
      <w:r w:rsidRPr="00594434">
        <w:rPr>
          <w:rFonts w:cstheme="minorHAnsi"/>
        </w:rPr>
        <w:t>Patients should be screened to ensure that they can lie on their back for up to 10 minutes</w:t>
      </w:r>
    </w:p>
    <w:p w14:paraId="6CBB6E79" w14:textId="77777777" w:rsidR="001C676E" w:rsidRPr="00594434" w:rsidRDefault="001C676E" w:rsidP="00F26A8C">
      <w:pPr>
        <w:pStyle w:val="ListParagraph"/>
        <w:numPr>
          <w:ilvl w:val="0"/>
          <w:numId w:val="7"/>
        </w:numPr>
        <w:spacing w:after="240" w:line="240" w:lineRule="auto"/>
        <w:rPr>
          <w:rFonts w:cstheme="minorHAnsi"/>
        </w:rPr>
      </w:pPr>
      <w:r w:rsidRPr="00594434">
        <w:rPr>
          <w:rFonts w:cstheme="minorHAnsi"/>
        </w:rPr>
        <w:t xml:space="preserve">Ensure that patients have not received barium or gadolinium oral contrast within 2 weeks before the procedure, or calcium tablets within 24 hours before the procedure  </w:t>
      </w:r>
    </w:p>
    <w:p w14:paraId="6D8A0DD1" w14:textId="262CAFB6" w:rsidR="001C676E" w:rsidRPr="00594434" w:rsidRDefault="001C676E" w:rsidP="00F26A8C">
      <w:pPr>
        <w:pStyle w:val="ListParagraph"/>
        <w:numPr>
          <w:ilvl w:val="0"/>
          <w:numId w:val="7"/>
        </w:numPr>
        <w:spacing w:after="240" w:line="240" w:lineRule="auto"/>
        <w:rPr>
          <w:rFonts w:cstheme="minorHAnsi"/>
        </w:rPr>
      </w:pPr>
      <w:r w:rsidRPr="00594434">
        <w:rPr>
          <w:rFonts w:cstheme="minorHAnsi"/>
        </w:rPr>
        <w:t xml:space="preserve">Asking patients to complete a questionnaire tailored to the DXA examination, including relevant questions about examination history, osteoporosis risk factors, prior surgery, and other associated conditions. </w:t>
      </w:r>
      <w:r w:rsidR="00804B65">
        <w:rPr>
          <w:rFonts w:cstheme="minorHAnsi"/>
        </w:rPr>
        <w:t xml:space="preserve">An </w:t>
      </w:r>
      <w:r w:rsidR="00BE5438">
        <w:rPr>
          <w:rFonts w:cstheme="minorHAnsi"/>
        </w:rPr>
        <w:t>e</w:t>
      </w:r>
      <w:r w:rsidR="00BE5438" w:rsidRPr="00594434">
        <w:rPr>
          <w:rFonts w:cstheme="minorHAnsi"/>
        </w:rPr>
        <w:t>xample of a patient history questionnaire</w:t>
      </w:r>
      <w:r w:rsidR="00804B65">
        <w:rPr>
          <w:rFonts w:cstheme="minorHAnsi"/>
        </w:rPr>
        <w:t xml:space="preserve"> is</w:t>
      </w:r>
      <w:r w:rsidRPr="00594434">
        <w:rPr>
          <w:rFonts w:cstheme="minorHAnsi"/>
        </w:rPr>
        <w:t xml:space="preserve"> available at the </w:t>
      </w:r>
      <w:r w:rsidR="00804B65">
        <w:rPr>
          <w:rFonts w:cstheme="minorHAnsi"/>
        </w:rPr>
        <w:t xml:space="preserve">ISCD </w:t>
      </w:r>
      <w:r w:rsidRPr="00594434">
        <w:rPr>
          <w:rFonts w:cstheme="minorHAnsi"/>
        </w:rPr>
        <w:t>website</w:t>
      </w:r>
      <w:r w:rsidR="00804B65">
        <w:rPr>
          <w:rFonts w:cstheme="minorHAnsi"/>
        </w:rPr>
        <w:t xml:space="preserve"> (</w:t>
      </w:r>
      <w:hyperlink r:id="rId15" w:history="1">
        <w:r w:rsidR="002408EA" w:rsidRPr="004775E2">
          <w:rPr>
            <w:rStyle w:val="Hyperlink"/>
            <w:rFonts w:cstheme="minorHAnsi"/>
          </w:rPr>
          <w:t>https://iscd.org/learn/resources/bmc-patient-intake-questionnaire/</w:t>
        </w:r>
      </w:hyperlink>
      <w:r w:rsidR="002408EA">
        <w:rPr>
          <w:rFonts w:cstheme="minorHAnsi"/>
        </w:rPr>
        <w:t>)</w:t>
      </w:r>
      <w:r w:rsidRPr="00594434">
        <w:rPr>
          <w:rFonts w:cstheme="minorHAnsi"/>
        </w:rPr>
        <w:t xml:space="preserve">. </w:t>
      </w:r>
    </w:p>
    <w:p w14:paraId="6441007D" w14:textId="77777777" w:rsidR="001C676E" w:rsidRPr="00594434" w:rsidRDefault="001C676E" w:rsidP="00F26A8C">
      <w:pPr>
        <w:pStyle w:val="ListParagraph"/>
        <w:numPr>
          <w:ilvl w:val="0"/>
          <w:numId w:val="7"/>
        </w:numPr>
        <w:spacing w:after="240" w:line="240" w:lineRule="auto"/>
        <w:rPr>
          <w:rFonts w:cstheme="minorHAnsi"/>
        </w:rPr>
      </w:pPr>
      <w:r w:rsidRPr="00594434">
        <w:rPr>
          <w:rFonts w:cstheme="minorHAnsi"/>
        </w:rPr>
        <w:t xml:space="preserve">Patients should also be screened for medications associated with bone loss or increased fracture risk  </w:t>
      </w:r>
    </w:p>
    <w:p w14:paraId="2CBC951A" w14:textId="77777777" w:rsidR="001C676E" w:rsidRPr="00594434" w:rsidRDefault="001C676E" w:rsidP="00F26A8C">
      <w:pPr>
        <w:pStyle w:val="ListParagraph"/>
        <w:numPr>
          <w:ilvl w:val="0"/>
          <w:numId w:val="7"/>
        </w:numPr>
        <w:spacing w:after="240" w:line="240" w:lineRule="auto"/>
        <w:rPr>
          <w:rFonts w:cstheme="minorHAnsi"/>
        </w:rPr>
      </w:pPr>
      <w:r w:rsidRPr="00594434">
        <w:rPr>
          <w:rFonts w:cstheme="minorHAnsi"/>
        </w:rPr>
        <w:t xml:space="preserve">Gowning all patients, rather than allowing patients to wear street clothes, reduces the likelihood of interference from clothing materials. Patients should also be asked to remove any removable metallic objects, including bars and jewelry. </w:t>
      </w:r>
    </w:p>
    <w:p w14:paraId="59B0CA2E" w14:textId="77777777" w:rsidR="001C676E" w:rsidRPr="00594434" w:rsidRDefault="001C676E" w:rsidP="00F26A8C">
      <w:pPr>
        <w:pStyle w:val="ListParagraph"/>
        <w:numPr>
          <w:ilvl w:val="0"/>
          <w:numId w:val="7"/>
        </w:numPr>
        <w:spacing w:after="240" w:line="240" w:lineRule="auto"/>
        <w:rPr>
          <w:rFonts w:cstheme="minorHAnsi"/>
        </w:rPr>
      </w:pPr>
      <w:r w:rsidRPr="00594434">
        <w:rPr>
          <w:rFonts w:cstheme="minorHAnsi"/>
        </w:rPr>
        <w:t>Obtaining the patient’s height and weight, which are used by the DXA scanner to determine the correct scan values and, in some cases, the suggested scan mode</w:t>
      </w:r>
    </w:p>
    <w:p w14:paraId="6E492857" w14:textId="77777777" w:rsidR="001C676E" w:rsidRPr="00594434" w:rsidRDefault="001C676E" w:rsidP="00F26A8C">
      <w:pPr>
        <w:pStyle w:val="ListParagraph"/>
        <w:numPr>
          <w:ilvl w:val="0"/>
          <w:numId w:val="7"/>
        </w:numPr>
        <w:spacing w:after="240" w:line="240" w:lineRule="auto"/>
        <w:rPr>
          <w:rFonts w:cstheme="minorHAnsi"/>
        </w:rPr>
      </w:pPr>
      <w:r w:rsidRPr="00594434">
        <w:rPr>
          <w:rFonts w:cstheme="minorHAnsi"/>
        </w:rPr>
        <w:t xml:space="preserve">If patients underwent DXA previously ensure that they have brought a copy of their results for comparison  </w:t>
      </w:r>
    </w:p>
    <w:p w14:paraId="404552F3" w14:textId="77777777" w:rsidR="00B12855" w:rsidRPr="00594434" w:rsidRDefault="00B12855" w:rsidP="00F26A8C">
      <w:pPr>
        <w:spacing w:after="240" w:line="240" w:lineRule="auto"/>
        <w:contextualSpacing/>
        <w:rPr>
          <w:rFonts w:cstheme="minorHAnsi"/>
        </w:rPr>
      </w:pPr>
    </w:p>
    <w:p w14:paraId="4D3BB8B4" w14:textId="6A4FA259" w:rsidR="0056754B" w:rsidRPr="00594434" w:rsidRDefault="0056754B" w:rsidP="00F26A8C">
      <w:pPr>
        <w:spacing w:after="240" w:line="240" w:lineRule="auto"/>
        <w:contextualSpacing/>
        <w:rPr>
          <w:rFonts w:cstheme="minorHAnsi"/>
          <w:i/>
          <w:iCs/>
        </w:rPr>
      </w:pPr>
      <w:bookmarkStart w:id="52" w:name="_Hlk158385841"/>
      <w:r w:rsidRPr="00594434">
        <w:rPr>
          <w:rFonts w:cstheme="minorHAnsi"/>
          <w:i/>
          <w:iCs/>
        </w:rPr>
        <w:t>Contraindications for DXA</w:t>
      </w:r>
    </w:p>
    <w:bookmarkEnd w:id="52"/>
    <w:p w14:paraId="0729A371" w14:textId="0B720E5D" w:rsidR="0056754B" w:rsidRPr="00594434" w:rsidRDefault="0056754B" w:rsidP="00F26A8C">
      <w:pPr>
        <w:spacing w:after="240" w:line="240" w:lineRule="auto"/>
        <w:contextualSpacing/>
        <w:rPr>
          <w:rFonts w:cstheme="minorHAnsi"/>
        </w:rPr>
      </w:pPr>
      <w:r w:rsidRPr="00594434">
        <w:rPr>
          <w:rFonts w:cstheme="minorHAnsi"/>
        </w:rPr>
        <w:t>DXA is</w:t>
      </w:r>
      <w:r w:rsidR="00D43CFF" w:rsidRPr="00594434">
        <w:rPr>
          <w:rFonts w:cstheme="minorHAnsi"/>
        </w:rPr>
        <w:t xml:space="preserve"> associated with a low radiation dose, and </w:t>
      </w:r>
      <w:r w:rsidRPr="00594434">
        <w:rPr>
          <w:rFonts w:cstheme="minorHAnsi"/>
        </w:rPr>
        <w:t xml:space="preserve">there are </w:t>
      </w:r>
      <w:r w:rsidR="00AC35B5" w:rsidRPr="00594434">
        <w:rPr>
          <w:rFonts w:cstheme="minorHAnsi"/>
        </w:rPr>
        <w:t>no absolute</w:t>
      </w:r>
      <w:r w:rsidRPr="00594434">
        <w:rPr>
          <w:rFonts w:cstheme="minorHAnsi"/>
        </w:rPr>
        <w:t xml:space="preserve"> contraindications to the procedure.</w:t>
      </w:r>
      <w:r w:rsidR="00C05435" w:rsidRPr="00C05435">
        <w:rPr>
          <w:rFonts w:cstheme="minorHAnsi"/>
          <w:vertAlign w:val="superscript"/>
        </w:rPr>
        <w:fldChar w:fldCharType="begin"/>
      </w:r>
      <w:r w:rsidR="00C05435" w:rsidRPr="00C05435">
        <w:rPr>
          <w:rFonts w:cstheme="minorHAnsi"/>
          <w:vertAlign w:val="superscript"/>
        </w:rPr>
        <w:instrText xml:space="preserve"> NOTEREF _Ref158630149 \f \h </w:instrText>
      </w:r>
      <w:r w:rsidR="00C05435">
        <w:rPr>
          <w:rFonts w:cstheme="minorHAnsi"/>
          <w:vertAlign w:val="superscript"/>
        </w:rPr>
        <w:instrText xml:space="preserve"> \* MERGEFORMAT </w:instrText>
      </w:r>
      <w:r w:rsidR="00C05435" w:rsidRPr="00C05435">
        <w:rPr>
          <w:rFonts w:cstheme="minorHAnsi"/>
          <w:vertAlign w:val="superscript"/>
        </w:rPr>
      </w:r>
      <w:r w:rsidR="00C05435" w:rsidRPr="00C05435">
        <w:rPr>
          <w:rFonts w:cstheme="minorHAnsi"/>
          <w:vertAlign w:val="superscript"/>
        </w:rPr>
        <w:fldChar w:fldCharType="separate"/>
      </w:r>
      <w:r w:rsidR="00C05435" w:rsidRPr="00C05435">
        <w:rPr>
          <w:rStyle w:val="EndnoteReference"/>
        </w:rPr>
        <w:t>9</w:t>
      </w:r>
      <w:r w:rsidR="00C05435" w:rsidRPr="00C05435">
        <w:rPr>
          <w:rFonts w:cstheme="minorHAnsi"/>
          <w:vertAlign w:val="superscript"/>
        </w:rPr>
        <w:fldChar w:fldCharType="end"/>
      </w:r>
      <w:r w:rsidR="00C05435" w:rsidRPr="00C05435">
        <w:rPr>
          <w:rFonts w:cstheme="minorHAnsi"/>
          <w:vertAlign w:val="superscript"/>
        </w:rPr>
        <w:t xml:space="preserve">, </w:t>
      </w:r>
      <w:r w:rsidR="00C05435" w:rsidRPr="00C05435">
        <w:rPr>
          <w:rFonts w:cstheme="minorHAnsi"/>
          <w:vertAlign w:val="superscript"/>
        </w:rPr>
        <w:fldChar w:fldCharType="begin"/>
      </w:r>
      <w:r w:rsidR="00C05435" w:rsidRPr="00C05435">
        <w:rPr>
          <w:rFonts w:cstheme="minorHAnsi"/>
          <w:vertAlign w:val="superscript"/>
        </w:rPr>
        <w:instrText xml:space="preserve"> NOTEREF _Ref158631929 \f \h </w:instrText>
      </w:r>
      <w:r w:rsidR="00C05435">
        <w:rPr>
          <w:rFonts w:cstheme="minorHAnsi"/>
          <w:vertAlign w:val="superscript"/>
        </w:rPr>
        <w:instrText xml:space="preserve"> \* MERGEFORMAT </w:instrText>
      </w:r>
      <w:r w:rsidR="00C05435" w:rsidRPr="00C05435">
        <w:rPr>
          <w:rFonts w:cstheme="minorHAnsi"/>
          <w:vertAlign w:val="superscript"/>
        </w:rPr>
      </w:r>
      <w:r w:rsidR="00C05435" w:rsidRPr="00C05435">
        <w:rPr>
          <w:rFonts w:cstheme="minorHAnsi"/>
          <w:vertAlign w:val="superscript"/>
        </w:rPr>
        <w:fldChar w:fldCharType="separate"/>
      </w:r>
      <w:r w:rsidR="00C05435" w:rsidRPr="00C05435">
        <w:rPr>
          <w:rStyle w:val="EndnoteReference"/>
        </w:rPr>
        <w:t>20</w:t>
      </w:r>
      <w:r w:rsidR="00C05435" w:rsidRPr="00C05435">
        <w:rPr>
          <w:rFonts w:cstheme="minorHAnsi"/>
          <w:vertAlign w:val="superscript"/>
        </w:rPr>
        <w:fldChar w:fldCharType="end"/>
      </w:r>
      <w:r w:rsidR="00C05435">
        <w:rPr>
          <w:rFonts w:cstheme="minorHAnsi"/>
        </w:rPr>
        <w:t xml:space="preserve"> </w:t>
      </w:r>
      <w:r w:rsidRPr="00594434">
        <w:rPr>
          <w:rFonts w:cstheme="minorHAnsi"/>
        </w:rPr>
        <w:t xml:space="preserve">DXA should be delayed for patients who recently received intravenous contrast media, radionuclides, or a barium enema. The scan may be cancelled for people who have extensive degenerative changes; who have surgical implants or other nonremovable objects in scanning locations that could affect the scan; or who cannot be positioned properly or cannot remain still through the </w:t>
      </w:r>
      <w:r w:rsidRPr="00594434">
        <w:rPr>
          <w:rFonts w:cstheme="minorHAnsi"/>
        </w:rPr>
        <w:lastRenderedPageBreak/>
        <w:t>exam.</w:t>
      </w:r>
      <w:r w:rsidR="00A84C1A">
        <w:rPr>
          <w:rFonts w:cstheme="minorHAnsi"/>
        </w:rPr>
        <w:fldChar w:fldCharType="begin"/>
      </w:r>
      <w:r w:rsidR="00A84C1A">
        <w:rPr>
          <w:rFonts w:cstheme="minorHAnsi"/>
        </w:rPr>
        <w:instrText xml:space="preserve"> NOTEREF _Ref158631929 \f \h </w:instrText>
      </w:r>
      <w:r w:rsidR="00A84C1A">
        <w:rPr>
          <w:rFonts w:cstheme="minorHAnsi"/>
        </w:rPr>
      </w:r>
      <w:r w:rsidR="00A84C1A">
        <w:rPr>
          <w:rFonts w:cstheme="minorHAnsi"/>
        </w:rPr>
        <w:fldChar w:fldCharType="separate"/>
      </w:r>
      <w:r w:rsidR="00A84C1A" w:rsidRPr="00A84C1A">
        <w:rPr>
          <w:rStyle w:val="EndnoteReference"/>
        </w:rPr>
        <w:t>20</w:t>
      </w:r>
      <w:r w:rsidR="00A84C1A">
        <w:rPr>
          <w:rFonts w:cstheme="minorHAnsi"/>
        </w:rPr>
        <w:fldChar w:fldCharType="end"/>
      </w:r>
      <w:r w:rsidRPr="00594434">
        <w:rPr>
          <w:rFonts w:cstheme="minorHAnsi"/>
        </w:rPr>
        <w:t xml:space="preserve"> </w:t>
      </w:r>
      <w:r w:rsidR="00E86C63" w:rsidRPr="00594434">
        <w:rPr>
          <w:rFonts w:cstheme="minorHAnsi"/>
        </w:rPr>
        <w:t>Pregnancy is a relative contraindication, and the</w:t>
      </w:r>
      <w:r w:rsidR="00CF0C20" w:rsidRPr="00594434">
        <w:rPr>
          <w:rFonts w:cstheme="minorHAnsi"/>
        </w:rPr>
        <w:t xml:space="preserve"> referring physician should discuss the</w:t>
      </w:r>
      <w:r w:rsidR="00E86C63" w:rsidRPr="00594434">
        <w:rPr>
          <w:rFonts w:cstheme="minorHAnsi"/>
        </w:rPr>
        <w:t xml:space="preserve"> risks and benefits of </w:t>
      </w:r>
      <w:r w:rsidR="00CF0C20" w:rsidRPr="00594434">
        <w:rPr>
          <w:rFonts w:cstheme="minorHAnsi"/>
        </w:rPr>
        <w:t>DXA with the patient.</w:t>
      </w:r>
      <w:r w:rsidR="00A84C1A">
        <w:rPr>
          <w:rFonts w:cstheme="minorHAnsi"/>
        </w:rPr>
        <w:fldChar w:fldCharType="begin"/>
      </w:r>
      <w:r w:rsidR="00A84C1A">
        <w:rPr>
          <w:rFonts w:cstheme="minorHAnsi"/>
        </w:rPr>
        <w:instrText xml:space="preserve"> NOTEREF _Ref158630149 \f \h </w:instrText>
      </w:r>
      <w:r w:rsidR="00A84C1A">
        <w:rPr>
          <w:rFonts w:cstheme="minorHAnsi"/>
        </w:rPr>
      </w:r>
      <w:r w:rsidR="00A84C1A">
        <w:rPr>
          <w:rFonts w:cstheme="minorHAnsi"/>
        </w:rPr>
        <w:fldChar w:fldCharType="separate"/>
      </w:r>
      <w:r w:rsidR="00A84C1A" w:rsidRPr="00A84C1A">
        <w:rPr>
          <w:rStyle w:val="EndnoteReference"/>
        </w:rPr>
        <w:t>9</w:t>
      </w:r>
      <w:r w:rsidR="00A84C1A">
        <w:rPr>
          <w:rFonts w:cstheme="minorHAnsi"/>
        </w:rPr>
        <w:fldChar w:fldCharType="end"/>
      </w:r>
    </w:p>
    <w:p w14:paraId="3424BD5D" w14:textId="77777777" w:rsidR="00D41D05" w:rsidRPr="00594434" w:rsidRDefault="00D41D05" w:rsidP="00F26A8C">
      <w:pPr>
        <w:spacing w:after="240" w:line="240" w:lineRule="auto"/>
        <w:contextualSpacing/>
        <w:rPr>
          <w:rFonts w:cstheme="minorHAnsi"/>
        </w:rPr>
      </w:pPr>
    </w:p>
    <w:p w14:paraId="7D686036" w14:textId="2B9B847B" w:rsidR="00D41D05" w:rsidRPr="00594434" w:rsidRDefault="00D41D05" w:rsidP="00F26A8C">
      <w:pPr>
        <w:spacing w:after="240" w:line="240" w:lineRule="auto"/>
        <w:contextualSpacing/>
        <w:rPr>
          <w:rFonts w:cstheme="minorHAnsi"/>
          <w:b/>
          <w:bCs/>
        </w:rPr>
      </w:pPr>
      <w:bookmarkStart w:id="53" w:name="_Hlk158385846"/>
      <w:r w:rsidRPr="00594434">
        <w:rPr>
          <w:rFonts w:cstheme="minorHAnsi"/>
          <w:b/>
          <w:bCs/>
        </w:rPr>
        <w:t xml:space="preserve">Summary and Conclusions </w:t>
      </w:r>
    </w:p>
    <w:bookmarkEnd w:id="53"/>
    <w:p w14:paraId="1E1E3BE6" w14:textId="03BDF01D" w:rsidR="00A6135B" w:rsidRDefault="007107FA" w:rsidP="00F26A8C">
      <w:pPr>
        <w:spacing w:after="240" w:line="240" w:lineRule="auto"/>
        <w:contextualSpacing/>
        <w:rPr>
          <w:rFonts w:cstheme="minorHAnsi"/>
        </w:rPr>
      </w:pPr>
      <w:r w:rsidRPr="00594434">
        <w:rPr>
          <w:rFonts w:cstheme="minorHAnsi"/>
        </w:rPr>
        <w:t>Osteoporosis is a chronic disorder that is characterized by reduced bone mineral content, loss of bone density, and increased risk of fracture.</w:t>
      </w:r>
      <w:r w:rsidR="00A84C1A">
        <w:rPr>
          <w:rFonts w:cstheme="minorHAnsi"/>
        </w:rPr>
        <w:t xml:space="preserve"> </w:t>
      </w:r>
      <w:r w:rsidR="008B5896" w:rsidRPr="00594434">
        <w:rPr>
          <w:rFonts w:cstheme="minorHAnsi"/>
        </w:rPr>
        <w:t>BMD is an important factor influencing bone strength and fracture risk, and it may be described clinically in terms of an areal BMD measurement (g/cm</w:t>
      </w:r>
      <w:r w:rsidR="008B5896" w:rsidRPr="00594434">
        <w:rPr>
          <w:rFonts w:cstheme="minorHAnsi"/>
          <w:vertAlign w:val="superscript"/>
        </w:rPr>
        <w:t>2</w:t>
      </w:r>
      <w:r w:rsidR="008B5896" w:rsidRPr="00594434">
        <w:rPr>
          <w:rFonts w:cstheme="minorHAnsi"/>
        </w:rPr>
        <w:t xml:space="preserve">) or in terms of appropriate reference populations (T score or Z score). Many clinical practice guidelines recommend DXA assessment at sites such as the spine, hip, and distal radius in screening, diagnosis, and monitoring of osteoporosis, with additional tools (eg, FRAX® score, VFA) being useful in certain situations. </w:t>
      </w:r>
      <w:r w:rsidR="00805BB0" w:rsidRPr="00594434">
        <w:rPr>
          <w:rFonts w:cstheme="minorHAnsi"/>
        </w:rPr>
        <w:t>In addition to i</w:t>
      </w:r>
      <w:r w:rsidR="008B5896" w:rsidRPr="00594434">
        <w:rPr>
          <w:rFonts w:cstheme="minorHAnsi"/>
        </w:rPr>
        <w:t>m</w:t>
      </w:r>
      <w:r w:rsidR="00805BB0" w:rsidRPr="00594434">
        <w:rPr>
          <w:rFonts w:cstheme="minorHAnsi"/>
        </w:rPr>
        <w:t>age acquisition,</w:t>
      </w:r>
      <w:r w:rsidR="00310E7D" w:rsidRPr="00594434">
        <w:rPr>
          <w:rFonts w:cstheme="minorHAnsi"/>
        </w:rPr>
        <w:t xml:space="preserve"> </w:t>
      </w:r>
      <w:r w:rsidR="00805BB0" w:rsidRPr="00594434">
        <w:rPr>
          <w:rFonts w:cstheme="minorHAnsi"/>
        </w:rPr>
        <w:t>r</w:t>
      </w:r>
      <w:r w:rsidR="0019611A" w:rsidRPr="00594434">
        <w:rPr>
          <w:rFonts w:cstheme="minorHAnsi"/>
        </w:rPr>
        <w:t xml:space="preserve">adiographers </w:t>
      </w:r>
      <w:r w:rsidR="00805BB0" w:rsidRPr="00594434">
        <w:rPr>
          <w:rFonts w:cstheme="minorHAnsi"/>
        </w:rPr>
        <w:t>often</w:t>
      </w:r>
      <w:r w:rsidR="0019611A" w:rsidRPr="00594434">
        <w:rPr>
          <w:rFonts w:cstheme="minorHAnsi"/>
        </w:rPr>
        <w:t xml:space="preserve"> carry out several different tasks in their interactions with patients with osteoporosis, including clinical history taking, fracture risk assessment, </w:t>
      </w:r>
      <w:r w:rsidR="00805BB0" w:rsidRPr="00594434">
        <w:rPr>
          <w:rFonts w:cstheme="minorHAnsi"/>
        </w:rPr>
        <w:t>patient and professional education, and clinical</w:t>
      </w:r>
      <w:r w:rsidR="0019611A" w:rsidRPr="00594434">
        <w:rPr>
          <w:rFonts w:cstheme="minorHAnsi"/>
        </w:rPr>
        <w:t xml:space="preserve"> research.</w:t>
      </w:r>
      <w:r w:rsidR="00A17365" w:rsidRPr="00594434">
        <w:rPr>
          <w:rFonts w:cstheme="minorHAnsi"/>
        </w:rPr>
        <w:t xml:space="preserve"> </w:t>
      </w:r>
      <w:r w:rsidR="008B5896" w:rsidRPr="00594434">
        <w:rPr>
          <w:rFonts w:cstheme="minorHAnsi"/>
        </w:rPr>
        <w:t xml:space="preserve">Effective patient preparation and appropriate imaging technique can ensure that high-quality DXA images are obtained consistently over time. </w:t>
      </w:r>
      <w:r w:rsidR="00D41FB9" w:rsidRPr="00594434">
        <w:rPr>
          <w:rFonts w:cstheme="minorHAnsi"/>
        </w:rPr>
        <w:t xml:space="preserve"> </w:t>
      </w:r>
    </w:p>
    <w:p w14:paraId="42005051" w14:textId="77777777" w:rsidR="00F82FDB" w:rsidRDefault="00F82FDB" w:rsidP="00F26A8C">
      <w:pPr>
        <w:spacing w:after="240" w:line="240" w:lineRule="auto"/>
        <w:contextualSpacing/>
        <w:rPr>
          <w:rFonts w:cstheme="minorHAnsi"/>
        </w:rPr>
      </w:pPr>
    </w:p>
    <w:p w14:paraId="582EFC9A" w14:textId="77777777" w:rsidR="00F82FDB" w:rsidRDefault="00F82FDB" w:rsidP="00F26A8C">
      <w:pPr>
        <w:spacing w:after="240" w:line="240" w:lineRule="auto"/>
        <w:contextualSpacing/>
        <w:rPr>
          <w:rFonts w:cstheme="minorHAnsi"/>
        </w:rPr>
      </w:pPr>
    </w:p>
    <w:p w14:paraId="3E195CE6" w14:textId="77777777" w:rsidR="00F82FDB" w:rsidRPr="00594434" w:rsidRDefault="00F82FDB" w:rsidP="00F26A8C">
      <w:pPr>
        <w:spacing w:after="240" w:line="240" w:lineRule="auto"/>
        <w:contextualSpacing/>
        <w:rPr>
          <w:rFonts w:cstheme="minorHAnsi"/>
        </w:rPr>
      </w:pPr>
    </w:p>
    <w:sectPr w:rsidR="00F82FDB" w:rsidRPr="00594434">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Mark Bowes" w:date="2024-02-09T16:16:00Z" w:initials="MB">
    <w:p w14:paraId="5D07B967" w14:textId="5CEA077D" w:rsidR="0023138D" w:rsidRDefault="0023138D">
      <w:pPr>
        <w:pStyle w:val="CommentText"/>
      </w:pPr>
      <w:r>
        <w:rPr>
          <w:rStyle w:val="CommentReference"/>
        </w:rPr>
        <w:annotationRef/>
      </w:r>
      <w:r>
        <w:t xml:space="preserve">Q1 </w:t>
      </w:r>
    </w:p>
  </w:comment>
  <w:comment w:id="6" w:author="Mark Bowes" w:date="2024-02-09T15:10:00Z" w:initials="MB">
    <w:p w14:paraId="75633411" w14:textId="02FE053E" w:rsidR="00594434" w:rsidRDefault="00594434">
      <w:pPr>
        <w:pStyle w:val="CommentText"/>
      </w:pPr>
      <w:r>
        <w:rPr>
          <w:rStyle w:val="CommentReference"/>
        </w:rPr>
        <w:annotationRef/>
      </w:r>
      <w:r>
        <w:t xml:space="preserve">KTA </w:t>
      </w:r>
    </w:p>
  </w:comment>
  <w:comment w:id="8" w:author="Mark Bowes" w:date="2024-02-09T16:18:00Z" w:initials="MB">
    <w:p w14:paraId="1F89FC54" w14:textId="30311810" w:rsidR="0023138D" w:rsidRDefault="0023138D">
      <w:pPr>
        <w:pStyle w:val="CommentText"/>
      </w:pPr>
      <w:r>
        <w:rPr>
          <w:rStyle w:val="CommentReference"/>
        </w:rPr>
        <w:annotationRef/>
      </w:r>
      <w:r>
        <w:t xml:space="preserve">Q2 </w:t>
      </w:r>
    </w:p>
  </w:comment>
  <w:comment w:id="12" w:author="Mark Bowes" w:date="2024-02-09T16:21:00Z" w:initials="MB">
    <w:p w14:paraId="745E66C7" w14:textId="286203FE" w:rsidR="0023138D" w:rsidRDefault="0023138D">
      <w:pPr>
        <w:pStyle w:val="CommentText"/>
      </w:pPr>
      <w:r>
        <w:rPr>
          <w:rStyle w:val="CommentReference"/>
        </w:rPr>
        <w:annotationRef/>
      </w:r>
      <w:r>
        <w:t xml:space="preserve">Q3 </w:t>
      </w:r>
    </w:p>
  </w:comment>
  <w:comment w:id="13" w:author="Mark Bowes" w:date="2024-02-09T15:10:00Z" w:initials="MB">
    <w:p w14:paraId="661BD1EB" w14:textId="7F36F79A" w:rsidR="00594434" w:rsidRDefault="00594434">
      <w:pPr>
        <w:pStyle w:val="CommentText"/>
      </w:pPr>
      <w:r>
        <w:rPr>
          <w:rStyle w:val="CommentReference"/>
        </w:rPr>
        <w:annotationRef/>
      </w:r>
      <w:r>
        <w:t xml:space="preserve">KTA </w:t>
      </w:r>
    </w:p>
  </w:comment>
  <w:comment w:id="15" w:author="Mark Bowes" w:date="2024-02-09T15:11:00Z" w:initials="MB">
    <w:p w14:paraId="7AC5CB8C" w14:textId="33313F3F" w:rsidR="00594434" w:rsidRDefault="00594434">
      <w:pPr>
        <w:pStyle w:val="CommentText"/>
      </w:pPr>
      <w:r>
        <w:rPr>
          <w:rStyle w:val="CommentReference"/>
        </w:rPr>
        <w:annotationRef/>
      </w:r>
      <w:r>
        <w:t xml:space="preserve">KTA </w:t>
      </w:r>
    </w:p>
  </w:comment>
  <w:comment w:id="17" w:author="Mark Bowes" w:date="2024-02-09T16:36:00Z" w:initials="MB">
    <w:p w14:paraId="04AEE645" w14:textId="3C8A7DCF" w:rsidR="008A12A2" w:rsidRDefault="008A12A2">
      <w:pPr>
        <w:pStyle w:val="CommentText"/>
      </w:pPr>
      <w:r>
        <w:rPr>
          <w:rStyle w:val="CommentReference"/>
        </w:rPr>
        <w:annotationRef/>
      </w:r>
      <w:r>
        <w:t>Q5</w:t>
      </w:r>
    </w:p>
  </w:comment>
  <w:comment w:id="18" w:author="Mark Bowes" w:date="2024-02-09T15:11:00Z" w:initials="MB">
    <w:p w14:paraId="035435D2" w14:textId="5BE018AD" w:rsidR="00594434" w:rsidRDefault="00594434">
      <w:pPr>
        <w:pStyle w:val="CommentText"/>
      </w:pPr>
      <w:r>
        <w:rPr>
          <w:rStyle w:val="CommentReference"/>
        </w:rPr>
        <w:annotationRef/>
      </w:r>
      <w:r>
        <w:t xml:space="preserve">KTA </w:t>
      </w:r>
    </w:p>
  </w:comment>
  <w:comment w:id="21" w:author="Mark Bowes" w:date="2024-02-12T12:03:00Z" w:initials="MB">
    <w:p w14:paraId="7EFCA381" w14:textId="7AAFA57E" w:rsidR="00E0232F" w:rsidRDefault="00E0232F">
      <w:pPr>
        <w:pStyle w:val="CommentText"/>
      </w:pPr>
      <w:r>
        <w:rPr>
          <w:rStyle w:val="CommentReference"/>
        </w:rPr>
        <w:annotationRef/>
      </w:r>
      <w:r>
        <w:t xml:space="preserve">Correct citation? </w:t>
      </w:r>
    </w:p>
  </w:comment>
  <w:comment w:id="26" w:author="Mark Bowes" w:date="2024-02-09T16:39:00Z" w:initials="MB">
    <w:p w14:paraId="38A39AEA" w14:textId="16BFD7DA" w:rsidR="00F31F2C" w:rsidRDefault="00F31F2C">
      <w:pPr>
        <w:pStyle w:val="CommentText"/>
      </w:pPr>
      <w:r>
        <w:rPr>
          <w:rStyle w:val="CommentReference"/>
        </w:rPr>
        <w:annotationRef/>
      </w:r>
      <w:r>
        <w:t xml:space="preserve">Q6 </w:t>
      </w:r>
    </w:p>
  </w:comment>
  <w:comment w:id="28" w:author="Mark Bowes" w:date="2024-02-09T15:12:00Z" w:initials="MB">
    <w:p w14:paraId="3F1F9E15" w14:textId="398CFFBE" w:rsidR="00594434" w:rsidRDefault="00594434">
      <w:pPr>
        <w:pStyle w:val="CommentText"/>
      </w:pPr>
      <w:r>
        <w:rPr>
          <w:rStyle w:val="CommentReference"/>
        </w:rPr>
        <w:annotationRef/>
      </w:r>
      <w:r>
        <w:t xml:space="preserve">KTA </w:t>
      </w:r>
    </w:p>
  </w:comment>
  <w:comment w:id="30" w:author="Mark Bowes" w:date="2024-02-12T12:20:00Z" w:initials="MB">
    <w:p w14:paraId="39886DF6" w14:textId="7B6C30D2" w:rsidR="000375C0" w:rsidRDefault="000375C0">
      <w:pPr>
        <w:pStyle w:val="CommentText"/>
      </w:pPr>
      <w:r>
        <w:rPr>
          <w:rStyle w:val="CommentReference"/>
        </w:rPr>
        <w:annotationRef/>
      </w:r>
      <w:r>
        <w:t xml:space="preserve">Original table </w:t>
      </w:r>
    </w:p>
  </w:comment>
  <w:comment w:id="32" w:author="Mark Bowes" w:date="2024-02-09T16:56:00Z" w:initials="MB">
    <w:p w14:paraId="4FDEF2F1" w14:textId="74E04B7E" w:rsidR="00D4086F" w:rsidRDefault="00D4086F">
      <w:pPr>
        <w:pStyle w:val="CommentText"/>
      </w:pPr>
      <w:r>
        <w:rPr>
          <w:rStyle w:val="CommentReference"/>
        </w:rPr>
        <w:annotationRef/>
      </w:r>
      <w:r>
        <w:t xml:space="preserve">Q7 </w:t>
      </w:r>
    </w:p>
  </w:comment>
  <w:comment w:id="33" w:author="Mark Bowes" w:date="2024-02-09T15:12:00Z" w:initials="MB">
    <w:p w14:paraId="46F45C25" w14:textId="46E6F2FE" w:rsidR="00594434" w:rsidRDefault="00594434">
      <w:pPr>
        <w:pStyle w:val="CommentText"/>
      </w:pPr>
      <w:r>
        <w:rPr>
          <w:rStyle w:val="CommentReference"/>
        </w:rPr>
        <w:annotationRef/>
      </w:r>
      <w:r>
        <w:t xml:space="preserve">KTA </w:t>
      </w:r>
    </w:p>
  </w:comment>
  <w:comment w:id="35" w:author="Mark Bowes" w:date="2024-02-09T16:58:00Z" w:initials="MB">
    <w:p w14:paraId="1BAA2A60" w14:textId="18FB2EBA" w:rsidR="00D4086F" w:rsidRDefault="00D4086F">
      <w:pPr>
        <w:pStyle w:val="CommentText"/>
      </w:pPr>
      <w:r>
        <w:rPr>
          <w:rStyle w:val="CommentReference"/>
        </w:rPr>
        <w:annotationRef/>
      </w:r>
      <w:r>
        <w:t xml:space="preserve">Q8 </w:t>
      </w:r>
    </w:p>
  </w:comment>
  <w:comment w:id="39" w:author="Mark Bowes" w:date="2024-02-09T17:18:00Z" w:initials="MB">
    <w:p w14:paraId="569FF96E" w14:textId="1066DCE3" w:rsidR="00EA2DE3" w:rsidRDefault="00EA2DE3">
      <w:pPr>
        <w:pStyle w:val="CommentText"/>
      </w:pPr>
      <w:r>
        <w:rPr>
          <w:rStyle w:val="CommentReference"/>
        </w:rPr>
        <w:annotationRef/>
      </w:r>
      <w:r>
        <w:t xml:space="preserve">Q9 </w:t>
      </w:r>
    </w:p>
  </w:comment>
  <w:comment w:id="41" w:author="Mark Bowes" w:date="2024-02-12T10:47:00Z" w:initials="MB">
    <w:p w14:paraId="2DC87271" w14:textId="79A4DF0B" w:rsidR="00946F28" w:rsidRDefault="00946F28">
      <w:pPr>
        <w:pStyle w:val="CommentText"/>
      </w:pPr>
      <w:r>
        <w:rPr>
          <w:rStyle w:val="CommentReference"/>
        </w:rPr>
        <w:annotationRef/>
      </w:r>
      <w:r>
        <w:t xml:space="preserve">Choplin 2014 Curr </w:t>
      </w:r>
      <w:proofErr w:type="spellStart"/>
      <w:r>
        <w:t>Radiol</w:t>
      </w:r>
      <w:proofErr w:type="spellEnd"/>
      <w:r>
        <w:t xml:space="preserve"> Rep </w:t>
      </w:r>
    </w:p>
  </w:comment>
  <w:comment w:id="42" w:author="Mark Bowes" w:date="2024-02-12T12:37:00Z" w:initials="MB">
    <w:p w14:paraId="49818AE1" w14:textId="14BDF85E" w:rsidR="004B6ABD" w:rsidRDefault="004B6ABD">
      <w:pPr>
        <w:pStyle w:val="CommentText"/>
      </w:pPr>
      <w:r>
        <w:rPr>
          <w:rStyle w:val="CommentReference"/>
        </w:rPr>
        <w:annotationRef/>
      </w:r>
      <w:r>
        <w:t xml:space="preserve">Choplin 2014; reprint permission needed </w:t>
      </w:r>
    </w:p>
  </w:comment>
  <w:comment w:id="45" w:author="Mark Bowes" w:date="2024-02-09T17:19:00Z" w:initials="MB">
    <w:p w14:paraId="5534BD44" w14:textId="1D4F0D7F" w:rsidR="00EA2DE3" w:rsidRDefault="00EA2DE3">
      <w:pPr>
        <w:pStyle w:val="CommentText"/>
      </w:pPr>
      <w:r>
        <w:rPr>
          <w:rStyle w:val="CommentReference"/>
        </w:rPr>
        <w:annotationRef/>
      </w:r>
      <w:r>
        <w:t xml:space="preserve">Q10 </w:t>
      </w:r>
    </w:p>
  </w:comment>
  <w:comment w:id="48" w:author="Mark Bowes" w:date="2024-02-12T12:54:00Z" w:initials="MB">
    <w:p w14:paraId="45BCA676" w14:textId="3E872716" w:rsidR="0010193B" w:rsidRDefault="0010193B">
      <w:pPr>
        <w:pStyle w:val="CommentText"/>
      </w:pPr>
      <w:r>
        <w:rPr>
          <w:rStyle w:val="CommentReference"/>
        </w:rPr>
        <w:annotationRef/>
      </w:r>
      <w:r>
        <w:t xml:space="preserve">Original table </w:t>
      </w:r>
    </w:p>
  </w:comment>
  <w:comment w:id="51" w:author="Mark Bowes" w:date="2024-02-09T15:15:00Z" w:initials="MB">
    <w:p w14:paraId="4084C53C" w14:textId="18A08220" w:rsidR="00027035" w:rsidRDefault="00027035">
      <w:pPr>
        <w:pStyle w:val="CommentText"/>
      </w:pPr>
      <w:r>
        <w:rPr>
          <w:rStyle w:val="CommentReference"/>
        </w:rPr>
        <w:annotationRef/>
      </w:r>
      <w:r>
        <w:t xml:space="preserve">KTA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07B967" w15:done="0"/>
  <w15:commentEx w15:paraId="75633411" w15:done="0"/>
  <w15:commentEx w15:paraId="1F89FC54" w15:done="0"/>
  <w15:commentEx w15:paraId="745E66C7" w15:done="0"/>
  <w15:commentEx w15:paraId="661BD1EB" w15:done="0"/>
  <w15:commentEx w15:paraId="7AC5CB8C" w15:done="0"/>
  <w15:commentEx w15:paraId="04AEE645" w15:done="0"/>
  <w15:commentEx w15:paraId="035435D2" w15:done="0"/>
  <w15:commentEx w15:paraId="7EFCA381" w15:done="0"/>
  <w15:commentEx w15:paraId="38A39AEA" w15:done="0"/>
  <w15:commentEx w15:paraId="3F1F9E15" w15:done="0"/>
  <w15:commentEx w15:paraId="39886DF6" w15:done="0"/>
  <w15:commentEx w15:paraId="4FDEF2F1" w15:done="0"/>
  <w15:commentEx w15:paraId="46F45C25" w15:done="0"/>
  <w15:commentEx w15:paraId="1BAA2A60" w15:done="0"/>
  <w15:commentEx w15:paraId="569FF96E" w15:done="0"/>
  <w15:commentEx w15:paraId="2DC87271" w15:done="0"/>
  <w15:commentEx w15:paraId="49818AE1" w15:done="0"/>
  <w15:commentEx w15:paraId="5534BD44" w15:done="0"/>
  <w15:commentEx w15:paraId="45BCA676" w15:done="0"/>
  <w15:commentEx w15:paraId="4084C5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B14DD6E" w16cex:dateUtc="2024-02-10T00:16:00Z"/>
  <w16cex:commentExtensible w16cex:durableId="6FD00569" w16cex:dateUtc="2024-02-09T23:10:00Z"/>
  <w16cex:commentExtensible w16cex:durableId="4E212D9E" w16cex:dateUtc="2024-02-10T00:18:00Z"/>
  <w16cex:commentExtensible w16cex:durableId="56AEA844" w16cex:dateUtc="2024-02-10T00:21:00Z"/>
  <w16cex:commentExtensible w16cex:durableId="3A37A5F1" w16cex:dateUtc="2024-02-09T23:10:00Z"/>
  <w16cex:commentExtensible w16cex:durableId="0F12096B" w16cex:dateUtc="2024-02-09T23:11:00Z"/>
  <w16cex:commentExtensible w16cex:durableId="30FEF49F" w16cex:dateUtc="2024-02-10T00:36:00Z"/>
  <w16cex:commentExtensible w16cex:durableId="60B8B8AB" w16cex:dateUtc="2024-02-09T23:11:00Z"/>
  <w16cex:commentExtensible w16cex:durableId="6BCB6B31" w16cex:dateUtc="2024-02-12T20:03:00Z"/>
  <w16cex:commentExtensible w16cex:durableId="5F4627D6" w16cex:dateUtc="2024-02-10T00:39:00Z"/>
  <w16cex:commentExtensible w16cex:durableId="640D05C6" w16cex:dateUtc="2024-02-09T23:12:00Z"/>
  <w16cex:commentExtensible w16cex:durableId="1A79B9B5" w16cex:dateUtc="2024-02-12T20:20:00Z"/>
  <w16cex:commentExtensible w16cex:durableId="75A8D705" w16cex:dateUtc="2024-02-10T00:56:00Z"/>
  <w16cex:commentExtensible w16cex:durableId="1EFFE51C" w16cex:dateUtc="2024-02-09T23:12:00Z"/>
  <w16cex:commentExtensible w16cex:durableId="01EF1216" w16cex:dateUtc="2024-02-10T00:58:00Z"/>
  <w16cex:commentExtensible w16cex:durableId="0938EBB1" w16cex:dateUtc="2024-02-10T01:18:00Z"/>
  <w16cex:commentExtensible w16cex:durableId="0BACDECA" w16cex:dateUtc="2024-02-12T18:47:00Z"/>
  <w16cex:commentExtensible w16cex:durableId="7523C834" w16cex:dateUtc="2024-02-12T20:37:00Z"/>
  <w16cex:commentExtensible w16cex:durableId="1DB358C3" w16cex:dateUtc="2024-02-10T01:19:00Z"/>
  <w16cex:commentExtensible w16cex:durableId="13878530" w16cex:dateUtc="2024-02-12T20:54:00Z"/>
  <w16cex:commentExtensible w16cex:durableId="7CB452F3" w16cex:dateUtc="2024-02-09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07B967" w16cid:durableId="5B14DD6E"/>
  <w16cid:commentId w16cid:paraId="75633411" w16cid:durableId="6FD00569"/>
  <w16cid:commentId w16cid:paraId="1F89FC54" w16cid:durableId="4E212D9E"/>
  <w16cid:commentId w16cid:paraId="745E66C7" w16cid:durableId="56AEA844"/>
  <w16cid:commentId w16cid:paraId="661BD1EB" w16cid:durableId="3A37A5F1"/>
  <w16cid:commentId w16cid:paraId="7AC5CB8C" w16cid:durableId="0F12096B"/>
  <w16cid:commentId w16cid:paraId="04AEE645" w16cid:durableId="30FEF49F"/>
  <w16cid:commentId w16cid:paraId="035435D2" w16cid:durableId="60B8B8AB"/>
  <w16cid:commentId w16cid:paraId="7EFCA381" w16cid:durableId="6BCB6B31"/>
  <w16cid:commentId w16cid:paraId="38A39AEA" w16cid:durableId="5F4627D6"/>
  <w16cid:commentId w16cid:paraId="3F1F9E15" w16cid:durableId="640D05C6"/>
  <w16cid:commentId w16cid:paraId="39886DF6" w16cid:durableId="1A79B9B5"/>
  <w16cid:commentId w16cid:paraId="4FDEF2F1" w16cid:durableId="75A8D705"/>
  <w16cid:commentId w16cid:paraId="46F45C25" w16cid:durableId="1EFFE51C"/>
  <w16cid:commentId w16cid:paraId="1BAA2A60" w16cid:durableId="01EF1216"/>
  <w16cid:commentId w16cid:paraId="569FF96E" w16cid:durableId="0938EBB1"/>
  <w16cid:commentId w16cid:paraId="2DC87271" w16cid:durableId="0BACDECA"/>
  <w16cid:commentId w16cid:paraId="49818AE1" w16cid:durableId="7523C834"/>
  <w16cid:commentId w16cid:paraId="5534BD44" w16cid:durableId="1DB358C3"/>
  <w16cid:commentId w16cid:paraId="45BCA676" w16cid:durableId="13878530"/>
  <w16cid:commentId w16cid:paraId="4084C53C" w16cid:durableId="7CB452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BDB81" w14:textId="77777777" w:rsidR="00F074A1" w:rsidRDefault="00F074A1" w:rsidP="00F074A1">
      <w:pPr>
        <w:spacing w:after="0" w:line="240" w:lineRule="auto"/>
      </w:pPr>
      <w:r>
        <w:separator/>
      </w:r>
    </w:p>
  </w:endnote>
  <w:endnote w:type="continuationSeparator" w:id="0">
    <w:p w14:paraId="6590CEE6" w14:textId="77777777" w:rsidR="00F074A1" w:rsidRDefault="00F074A1" w:rsidP="00F074A1">
      <w:pPr>
        <w:spacing w:after="0" w:line="240" w:lineRule="auto"/>
      </w:pPr>
      <w:r>
        <w:continuationSeparator/>
      </w:r>
    </w:p>
  </w:endnote>
  <w:endnote w:id="1">
    <w:p w14:paraId="0A15D469" w14:textId="0092BB30" w:rsidR="00F074A1" w:rsidRDefault="00F074A1" w:rsidP="00A61089">
      <w:pPr>
        <w:pStyle w:val="EndnoteText"/>
      </w:pPr>
      <w:r>
        <w:rPr>
          <w:rStyle w:val="EndnoteReference"/>
        </w:rPr>
        <w:endnoteRef/>
      </w:r>
      <w:r>
        <w:t xml:space="preserve"> Porter JL, Varacallo M. Osteoporosis. [Updated 2023 Aug 4]. In: StatPearls [Internet]. Treasure Island (FL): StatPearls Publishing; 2024 Jan-. </w:t>
      </w:r>
      <w:r>
        <w:rPr>
          <w:rStyle w:val="bkciteavail"/>
        </w:rPr>
        <w:t xml:space="preserve">Available from: </w:t>
      </w:r>
      <w:hyperlink r:id="rId1" w:history="1">
        <w:r w:rsidR="000A2B7A" w:rsidRPr="00E52F21">
          <w:rPr>
            <w:rStyle w:val="Hyperlink"/>
          </w:rPr>
          <w:t>https://www.ncbi.nlm.nih.gov/books/NBK441901/</w:t>
        </w:r>
      </w:hyperlink>
      <w:r w:rsidR="000A2B7A">
        <w:rPr>
          <w:rStyle w:val="bkciteavail"/>
        </w:rPr>
        <w:t xml:space="preserve">. Accessed February 12, 2024. </w:t>
      </w:r>
    </w:p>
  </w:endnote>
  <w:endnote w:id="2">
    <w:p w14:paraId="188E1285" w14:textId="2F8020F6" w:rsidR="001B1A96" w:rsidRDefault="001B1A96" w:rsidP="00A61089">
      <w:pPr>
        <w:pStyle w:val="CommentText"/>
        <w:spacing w:after="0"/>
      </w:pPr>
      <w:r>
        <w:rPr>
          <w:rStyle w:val="EndnoteReference"/>
        </w:rPr>
        <w:endnoteRef/>
      </w:r>
      <w:r>
        <w:t xml:space="preserve"> </w:t>
      </w:r>
      <w:r>
        <w:rPr>
          <w:rStyle w:val="CommentReference"/>
        </w:rPr>
        <w:annotationRef/>
      </w:r>
      <w:r>
        <w:t xml:space="preserve">Lin JT, Lane JM. Osteoporosis: a review. </w:t>
      </w:r>
      <w:r w:rsidRPr="000A2B7A">
        <w:rPr>
          <w:i/>
          <w:iCs/>
        </w:rPr>
        <w:t xml:space="preserve">Clin </w:t>
      </w:r>
      <w:r w:rsidRPr="000A2B7A">
        <w:rPr>
          <w:i/>
          <w:iCs/>
        </w:rPr>
        <w:t>Orthop Relat Res</w:t>
      </w:r>
      <w:r>
        <w:t>. 2004;(425):126-</w:t>
      </w:r>
      <w:r w:rsidR="000A2B7A">
        <w:t>1</w:t>
      </w:r>
      <w:r>
        <w:t>34.</w:t>
      </w:r>
    </w:p>
  </w:endnote>
  <w:endnote w:id="3">
    <w:p w14:paraId="147ED760" w14:textId="08B0C0E3" w:rsidR="00D65E42" w:rsidRDefault="00D65E42" w:rsidP="00FC3FAF">
      <w:pPr>
        <w:pStyle w:val="CommentText"/>
        <w:spacing w:after="0"/>
      </w:pPr>
      <w:r>
        <w:rPr>
          <w:rStyle w:val="EndnoteReference"/>
        </w:rPr>
        <w:endnoteRef/>
      </w:r>
      <w:r>
        <w:t xml:space="preserve"> </w:t>
      </w:r>
      <w:r w:rsidR="003E4961">
        <w:t xml:space="preserve">Bone Health &amp; Osteoporosis Foundation. </w:t>
      </w:r>
      <w:r w:rsidR="00053CAE">
        <w:t xml:space="preserve">Osteoporosis Fast Facts. </w:t>
      </w:r>
      <w:hyperlink r:id="rId2" w:history="1">
        <w:r w:rsidR="00053CAE" w:rsidRPr="00E52F21">
          <w:rPr>
            <w:rStyle w:val="Hyperlink"/>
          </w:rPr>
          <w:t>https://www.bonehealthandosteoporosis.org/wp-content/uploads/Osteoporosis-Fast-Facts-2.pdf</w:t>
        </w:r>
      </w:hyperlink>
      <w:r w:rsidR="00053CAE">
        <w:t xml:space="preserve">. Accessed February 12, 2024.   </w:t>
      </w:r>
    </w:p>
  </w:endnote>
  <w:endnote w:id="4">
    <w:p w14:paraId="5CD61881" w14:textId="638F4E3A" w:rsidR="003B491F" w:rsidRDefault="003B491F" w:rsidP="00A61089">
      <w:pPr>
        <w:pStyle w:val="EndnoteText"/>
      </w:pPr>
      <w:r>
        <w:rPr>
          <w:rStyle w:val="EndnoteReference"/>
        </w:rPr>
        <w:endnoteRef/>
      </w:r>
      <w:r>
        <w:t xml:space="preserve"> James R, Griffin JGL, Senior C, Love R. The role of the Radiographer in osteoporosis and fracture prevention services - a narrative review. </w:t>
      </w:r>
      <w:r w:rsidRPr="00937612">
        <w:rPr>
          <w:i/>
          <w:iCs/>
        </w:rPr>
        <w:t>Radiography (Lond)</w:t>
      </w:r>
      <w:r>
        <w:t>. 2021;27</w:t>
      </w:r>
      <w:r w:rsidR="00937612">
        <w:t>(</w:t>
      </w:r>
      <w:r>
        <w:t>Suppl 1</w:t>
      </w:r>
      <w:r w:rsidR="00937612">
        <w:t>)</w:t>
      </w:r>
      <w:r>
        <w:t>:S34-S38.</w:t>
      </w:r>
    </w:p>
  </w:endnote>
  <w:endnote w:id="5">
    <w:p w14:paraId="1AFA932D" w14:textId="6C2C475F" w:rsidR="00CA6C28" w:rsidRDefault="00CA6C28" w:rsidP="00FC3FAF">
      <w:pPr>
        <w:pStyle w:val="CommentText"/>
        <w:spacing w:after="0"/>
      </w:pPr>
      <w:r>
        <w:rPr>
          <w:rStyle w:val="EndnoteReference"/>
        </w:rPr>
        <w:endnoteRef/>
      </w:r>
      <w:r>
        <w:t xml:space="preserve"> </w:t>
      </w:r>
      <w:r w:rsidR="0060257F">
        <w:t xml:space="preserve">Formosa MM, Christou MA, </w:t>
      </w:r>
      <w:r w:rsidR="0060257F">
        <w:t xml:space="preserve">Mäkitie O. Bone fragility and osteoporosis in children and young adults. </w:t>
      </w:r>
      <w:r w:rsidR="0060257F" w:rsidRPr="0060257F">
        <w:rPr>
          <w:i/>
          <w:iCs/>
        </w:rPr>
        <w:t>J Endocrinol Invest</w:t>
      </w:r>
      <w:r w:rsidR="0060257F">
        <w:t>. 2024;47(2):285-298.</w:t>
      </w:r>
    </w:p>
  </w:endnote>
  <w:endnote w:id="6">
    <w:p w14:paraId="3AD52619" w14:textId="7E1E652A" w:rsidR="00CA6C28" w:rsidRDefault="00CA6C28" w:rsidP="00FC3FAF">
      <w:pPr>
        <w:pStyle w:val="CommentText"/>
        <w:spacing w:after="0"/>
      </w:pPr>
      <w:r>
        <w:rPr>
          <w:rStyle w:val="EndnoteReference"/>
        </w:rPr>
        <w:endnoteRef/>
      </w:r>
      <w:r>
        <w:t xml:space="preserve"> Herath M, Cohen A, Ebeling PR, Milat F. Dilemmas in the Management of Osteoporosis in Younger Adults. </w:t>
      </w:r>
      <w:r w:rsidRPr="004C789A">
        <w:rPr>
          <w:i/>
          <w:iCs/>
        </w:rPr>
        <w:t>JBMR Plus</w:t>
      </w:r>
      <w:r>
        <w:t>. 2022;6(1):e10594.</w:t>
      </w:r>
    </w:p>
  </w:endnote>
  <w:endnote w:id="7">
    <w:p w14:paraId="3FFDE017" w14:textId="219F765F" w:rsidR="002E79F6" w:rsidRDefault="002E79F6" w:rsidP="00FC3FAF">
      <w:pPr>
        <w:pStyle w:val="CommentText"/>
        <w:spacing w:after="0"/>
      </w:pPr>
      <w:r>
        <w:rPr>
          <w:rStyle w:val="EndnoteReference"/>
        </w:rPr>
        <w:endnoteRef/>
      </w:r>
      <w:r>
        <w:t xml:space="preserve"> </w:t>
      </w:r>
      <w:r>
        <w:t xml:space="preserve">Hadjidakis DJ, Androulakis II. Bone remodeling. </w:t>
      </w:r>
      <w:r w:rsidRPr="004C789A">
        <w:rPr>
          <w:i/>
          <w:iCs/>
        </w:rPr>
        <w:t>Ann N Y Acad Sci</w:t>
      </w:r>
      <w:r>
        <w:t>. 2006;1092:385-</w:t>
      </w:r>
      <w:r w:rsidR="004C789A">
        <w:t>3</w:t>
      </w:r>
      <w:r>
        <w:t>96.</w:t>
      </w:r>
    </w:p>
  </w:endnote>
  <w:endnote w:id="8">
    <w:p w14:paraId="4A804BAE" w14:textId="7D8CE8A9" w:rsidR="002E79F6" w:rsidRDefault="002E79F6" w:rsidP="00FC3FAF">
      <w:pPr>
        <w:pStyle w:val="CommentText"/>
        <w:spacing w:after="0"/>
      </w:pPr>
      <w:r>
        <w:rPr>
          <w:rStyle w:val="EndnoteReference"/>
        </w:rPr>
        <w:endnoteRef/>
      </w:r>
      <w:r>
        <w:t xml:space="preserve"> </w:t>
      </w:r>
      <w:r>
        <w:t xml:space="preserve">Paspaliaris V, Kolios G. Stem cells in Osteoporosis: From Biology to New Therapeutic Approaches. </w:t>
      </w:r>
      <w:r w:rsidRPr="004C789A">
        <w:rPr>
          <w:i/>
          <w:iCs/>
        </w:rPr>
        <w:t>Stem Cells Int</w:t>
      </w:r>
      <w:r>
        <w:t>. 2019;2019:1730978.</w:t>
      </w:r>
    </w:p>
  </w:endnote>
  <w:endnote w:id="9">
    <w:p w14:paraId="171ED011" w14:textId="3F4E002A" w:rsidR="0098361B" w:rsidRDefault="0098361B" w:rsidP="00A61089">
      <w:pPr>
        <w:pStyle w:val="EndnoteText"/>
      </w:pPr>
      <w:r>
        <w:rPr>
          <w:rStyle w:val="EndnoteReference"/>
        </w:rPr>
        <w:endnoteRef/>
      </w:r>
      <w:r>
        <w:t xml:space="preserve"> </w:t>
      </w:r>
      <w:r w:rsidR="00AD506D">
        <w:t xml:space="preserve">Banks KP, Farrell MB, Gunther RS, McWhorter NE, Byerly DW, Peacock JG. Improving DXA Quality by Avoiding Common Technical and Diagnostic Pitfalls: Part 1. </w:t>
      </w:r>
      <w:r w:rsidR="00AD506D" w:rsidRPr="00AD506D">
        <w:rPr>
          <w:i/>
          <w:iCs/>
        </w:rPr>
        <w:t xml:space="preserve">J </w:t>
      </w:r>
      <w:r w:rsidR="00AD506D" w:rsidRPr="00AD506D">
        <w:rPr>
          <w:i/>
          <w:iCs/>
        </w:rPr>
        <w:t>Nucl Med Technol</w:t>
      </w:r>
      <w:r w:rsidR="00AD506D">
        <w:t xml:space="preserve">. 2023;51(3):167-175. </w:t>
      </w:r>
      <w:r>
        <w:t xml:space="preserve"> </w:t>
      </w:r>
    </w:p>
  </w:endnote>
  <w:endnote w:id="10">
    <w:p w14:paraId="465C73CA" w14:textId="7D27443B" w:rsidR="00601D09" w:rsidRDefault="00601D09" w:rsidP="00FC3FAF">
      <w:pPr>
        <w:pStyle w:val="CommentText"/>
        <w:spacing w:after="0"/>
      </w:pPr>
      <w:r>
        <w:rPr>
          <w:rStyle w:val="EndnoteReference"/>
        </w:rPr>
        <w:endnoteRef/>
      </w:r>
      <w:r>
        <w:t xml:space="preserve"> Ott SM, </w:t>
      </w:r>
      <w:r>
        <w:t xml:space="preserve">O'Hanlan M, Lipkin EW, Newell-Morris L. Evaluation of vertebral volumetric vs. areal bone mineral density during growth. </w:t>
      </w:r>
      <w:r w:rsidRPr="00520D32">
        <w:rPr>
          <w:i/>
          <w:iCs/>
        </w:rPr>
        <w:t>Bone</w:t>
      </w:r>
      <w:r>
        <w:t>. 1997 Jun;20(6):553-6.</w:t>
      </w:r>
    </w:p>
  </w:endnote>
  <w:endnote w:id="11">
    <w:p w14:paraId="40AAD226" w14:textId="2C26C433" w:rsidR="00601D09" w:rsidRDefault="00601D09" w:rsidP="00FC3FAF">
      <w:pPr>
        <w:pStyle w:val="CommentText"/>
        <w:spacing w:after="0"/>
      </w:pPr>
      <w:r>
        <w:rPr>
          <w:rStyle w:val="EndnoteReference"/>
        </w:rPr>
        <w:endnoteRef/>
      </w:r>
      <w:r>
        <w:t xml:space="preserve"> Cummings SR, Bates D, Black DM. Clinical use of bone densitometry: scientific review. </w:t>
      </w:r>
      <w:r w:rsidRPr="00520D32">
        <w:rPr>
          <w:i/>
          <w:iCs/>
        </w:rPr>
        <w:t>JAMA</w:t>
      </w:r>
      <w:r>
        <w:t>. 2002;288(15):1889-</w:t>
      </w:r>
      <w:r w:rsidR="00520D32">
        <w:t>18</w:t>
      </w:r>
      <w:r>
        <w:t>97.</w:t>
      </w:r>
    </w:p>
  </w:endnote>
  <w:endnote w:id="12">
    <w:p w14:paraId="7560A887" w14:textId="0161B1F4" w:rsidR="00932F6F" w:rsidRDefault="00932F6F" w:rsidP="00FC3FAF">
      <w:pPr>
        <w:pStyle w:val="CommentText"/>
        <w:spacing w:after="0"/>
      </w:pPr>
      <w:r>
        <w:rPr>
          <w:rStyle w:val="EndnoteReference"/>
        </w:rPr>
        <w:endnoteRef/>
      </w:r>
      <w:r>
        <w:t xml:space="preserve"> Brown JP, Don-Wauchope A, Douville P, Albert C, Vasikaran SD. Current use of bone turnover markers in the management of osteoporosis. </w:t>
      </w:r>
      <w:r w:rsidRPr="00520D32">
        <w:rPr>
          <w:i/>
          <w:iCs/>
        </w:rPr>
        <w:t xml:space="preserve">Clin </w:t>
      </w:r>
      <w:r w:rsidRPr="00520D32">
        <w:rPr>
          <w:i/>
          <w:iCs/>
        </w:rPr>
        <w:t>Biochem</w:t>
      </w:r>
      <w:r>
        <w:t>. 2022;109-110:1-</w:t>
      </w:r>
      <w:r w:rsidR="00520D32">
        <w:t>1</w:t>
      </w:r>
      <w:r>
        <w:t>10.</w:t>
      </w:r>
    </w:p>
  </w:endnote>
  <w:endnote w:id="13">
    <w:p w14:paraId="01248B34" w14:textId="74AE7130" w:rsidR="00E70769" w:rsidRDefault="00E70769" w:rsidP="00A61089">
      <w:pPr>
        <w:pStyle w:val="EndnoteText"/>
      </w:pPr>
      <w:r>
        <w:rPr>
          <w:rStyle w:val="EndnoteReference"/>
        </w:rPr>
        <w:endnoteRef/>
      </w:r>
      <w:r>
        <w:t xml:space="preserve"> </w:t>
      </w:r>
      <w:r w:rsidR="002C3A73">
        <w:t xml:space="preserve">LeBoff MS, Greenspan SL, Insogna KL, et al. The clinician's guide to prevention and treatment of osteoporosis. </w:t>
      </w:r>
      <w:r w:rsidR="002C3A73" w:rsidRPr="002C3A73">
        <w:rPr>
          <w:i/>
          <w:iCs/>
        </w:rPr>
        <w:t>Osteoporos Int</w:t>
      </w:r>
      <w:r w:rsidR="002C3A73">
        <w:t>. 2022;33(10):2049-2102.</w:t>
      </w:r>
    </w:p>
  </w:endnote>
  <w:endnote w:id="14">
    <w:p w14:paraId="69BAC362" w14:textId="1AB66029" w:rsidR="00C44F06" w:rsidRDefault="00C44F06" w:rsidP="00A61089">
      <w:pPr>
        <w:pStyle w:val="EndnoteText"/>
      </w:pPr>
      <w:r>
        <w:rPr>
          <w:rStyle w:val="EndnoteReference"/>
        </w:rPr>
        <w:endnoteRef/>
      </w:r>
      <w:r>
        <w:t xml:space="preserve"> </w:t>
      </w:r>
      <w:r w:rsidR="00713B6E">
        <w:rPr>
          <w:rStyle w:val="element-citation"/>
        </w:rPr>
        <w:t xml:space="preserve">Kanis JA on behalf of the World Health Organization Scientific Group. </w:t>
      </w:r>
      <w:r w:rsidR="00713B6E">
        <w:rPr>
          <w:rStyle w:val="ref-journal"/>
        </w:rPr>
        <w:t>Technical Report.</w:t>
      </w:r>
      <w:r w:rsidR="00713B6E">
        <w:rPr>
          <w:rStyle w:val="element-citation"/>
        </w:rPr>
        <w:t xml:space="preserve"> World Health Organization Collaborating Centre for Metabolic Bone Diseases, University of Sheffield; UK: 2007. 2007. Assessment of osteoporosis at the primary health-care level.</w:t>
      </w:r>
    </w:p>
  </w:endnote>
  <w:endnote w:id="15">
    <w:p w14:paraId="6623F84F" w14:textId="6C163759" w:rsidR="005236B0" w:rsidRDefault="005236B0" w:rsidP="00FC3FAF">
      <w:pPr>
        <w:pStyle w:val="CommentText"/>
        <w:spacing w:after="0"/>
      </w:pPr>
      <w:r>
        <w:rPr>
          <w:rStyle w:val="EndnoteReference"/>
        </w:rPr>
        <w:endnoteRef/>
      </w:r>
      <w:r>
        <w:t xml:space="preserve"> </w:t>
      </w:r>
      <w:r w:rsidR="00A645BB">
        <w:t xml:space="preserve">International Osteoporosis Foundation. Fragility Fractures. </w:t>
      </w:r>
      <w:hyperlink r:id="rId3" w:history="1">
        <w:r w:rsidR="00A645BB" w:rsidRPr="00E52F21">
          <w:rPr>
            <w:rStyle w:val="Hyperlink"/>
          </w:rPr>
          <w:t>https://www.osteoporosis.foundation/health-professionals/fragility-fractures</w:t>
        </w:r>
      </w:hyperlink>
      <w:r w:rsidR="00A645BB">
        <w:t xml:space="preserve">. Accessed February 12, 2024. </w:t>
      </w:r>
    </w:p>
  </w:endnote>
  <w:endnote w:id="16">
    <w:p w14:paraId="66A068EF" w14:textId="77E81E7D" w:rsidR="00920403" w:rsidRDefault="00920403" w:rsidP="00A61089">
      <w:pPr>
        <w:pStyle w:val="EndnoteText"/>
      </w:pPr>
      <w:r>
        <w:rPr>
          <w:rStyle w:val="EndnoteReference"/>
        </w:rPr>
        <w:endnoteRef/>
      </w:r>
      <w:r>
        <w:t xml:space="preserve"> </w:t>
      </w:r>
      <w:r>
        <w:rPr>
          <w:rFonts w:cstheme="minorHAnsi"/>
        </w:rPr>
        <w:t xml:space="preserve"> </w:t>
      </w:r>
      <w:r w:rsidR="0024456C">
        <w:t xml:space="preserve">Dyer SM, Crotty M, Fairhall N, Magaziner J, Beaupre LA, Cameron ID, Sherrington C; Fragility Fracture Network (FFN) Rehabilitation Research Special Interest Group. A critical review of the long-term disability outcomes following hip fracture. </w:t>
      </w:r>
      <w:r w:rsidR="0024456C" w:rsidRPr="00A645BB">
        <w:rPr>
          <w:i/>
          <w:iCs/>
        </w:rPr>
        <w:t xml:space="preserve">BMC </w:t>
      </w:r>
      <w:r w:rsidR="0024456C" w:rsidRPr="00A645BB">
        <w:rPr>
          <w:i/>
          <w:iCs/>
        </w:rPr>
        <w:t>Geriatr</w:t>
      </w:r>
      <w:r w:rsidR="0024456C">
        <w:t>. 2016 Sep 2;16(1):158.</w:t>
      </w:r>
    </w:p>
  </w:endnote>
  <w:endnote w:id="17">
    <w:p w14:paraId="743164B5" w14:textId="0F0A449C" w:rsidR="005E25EB" w:rsidRDefault="005E25EB" w:rsidP="00A61089">
      <w:pPr>
        <w:pStyle w:val="EndnoteText"/>
      </w:pPr>
      <w:r>
        <w:rPr>
          <w:rStyle w:val="EndnoteReference"/>
        </w:rPr>
        <w:endnoteRef/>
      </w:r>
      <w:r>
        <w:t xml:space="preserve"> LeBlanc ES, Hillier TA, </w:t>
      </w:r>
      <w:r>
        <w:t>Pedula KL, Rizzo JH, Cawthon PM, Fink HA, Cauley JA, Bauer DC, Black DM, Cummings SR, Browner WS. Hip fracture and increased short-term but not long-term mortality in healthy older women. Arch Intern Med. 2011 Nov 14;171(20):1831-7.</w:t>
      </w:r>
    </w:p>
  </w:endnote>
  <w:endnote w:id="18">
    <w:p w14:paraId="24D2CABF" w14:textId="138E3FBB" w:rsidR="00461A63" w:rsidRDefault="00461A63" w:rsidP="00A61089">
      <w:pPr>
        <w:pStyle w:val="EndnoteText"/>
      </w:pPr>
      <w:r>
        <w:rPr>
          <w:rStyle w:val="EndnoteReference"/>
        </w:rPr>
        <w:endnoteRef/>
      </w:r>
      <w:r>
        <w:t xml:space="preserve"> </w:t>
      </w:r>
      <w:r w:rsidR="00F64A56">
        <w:t xml:space="preserve">Expert Panel on Musculoskeletal Imaging. ACR Appropriateness Criteria® Osteoporosis and Bone Mineral Density: 2022 Update. </w:t>
      </w:r>
      <w:r w:rsidR="00F64A56" w:rsidRPr="00F64A56">
        <w:rPr>
          <w:i/>
          <w:iCs/>
        </w:rPr>
        <w:t xml:space="preserve">J Am Coll </w:t>
      </w:r>
      <w:r w:rsidR="00F64A56" w:rsidRPr="00F64A56">
        <w:rPr>
          <w:i/>
          <w:iCs/>
        </w:rPr>
        <w:t>Radiol</w:t>
      </w:r>
      <w:r w:rsidR="00F64A56">
        <w:t>. 2022;19(11S):S417-S432.</w:t>
      </w:r>
      <w:r>
        <w:t xml:space="preserve"> </w:t>
      </w:r>
    </w:p>
  </w:endnote>
  <w:endnote w:id="19">
    <w:p w14:paraId="7002E234" w14:textId="428D64BD" w:rsidR="00461A63" w:rsidRDefault="00461A63" w:rsidP="00A61089">
      <w:pPr>
        <w:pStyle w:val="EndnoteText"/>
      </w:pPr>
      <w:r>
        <w:rPr>
          <w:rStyle w:val="EndnoteReference"/>
        </w:rPr>
        <w:endnoteRef/>
      </w:r>
      <w:r>
        <w:t xml:space="preserve"> </w:t>
      </w:r>
      <w:r w:rsidR="00E977DB">
        <w:t>International Society</w:t>
      </w:r>
      <w:r w:rsidR="008D36A9">
        <w:t xml:space="preserve"> for Clinical Densitometry. </w:t>
      </w:r>
      <w:r w:rsidR="00D82E95" w:rsidRPr="00D82E95">
        <w:t>Indications for Bone Mineral Density (BMD) Testing</w:t>
      </w:r>
      <w:r w:rsidR="00D82E95">
        <w:t xml:space="preserve">. </w:t>
      </w:r>
      <w:hyperlink r:id="rId4" w:history="1">
        <w:r w:rsidR="009C4F26" w:rsidRPr="00E52F21">
          <w:rPr>
            <w:rStyle w:val="Hyperlink"/>
          </w:rPr>
          <w:t>https://iscd.org/official-positions-2023/</w:t>
        </w:r>
      </w:hyperlink>
      <w:r w:rsidR="009C4F26">
        <w:t xml:space="preserve">.  Accessed February 12, 2024. </w:t>
      </w:r>
      <w:r w:rsidR="00E977DB">
        <w:t xml:space="preserve"> </w:t>
      </w:r>
      <w:r>
        <w:t xml:space="preserve"> </w:t>
      </w:r>
    </w:p>
  </w:endnote>
  <w:endnote w:id="20">
    <w:p w14:paraId="4CA9A9B7" w14:textId="32F546B2" w:rsidR="00E0232F" w:rsidRDefault="00E0232F" w:rsidP="00A61089">
      <w:pPr>
        <w:pStyle w:val="EndnoteText"/>
      </w:pPr>
      <w:r>
        <w:rPr>
          <w:rStyle w:val="EndnoteReference"/>
        </w:rPr>
        <w:endnoteRef/>
      </w:r>
      <w:r>
        <w:t xml:space="preserve"> </w:t>
      </w:r>
      <w:r w:rsidR="00814C0E">
        <w:t xml:space="preserve">Berry ME. DXA Scanning of the Lumbar Spine and Proximal Femur. </w:t>
      </w:r>
      <w:r w:rsidR="00814C0E" w:rsidRPr="00814C0E">
        <w:rPr>
          <w:i/>
          <w:iCs/>
        </w:rPr>
        <w:t>Radiol Technol</w:t>
      </w:r>
      <w:r w:rsidR="00814C0E">
        <w:t>. 2018;89(5):509-515.</w:t>
      </w:r>
      <w:r>
        <w:t xml:space="preserve"> </w:t>
      </w:r>
    </w:p>
  </w:endnote>
  <w:endnote w:id="21">
    <w:p w14:paraId="3AF20D5B" w14:textId="7FB2D527" w:rsidR="00025F16" w:rsidRDefault="00025F16" w:rsidP="00A61089">
      <w:pPr>
        <w:pStyle w:val="EndnoteText"/>
      </w:pPr>
      <w:r>
        <w:rPr>
          <w:rStyle w:val="EndnoteReference"/>
        </w:rPr>
        <w:endnoteRef/>
      </w:r>
      <w:r>
        <w:t xml:space="preserve"> Watts NB. The Fracture Risk Assessment Tool (FRAX®): applications in clinical practice. </w:t>
      </w:r>
      <w:r w:rsidRPr="00814C0E">
        <w:rPr>
          <w:i/>
          <w:iCs/>
        </w:rPr>
        <w:t xml:space="preserve">J </w:t>
      </w:r>
      <w:r w:rsidRPr="00814C0E">
        <w:rPr>
          <w:i/>
          <w:iCs/>
        </w:rPr>
        <w:t>Womens Health (Larchmt)</w:t>
      </w:r>
      <w:r>
        <w:t>. 2011 Apr;20(4):525-31.</w:t>
      </w:r>
    </w:p>
  </w:endnote>
  <w:endnote w:id="22">
    <w:p w14:paraId="572B140D" w14:textId="62E67195" w:rsidR="00F130BE" w:rsidRDefault="00F130BE" w:rsidP="00A61089">
      <w:pPr>
        <w:pStyle w:val="EndnoteText"/>
      </w:pPr>
      <w:r>
        <w:rPr>
          <w:rStyle w:val="EndnoteReference"/>
        </w:rPr>
        <w:endnoteRef/>
      </w:r>
      <w:r>
        <w:t xml:space="preserve"> </w:t>
      </w:r>
      <w:r>
        <w:t xml:space="preserve">Bouxsein ML, Eastell R, Lui LY, </w:t>
      </w:r>
      <w:r w:rsidR="00814C0E">
        <w:t>et al</w:t>
      </w:r>
      <w:r>
        <w:t xml:space="preserve">. Change in Bone Density and Reduction in Fracture Risk: A Meta-Regression of Published Trials. </w:t>
      </w:r>
      <w:r w:rsidRPr="00814C0E">
        <w:rPr>
          <w:i/>
          <w:iCs/>
        </w:rPr>
        <w:t>J Bone Miner Res</w:t>
      </w:r>
      <w:r>
        <w:t>. 2019;34(4):632-642.</w:t>
      </w:r>
    </w:p>
  </w:endnote>
  <w:endnote w:id="23">
    <w:p w14:paraId="7D60BE4B" w14:textId="7A61D79B" w:rsidR="002F60E6" w:rsidRDefault="002F60E6" w:rsidP="00C23D8F">
      <w:pPr>
        <w:pStyle w:val="CommentText"/>
        <w:spacing w:after="0"/>
      </w:pPr>
      <w:r>
        <w:rPr>
          <w:rStyle w:val="EndnoteReference"/>
        </w:rPr>
        <w:endnoteRef/>
      </w:r>
      <w:r>
        <w:t xml:space="preserve"> </w:t>
      </w:r>
      <w:r>
        <w:rPr>
          <w:rStyle w:val="CommentReference"/>
        </w:rPr>
        <w:annotationRef/>
      </w:r>
      <w:r w:rsidR="00185A8E">
        <w:t xml:space="preserve">Choplin RH, </w:t>
      </w:r>
      <w:r w:rsidR="00185A8E">
        <w:t xml:space="preserve">Lenchik L. </w:t>
      </w:r>
      <w:r w:rsidR="00C23D8F">
        <w:t xml:space="preserve">A Practical Approach to Interpretation of Dual-Energy X-ray Absorptiometry (DXA) for Assessment of Bone Density. </w:t>
      </w:r>
      <w:r w:rsidR="00C23D8F" w:rsidRPr="00C23D8F">
        <w:rPr>
          <w:i/>
          <w:iCs/>
        </w:rPr>
        <w:t>Curr Radiol Rep</w:t>
      </w:r>
      <w:r w:rsidR="00C23D8F">
        <w:t xml:space="preserve">. 2014;2:48. </w:t>
      </w:r>
    </w:p>
  </w:endnote>
  <w:endnote w:id="24">
    <w:p w14:paraId="133EC48C" w14:textId="3D5240E4" w:rsidR="00104B3A" w:rsidRDefault="00104B3A" w:rsidP="00A61089">
      <w:pPr>
        <w:pStyle w:val="EndnoteText"/>
      </w:pPr>
      <w:r>
        <w:rPr>
          <w:rStyle w:val="EndnoteReference"/>
        </w:rPr>
        <w:endnoteRef/>
      </w:r>
      <w:r>
        <w:t xml:space="preserve"> </w:t>
      </w:r>
      <w:r w:rsidR="001E31B4">
        <w:t xml:space="preserve">International Society for Clinical Densitometry. DXA Atlas Preview: Incorrect Hologic Hip Analysis. </w:t>
      </w:r>
      <w:hyperlink r:id="rId5" w:history="1">
        <w:r w:rsidR="001E31B4" w:rsidRPr="00E52F21">
          <w:rPr>
            <w:rStyle w:val="Hyperlink"/>
          </w:rPr>
          <w:t>https://iscd.org/incorrect-hologic-hip-analysis/</w:t>
        </w:r>
      </w:hyperlink>
      <w:r w:rsidR="001E31B4">
        <w:t xml:space="preserve">.  Accessed February 12, 2024. </w:t>
      </w:r>
    </w:p>
  </w:endnote>
  <w:endnote w:id="25">
    <w:p w14:paraId="1E1F3A81" w14:textId="19A21131" w:rsidR="00043925" w:rsidRDefault="00043925" w:rsidP="00FC3FAF">
      <w:pPr>
        <w:pStyle w:val="CommentText"/>
        <w:spacing w:after="0"/>
      </w:pPr>
      <w:r>
        <w:rPr>
          <w:rStyle w:val="EndnoteReference"/>
        </w:rPr>
        <w:endnoteRef/>
      </w:r>
      <w:r>
        <w:t xml:space="preserve"> </w:t>
      </w:r>
      <w:r w:rsidR="0062161F">
        <w:t xml:space="preserve">DeSai C. </w:t>
      </w:r>
      <w:r w:rsidR="0062161F" w:rsidRPr="0062161F">
        <w:t>Dual-energy x-ray absorptiometry</w:t>
      </w:r>
      <w:r w:rsidR="0062161F">
        <w:t xml:space="preserve">. </w:t>
      </w:r>
      <w:r w:rsidR="0062161F" w:rsidRPr="0062161F">
        <w:rPr>
          <w:i/>
          <w:iCs/>
        </w:rPr>
        <w:t>Radiopaedia</w:t>
      </w:r>
      <w:r w:rsidR="0062161F">
        <w:t>.</w:t>
      </w:r>
      <w:r w:rsidR="00046B18">
        <w:t xml:space="preserve"> September 11, 2023. </w:t>
      </w:r>
      <w:hyperlink r:id="rId6" w:history="1">
        <w:r w:rsidR="00046B18" w:rsidRPr="00E52F21">
          <w:rPr>
            <w:rStyle w:val="Hyperlink"/>
          </w:rPr>
          <w:t>https://radiopaedia.org/articles/dual-energy-x-ray-absorptiometry-1?lang=us</w:t>
        </w:r>
      </w:hyperlink>
      <w:r w:rsidR="00046B18">
        <w:t xml:space="preserve">.  Accessed February 12, 2024. </w:t>
      </w:r>
    </w:p>
  </w:endnote>
  <w:endnote w:id="26">
    <w:p w14:paraId="52889F8D" w14:textId="3C7CD372" w:rsidR="0010193B" w:rsidRDefault="0010193B" w:rsidP="00A61089">
      <w:pPr>
        <w:pStyle w:val="EndnoteText"/>
      </w:pPr>
      <w:r>
        <w:rPr>
          <w:rStyle w:val="EndnoteReference"/>
        </w:rPr>
        <w:endnoteRef/>
      </w:r>
      <w:r>
        <w:t xml:space="preserve"> </w:t>
      </w:r>
      <w:r w:rsidR="008214D3">
        <w:t xml:space="preserve">Lewiecki EM, Binkley N, Morgan SL, et al. Best Practices for Dual-Energy X-ray Absorptiometry Measurement and Reporting: International Society for Clinical Densitometry Guidance. </w:t>
      </w:r>
      <w:r w:rsidR="008214D3" w:rsidRPr="000150EA">
        <w:rPr>
          <w:i/>
          <w:iCs/>
        </w:rPr>
        <w:t>J Clin Densitom</w:t>
      </w:r>
      <w:r w:rsidR="008214D3">
        <w:t>. 2016;19(2):127-</w:t>
      </w:r>
      <w:r w:rsidR="000150EA">
        <w:t>1</w:t>
      </w:r>
      <w:r w:rsidR="008214D3">
        <w:t>40.</w:t>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B2BE7" w14:textId="77777777" w:rsidR="00F074A1" w:rsidRDefault="00F074A1" w:rsidP="00F074A1">
      <w:pPr>
        <w:spacing w:after="0" w:line="240" w:lineRule="auto"/>
      </w:pPr>
      <w:r>
        <w:separator/>
      </w:r>
    </w:p>
  </w:footnote>
  <w:footnote w:type="continuationSeparator" w:id="0">
    <w:p w14:paraId="513DB283" w14:textId="77777777" w:rsidR="00F074A1" w:rsidRDefault="00F074A1" w:rsidP="00F07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90084"/>
    <w:multiLevelType w:val="hybridMultilevel"/>
    <w:tmpl w:val="F6941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DB69EA"/>
    <w:multiLevelType w:val="hybridMultilevel"/>
    <w:tmpl w:val="2B70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6E542D"/>
    <w:multiLevelType w:val="hybridMultilevel"/>
    <w:tmpl w:val="F6CE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152980"/>
    <w:multiLevelType w:val="hybridMultilevel"/>
    <w:tmpl w:val="BA44619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42A32902"/>
    <w:multiLevelType w:val="hybridMultilevel"/>
    <w:tmpl w:val="EB969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A57488"/>
    <w:multiLevelType w:val="hybridMultilevel"/>
    <w:tmpl w:val="D2220D5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6" w15:restartNumberingAfterBreak="0">
    <w:nsid w:val="59707805"/>
    <w:multiLevelType w:val="hybridMultilevel"/>
    <w:tmpl w:val="5010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3378B9"/>
    <w:multiLevelType w:val="multilevel"/>
    <w:tmpl w:val="69BE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C3C99"/>
    <w:multiLevelType w:val="hybridMultilevel"/>
    <w:tmpl w:val="FF646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2A14FF"/>
    <w:multiLevelType w:val="hybridMultilevel"/>
    <w:tmpl w:val="22D81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CD6C4D"/>
    <w:multiLevelType w:val="hybridMultilevel"/>
    <w:tmpl w:val="325AF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1E4E73"/>
    <w:multiLevelType w:val="hybridMultilevel"/>
    <w:tmpl w:val="B3EE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EC0854"/>
    <w:multiLevelType w:val="hybridMultilevel"/>
    <w:tmpl w:val="556A5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264122">
    <w:abstractNumId w:val="0"/>
  </w:num>
  <w:num w:numId="2" w16cid:durableId="604077574">
    <w:abstractNumId w:val="10"/>
  </w:num>
  <w:num w:numId="3" w16cid:durableId="1079710780">
    <w:abstractNumId w:val="12"/>
  </w:num>
  <w:num w:numId="4" w16cid:durableId="968320161">
    <w:abstractNumId w:val="5"/>
  </w:num>
  <w:num w:numId="5" w16cid:durableId="303123869">
    <w:abstractNumId w:val="1"/>
  </w:num>
  <w:num w:numId="6" w16cid:durableId="808325826">
    <w:abstractNumId w:val="7"/>
  </w:num>
  <w:num w:numId="7" w16cid:durableId="187529049">
    <w:abstractNumId w:val="6"/>
  </w:num>
  <w:num w:numId="8" w16cid:durableId="2061663411">
    <w:abstractNumId w:val="3"/>
  </w:num>
  <w:num w:numId="9" w16cid:durableId="1084687312">
    <w:abstractNumId w:val="9"/>
  </w:num>
  <w:num w:numId="10" w16cid:durableId="980160073">
    <w:abstractNumId w:val="4"/>
  </w:num>
  <w:num w:numId="11" w16cid:durableId="1339842956">
    <w:abstractNumId w:val="8"/>
  </w:num>
  <w:num w:numId="12" w16cid:durableId="1195188761">
    <w:abstractNumId w:val="2"/>
  </w:num>
  <w:num w:numId="13" w16cid:durableId="65969909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k Bowes">
    <w15:presenceInfo w15:providerId="Windows Live" w15:userId="b6aaf5bc9f015d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16C"/>
    <w:rsid w:val="0000489C"/>
    <w:rsid w:val="000075F3"/>
    <w:rsid w:val="00007ED3"/>
    <w:rsid w:val="00013195"/>
    <w:rsid w:val="000142F8"/>
    <w:rsid w:val="000143CC"/>
    <w:rsid w:val="000150EA"/>
    <w:rsid w:val="00015333"/>
    <w:rsid w:val="00016462"/>
    <w:rsid w:val="00022BFF"/>
    <w:rsid w:val="0002311B"/>
    <w:rsid w:val="0002553E"/>
    <w:rsid w:val="00025884"/>
    <w:rsid w:val="00025F16"/>
    <w:rsid w:val="00027035"/>
    <w:rsid w:val="00030816"/>
    <w:rsid w:val="00031062"/>
    <w:rsid w:val="00033ABA"/>
    <w:rsid w:val="0003648B"/>
    <w:rsid w:val="000375C0"/>
    <w:rsid w:val="00040119"/>
    <w:rsid w:val="00043394"/>
    <w:rsid w:val="00043925"/>
    <w:rsid w:val="00044FCE"/>
    <w:rsid w:val="00046B18"/>
    <w:rsid w:val="00046DC7"/>
    <w:rsid w:val="00053CAE"/>
    <w:rsid w:val="00062CD7"/>
    <w:rsid w:val="00062E4C"/>
    <w:rsid w:val="00062F28"/>
    <w:rsid w:val="00064EB4"/>
    <w:rsid w:val="00066C0B"/>
    <w:rsid w:val="00067B11"/>
    <w:rsid w:val="000745FF"/>
    <w:rsid w:val="00077B2F"/>
    <w:rsid w:val="00087819"/>
    <w:rsid w:val="000907F3"/>
    <w:rsid w:val="00091FA1"/>
    <w:rsid w:val="0009493A"/>
    <w:rsid w:val="00094B71"/>
    <w:rsid w:val="00095E5B"/>
    <w:rsid w:val="00096D8F"/>
    <w:rsid w:val="000A2B7A"/>
    <w:rsid w:val="000A4557"/>
    <w:rsid w:val="000A469C"/>
    <w:rsid w:val="000A67F4"/>
    <w:rsid w:val="000B11E3"/>
    <w:rsid w:val="000B1D5D"/>
    <w:rsid w:val="000B2A83"/>
    <w:rsid w:val="000B3B0B"/>
    <w:rsid w:val="000B4194"/>
    <w:rsid w:val="000B5652"/>
    <w:rsid w:val="000C0FC2"/>
    <w:rsid w:val="000C215B"/>
    <w:rsid w:val="000C4775"/>
    <w:rsid w:val="000D5A49"/>
    <w:rsid w:val="000D670C"/>
    <w:rsid w:val="000E1BC5"/>
    <w:rsid w:val="000E366C"/>
    <w:rsid w:val="000E394C"/>
    <w:rsid w:val="000E6077"/>
    <w:rsid w:val="000E6D70"/>
    <w:rsid w:val="000F16DE"/>
    <w:rsid w:val="000F1829"/>
    <w:rsid w:val="000F3717"/>
    <w:rsid w:val="000F3B90"/>
    <w:rsid w:val="000F76CB"/>
    <w:rsid w:val="0010193B"/>
    <w:rsid w:val="001042F1"/>
    <w:rsid w:val="00104B3A"/>
    <w:rsid w:val="00110D68"/>
    <w:rsid w:val="001167E4"/>
    <w:rsid w:val="00125906"/>
    <w:rsid w:val="00126050"/>
    <w:rsid w:val="0013107C"/>
    <w:rsid w:val="001310F1"/>
    <w:rsid w:val="0013245B"/>
    <w:rsid w:val="00132CF3"/>
    <w:rsid w:val="001371BC"/>
    <w:rsid w:val="00140893"/>
    <w:rsid w:val="00141B8E"/>
    <w:rsid w:val="00142563"/>
    <w:rsid w:val="001425B1"/>
    <w:rsid w:val="00144C64"/>
    <w:rsid w:val="00154821"/>
    <w:rsid w:val="00154C39"/>
    <w:rsid w:val="00155C26"/>
    <w:rsid w:val="00161801"/>
    <w:rsid w:val="00162C7F"/>
    <w:rsid w:val="00173C3D"/>
    <w:rsid w:val="00175A25"/>
    <w:rsid w:val="001809E3"/>
    <w:rsid w:val="001854FA"/>
    <w:rsid w:val="00185980"/>
    <w:rsid w:val="00185A8E"/>
    <w:rsid w:val="00186766"/>
    <w:rsid w:val="00195782"/>
    <w:rsid w:val="0019611A"/>
    <w:rsid w:val="0019645A"/>
    <w:rsid w:val="001A7BCB"/>
    <w:rsid w:val="001A7FE1"/>
    <w:rsid w:val="001B0058"/>
    <w:rsid w:val="001B1A96"/>
    <w:rsid w:val="001B1C3C"/>
    <w:rsid w:val="001B52B7"/>
    <w:rsid w:val="001C1840"/>
    <w:rsid w:val="001C1C39"/>
    <w:rsid w:val="001C676E"/>
    <w:rsid w:val="001D0FEE"/>
    <w:rsid w:val="001D11B4"/>
    <w:rsid w:val="001D24BE"/>
    <w:rsid w:val="001D24CC"/>
    <w:rsid w:val="001D2CD8"/>
    <w:rsid w:val="001D4192"/>
    <w:rsid w:val="001D619C"/>
    <w:rsid w:val="001D717E"/>
    <w:rsid w:val="001E1ABA"/>
    <w:rsid w:val="001E1DE6"/>
    <w:rsid w:val="001E31B4"/>
    <w:rsid w:val="001E545E"/>
    <w:rsid w:val="001E5F7C"/>
    <w:rsid w:val="001F0E6D"/>
    <w:rsid w:val="001F2C11"/>
    <w:rsid w:val="001F48A0"/>
    <w:rsid w:val="00200452"/>
    <w:rsid w:val="0020090A"/>
    <w:rsid w:val="0020216C"/>
    <w:rsid w:val="00204B08"/>
    <w:rsid w:val="00207566"/>
    <w:rsid w:val="00207884"/>
    <w:rsid w:val="00210113"/>
    <w:rsid w:val="00210410"/>
    <w:rsid w:val="00216362"/>
    <w:rsid w:val="002173A5"/>
    <w:rsid w:val="002203F2"/>
    <w:rsid w:val="002207C1"/>
    <w:rsid w:val="00220951"/>
    <w:rsid w:val="00221139"/>
    <w:rsid w:val="0022190D"/>
    <w:rsid w:val="00222688"/>
    <w:rsid w:val="002242E4"/>
    <w:rsid w:val="00226208"/>
    <w:rsid w:val="00226D80"/>
    <w:rsid w:val="00226FBA"/>
    <w:rsid w:val="00230CA1"/>
    <w:rsid w:val="0023138D"/>
    <w:rsid w:val="00235268"/>
    <w:rsid w:val="002400B6"/>
    <w:rsid w:val="00240854"/>
    <w:rsid w:val="002408EA"/>
    <w:rsid w:val="00242E26"/>
    <w:rsid w:val="0024342D"/>
    <w:rsid w:val="0024456C"/>
    <w:rsid w:val="00245BEC"/>
    <w:rsid w:val="00247109"/>
    <w:rsid w:val="00247E73"/>
    <w:rsid w:val="0025443E"/>
    <w:rsid w:val="00255A71"/>
    <w:rsid w:val="00257EBD"/>
    <w:rsid w:val="002604D3"/>
    <w:rsid w:val="002621A3"/>
    <w:rsid w:val="002625DB"/>
    <w:rsid w:val="002671FA"/>
    <w:rsid w:val="00271766"/>
    <w:rsid w:val="00272FE1"/>
    <w:rsid w:val="00275D14"/>
    <w:rsid w:val="002764E4"/>
    <w:rsid w:val="00277FBF"/>
    <w:rsid w:val="0028076B"/>
    <w:rsid w:val="0028241E"/>
    <w:rsid w:val="00283A2E"/>
    <w:rsid w:val="00285B67"/>
    <w:rsid w:val="00286B4A"/>
    <w:rsid w:val="002876F0"/>
    <w:rsid w:val="00290228"/>
    <w:rsid w:val="00291BC3"/>
    <w:rsid w:val="002955A2"/>
    <w:rsid w:val="00296A19"/>
    <w:rsid w:val="002979FB"/>
    <w:rsid w:val="002A2939"/>
    <w:rsid w:val="002A3D84"/>
    <w:rsid w:val="002A43CF"/>
    <w:rsid w:val="002A576D"/>
    <w:rsid w:val="002A5F0A"/>
    <w:rsid w:val="002A6A62"/>
    <w:rsid w:val="002A7B49"/>
    <w:rsid w:val="002B0D92"/>
    <w:rsid w:val="002B14B7"/>
    <w:rsid w:val="002B1FEC"/>
    <w:rsid w:val="002C1A20"/>
    <w:rsid w:val="002C1BDB"/>
    <w:rsid w:val="002C39FC"/>
    <w:rsid w:val="002C3A73"/>
    <w:rsid w:val="002C47EC"/>
    <w:rsid w:val="002D1FF0"/>
    <w:rsid w:val="002D3A65"/>
    <w:rsid w:val="002D3A6D"/>
    <w:rsid w:val="002D49BC"/>
    <w:rsid w:val="002D76CD"/>
    <w:rsid w:val="002E214E"/>
    <w:rsid w:val="002E229B"/>
    <w:rsid w:val="002E37A8"/>
    <w:rsid w:val="002E79F6"/>
    <w:rsid w:val="002F34E4"/>
    <w:rsid w:val="002F60E6"/>
    <w:rsid w:val="002F6517"/>
    <w:rsid w:val="003023F2"/>
    <w:rsid w:val="00303BA1"/>
    <w:rsid w:val="0030436D"/>
    <w:rsid w:val="00306505"/>
    <w:rsid w:val="00310E7D"/>
    <w:rsid w:val="003152DE"/>
    <w:rsid w:val="003169DC"/>
    <w:rsid w:val="0032034E"/>
    <w:rsid w:val="0032297E"/>
    <w:rsid w:val="00323ECC"/>
    <w:rsid w:val="00324271"/>
    <w:rsid w:val="00326662"/>
    <w:rsid w:val="00335EC9"/>
    <w:rsid w:val="00337D5A"/>
    <w:rsid w:val="00340992"/>
    <w:rsid w:val="0034182C"/>
    <w:rsid w:val="00342303"/>
    <w:rsid w:val="0035029C"/>
    <w:rsid w:val="00350C4A"/>
    <w:rsid w:val="00353C75"/>
    <w:rsid w:val="003555C2"/>
    <w:rsid w:val="0035573D"/>
    <w:rsid w:val="003575BC"/>
    <w:rsid w:val="003601FE"/>
    <w:rsid w:val="00361615"/>
    <w:rsid w:val="00364CF1"/>
    <w:rsid w:val="00365326"/>
    <w:rsid w:val="00367448"/>
    <w:rsid w:val="0037245C"/>
    <w:rsid w:val="0037393B"/>
    <w:rsid w:val="003740EB"/>
    <w:rsid w:val="00380285"/>
    <w:rsid w:val="00384509"/>
    <w:rsid w:val="00390E64"/>
    <w:rsid w:val="00391CC1"/>
    <w:rsid w:val="003A05AE"/>
    <w:rsid w:val="003A1281"/>
    <w:rsid w:val="003A476E"/>
    <w:rsid w:val="003B30E9"/>
    <w:rsid w:val="003B4085"/>
    <w:rsid w:val="003B491F"/>
    <w:rsid w:val="003C174B"/>
    <w:rsid w:val="003C1B95"/>
    <w:rsid w:val="003C2C9A"/>
    <w:rsid w:val="003C31A0"/>
    <w:rsid w:val="003C4B9E"/>
    <w:rsid w:val="003C4D69"/>
    <w:rsid w:val="003C543C"/>
    <w:rsid w:val="003C70C9"/>
    <w:rsid w:val="003D0F21"/>
    <w:rsid w:val="003D4629"/>
    <w:rsid w:val="003E4961"/>
    <w:rsid w:val="003E4D46"/>
    <w:rsid w:val="003E6C93"/>
    <w:rsid w:val="003F0C05"/>
    <w:rsid w:val="003F216C"/>
    <w:rsid w:val="003F3C59"/>
    <w:rsid w:val="003F66FC"/>
    <w:rsid w:val="003F68DF"/>
    <w:rsid w:val="003F713D"/>
    <w:rsid w:val="003F77F4"/>
    <w:rsid w:val="003F7CA9"/>
    <w:rsid w:val="00400C61"/>
    <w:rsid w:val="0040561C"/>
    <w:rsid w:val="00406D57"/>
    <w:rsid w:val="00407EC5"/>
    <w:rsid w:val="0041308F"/>
    <w:rsid w:val="0042018C"/>
    <w:rsid w:val="0042296D"/>
    <w:rsid w:val="00427D04"/>
    <w:rsid w:val="00431667"/>
    <w:rsid w:val="004330A3"/>
    <w:rsid w:val="00433DE5"/>
    <w:rsid w:val="004448DA"/>
    <w:rsid w:val="00446A49"/>
    <w:rsid w:val="00451302"/>
    <w:rsid w:val="00452BD2"/>
    <w:rsid w:val="00452E81"/>
    <w:rsid w:val="00455274"/>
    <w:rsid w:val="00455731"/>
    <w:rsid w:val="004558BD"/>
    <w:rsid w:val="00456964"/>
    <w:rsid w:val="00461564"/>
    <w:rsid w:val="00461A63"/>
    <w:rsid w:val="0046299D"/>
    <w:rsid w:val="004657B1"/>
    <w:rsid w:val="004708B4"/>
    <w:rsid w:val="00471C67"/>
    <w:rsid w:val="00471FD5"/>
    <w:rsid w:val="00473073"/>
    <w:rsid w:val="004732DD"/>
    <w:rsid w:val="004747BD"/>
    <w:rsid w:val="00477E9E"/>
    <w:rsid w:val="00483CE2"/>
    <w:rsid w:val="00490B64"/>
    <w:rsid w:val="0049146C"/>
    <w:rsid w:val="0049281C"/>
    <w:rsid w:val="00496D2B"/>
    <w:rsid w:val="00497703"/>
    <w:rsid w:val="004A03CE"/>
    <w:rsid w:val="004A0D55"/>
    <w:rsid w:val="004A19F2"/>
    <w:rsid w:val="004A1B6B"/>
    <w:rsid w:val="004A28BF"/>
    <w:rsid w:val="004A33AF"/>
    <w:rsid w:val="004A45BE"/>
    <w:rsid w:val="004B0AE2"/>
    <w:rsid w:val="004B4BAA"/>
    <w:rsid w:val="004B52EB"/>
    <w:rsid w:val="004B6ABD"/>
    <w:rsid w:val="004B76FC"/>
    <w:rsid w:val="004C189D"/>
    <w:rsid w:val="004C3BC3"/>
    <w:rsid w:val="004C73A6"/>
    <w:rsid w:val="004C789A"/>
    <w:rsid w:val="004D28A3"/>
    <w:rsid w:val="004D5A2F"/>
    <w:rsid w:val="004E0FC6"/>
    <w:rsid w:val="004E3EE6"/>
    <w:rsid w:val="004E7327"/>
    <w:rsid w:val="004F0498"/>
    <w:rsid w:val="004F0670"/>
    <w:rsid w:val="004F1CC0"/>
    <w:rsid w:val="00500EDF"/>
    <w:rsid w:val="00504A2E"/>
    <w:rsid w:val="00513380"/>
    <w:rsid w:val="00514316"/>
    <w:rsid w:val="00515B50"/>
    <w:rsid w:val="0051734B"/>
    <w:rsid w:val="00517BB5"/>
    <w:rsid w:val="00520D32"/>
    <w:rsid w:val="00522D94"/>
    <w:rsid w:val="005236B0"/>
    <w:rsid w:val="00527947"/>
    <w:rsid w:val="00537ECE"/>
    <w:rsid w:val="00540C39"/>
    <w:rsid w:val="00545328"/>
    <w:rsid w:val="00547DB9"/>
    <w:rsid w:val="00552422"/>
    <w:rsid w:val="00555CC2"/>
    <w:rsid w:val="00561898"/>
    <w:rsid w:val="00564897"/>
    <w:rsid w:val="00565B09"/>
    <w:rsid w:val="0056754B"/>
    <w:rsid w:val="00570C94"/>
    <w:rsid w:val="005713AC"/>
    <w:rsid w:val="00572E6C"/>
    <w:rsid w:val="005734BB"/>
    <w:rsid w:val="00581533"/>
    <w:rsid w:val="005823E6"/>
    <w:rsid w:val="00586CCB"/>
    <w:rsid w:val="00590C6C"/>
    <w:rsid w:val="00591E25"/>
    <w:rsid w:val="0059231B"/>
    <w:rsid w:val="00594434"/>
    <w:rsid w:val="00594922"/>
    <w:rsid w:val="00596845"/>
    <w:rsid w:val="005A45E9"/>
    <w:rsid w:val="005A4CA0"/>
    <w:rsid w:val="005A7E33"/>
    <w:rsid w:val="005B2D61"/>
    <w:rsid w:val="005B50DF"/>
    <w:rsid w:val="005B6731"/>
    <w:rsid w:val="005B67F8"/>
    <w:rsid w:val="005B7861"/>
    <w:rsid w:val="005C76B9"/>
    <w:rsid w:val="005C779A"/>
    <w:rsid w:val="005D55EE"/>
    <w:rsid w:val="005E1682"/>
    <w:rsid w:val="005E1F82"/>
    <w:rsid w:val="005E25EB"/>
    <w:rsid w:val="005E3EEC"/>
    <w:rsid w:val="005E777E"/>
    <w:rsid w:val="005F0373"/>
    <w:rsid w:val="005F23BD"/>
    <w:rsid w:val="005F474D"/>
    <w:rsid w:val="005F6547"/>
    <w:rsid w:val="005F744D"/>
    <w:rsid w:val="00601D09"/>
    <w:rsid w:val="0060257F"/>
    <w:rsid w:val="00603246"/>
    <w:rsid w:val="00603894"/>
    <w:rsid w:val="00603FF5"/>
    <w:rsid w:val="00604A4C"/>
    <w:rsid w:val="006058D8"/>
    <w:rsid w:val="0061012E"/>
    <w:rsid w:val="00615975"/>
    <w:rsid w:val="00615C4B"/>
    <w:rsid w:val="00616DE3"/>
    <w:rsid w:val="00616DF7"/>
    <w:rsid w:val="00617C94"/>
    <w:rsid w:val="0062161F"/>
    <w:rsid w:val="00625D1D"/>
    <w:rsid w:val="00626FB6"/>
    <w:rsid w:val="0062735F"/>
    <w:rsid w:val="00630DB2"/>
    <w:rsid w:val="00631196"/>
    <w:rsid w:val="00631E17"/>
    <w:rsid w:val="006332D6"/>
    <w:rsid w:val="00637546"/>
    <w:rsid w:val="006414C1"/>
    <w:rsid w:val="00652855"/>
    <w:rsid w:val="00654C9E"/>
    <w:rsid w:val="006555E2"/>
    <w:rsid w:val="00656E8C"/>
    <w:rsid w:val="00662EF1"/>
    <w:rsid w:val="00663BBF"/>
    <w:rsid w:val="0067160B"/>
    <w:rsid w:val="00672B6D"/>
    <w:rsid w:val="006737C9"/>
    <w:rsid w:val="00675EBF"/>
    <w:rsid w:val="00676878"/>
    <w:rsid w:val="00682E51"/>
    <w:rsid w:val="00686E5B"/>
    <w:rsid w:val="006876B6"/>
    <w:rsid w:val="00690AF2"/>
    <w:rsid w:val="00696B42"/>
    <w:rsid w:val="006A0A11"/>
    <w:rsid w:val="006A250E"/>
    <w:rsid w:val="006A46C3"/>
    <w:rsid w:val="006A53F0"/>
    <w:rsid w:val="006A7C75"/>
    <w:rsid w:val="006B0E75"/>
    <w:rsid w:val="006B144C"/>
    <w:rsid w:val="006B15F4"/>
    <w:rsid w:val="006B2E9E"/>
    <w:rsid w:val="006B49CA"/>
    <w:rsid w:val="006B5B9F"/>
    <w:rsid w:val="006B7B55"/>
    <w:rsid w:val="006C37CD"/>
    <w:rsid w:val="006C43DD"/>
    <w:rsid w:val="006C6993"/>
    <w:rsid w:val="006D0844"/>
    <w:rsid w:val="006D2DF4"/>
    <w:rsid w:val="006D3915"/>
    <w:rsid w:val="006D400E"/>
    <w:rsid w:val="006D4243"/>
    <w:rsid w:val="006D4336"/>
    <w:rsid w:val="006D5B05"/>
    <w:rsid w:val="006E034F"/>
    <w:rsid w:val="006E28F5"/>
    <w:rsid w:val="006E46A9"/>
    <w:rsid w:val="006E4B7E"/>
    <w:rsid w:val="006E5973"/>
    <w:rsid w:val="006F1EAA"/>
    <w:rsid w:val="006F6744"/>
    <w:rsid w:val="006F7B1F"/>
    <w:rsid w:val="007016F4"/>
    <w:rsid w:val="00703D92"/>
    <w:rsid w:val="00706619"/>
    <w:rsid w:val="00707FA9"/>
    <w:rsid w:val="007107FA"/>
    <w:rsid w:val="00713B6E"/>
    <w:rsid w:val="00714994"/>
    <w:rsid w:val="007218D5"/>
    <w:rsid w:val="00721E01"/>
    <w:rsid w:val="00723461"/>
    <w:rsid w:val="00724CA9"/>
    <w:rsid w:val="007315A7"/>
    <w:rsid w:val="00732A96"/>
    <w:rsid w:val="00733B2F"/>
    <w:rsid w:val="00734308"/>
    <w:rsid w:val="007346C7"/>
    <w:rsid w:val="0073529F"/>
    <w:rsid w:val="00737E1A"/>
    <w:rsid w:val="007420A3"/>
    <w:rsid w:val="00743842"/>
    <w:rsid w:val="007451F4"/>
    <w:rsid w:val="00746B69"/>
    <w:rsid w:val="007509BA"/>
    <w:rsid w:val="00750A0C"/>
    <w:rsid w:val="007519D1"/>
    <w:rsid w:val="00751E6A"/>
    <w:rsid w:val="00752424"/>
    <w:rsid w:val="00753ADF"/>
    <w:rsid w:val="00764DF2"/>
    <w:rsid w:val="0077032B"/>
    <w:rsid w:val="00774E8A"/>
    <w:rsid w:val="0077726C"/>
    <w:rsid w:val="00781BE2"/>
    <w:rsid w:val="007830A2"/>
    <w:rsid w:val="007856E4"/>
    <w:rsid w:val="007871E0"/>
    <w:rsid w:val="00791323"/>
    <w:rsid w:val="00794F77"/>
    <w:rsid w:val="00796CE7"/>
    <w:rsid w:val="007A2AFF"/>
    <w:rsid w:val="007A56CC"/>
    <w:rsid w:val="007A655D"/>
    <w:rsid w:val="007A7C56"/>
    <w:rsid w:val="007B44D7"/>
    <w:rsid w:val="007B4BBD"/>
    <w:rsid w:val="007B59AD"/>
    <w:rsid w:val="007B5E03"/>
    <w:rsid w:val="007C01D4"/>
    <w:rsid w:val="007C3006"/>
    <w:rsid w:val="007C419E"/>
    <w:rsid w:val="007D05D8"/>
    <w:rsid w:val="007D4105"/>
    <w:rsid w:val="007D5D44"/>
    <w:rsid w:val="007E0773"/>
    <w:rsid w:val="007E3036"/>
    <w:rsid w:val="007E677A"/>
    <w:rsid w:val="007F11E7"/>
    <w:rsid w:val="007F6A15"/>
    <w:rsid w:val="007F7075"/>
    <w:rsid w:val="0080056D"/>
    <w:rsid w:val="008019D6"/>
    <w:rsid w:val="00804B65"/>
    <w:rsid w:val="00805BB0"/>
    <w:rsid w:val="008101CD"/>
    <w:rsid w:val="00811780"/>
    <w:rsid w:val="00811EB9"/>
    <w:rsid w:val="008143B4"/>
    <w:rsid w:val="00814C0E"/>
    <w:rsid w:val="00815421"/>
    <w:rsid w:val="00815704"/>
    <w:rsid w:val="00820BD8"/>
    <w:rsid w:val="008214D3"/>
    <w:rsid w:val="008236D1"/>
    <w:rsid w:val="008236E8"/>
    <w:rsid w:val="00823916"/>
    <w:rsid w:val="00826DF4"/>
    <w:rsid w:val="00831A53"/>
    <w:rsid w:val="00834222"/>
    <w:rsid w:val="008423C7"/>
    <w:rsid w:val="00842D26"/>
    <w:rsid w:val="00846B63"/>
    <w:rsid w:val="00850008"/>
    <w:rsid w:val="0085052E"/>
    <w:rsid w:val="00857F9D"/>
    <w:rsid w:val="00861924"/>
    <w:rsid w:val="00862E3D"/>
    <w:rsid w:val="00867707"/>
    <w:rsid w:val="00867C37"/>
    <w:rsid w:val="0087089E"/>
    <w:rsid w:val="00870B81"/>
    <w:rsid w:val="00875B8D"/>
    <w:rsid w:val="008800F3"/>
    <w:rsid w:val="00880C22"/>
    <w:rsid w:val="00882007"/>
    <w:rsid w:val="008824BB"/>
    <w:rsid w:val="008849EC"/>
    <w:rsid w:val="008918AF"/>
    <w:rsid w:val="00892E62"/>
    <w:rsid w:val="0089316B"/>
    <w:rsid w:val="00893F15"/>
    <w:rsid w:val="008A12A2"/>
    <w:rsid w:val="008A4BE6"/>
    <w:rsid w:val="008A692F"/>
    <w:rsid w:val="008A6BB5"/>
    <w:rsid w:val="008B5896"/>
    <w:rsid w:val="008B5E05"/>
    <w:rsid w:val="008B7F13"/>
    <w:rsid w:val="008D0F6F"/>
    <w:rsid w:val="008D1BF4"/>
    <w:rsid w:val="008D36A9"/>
    <w:rsid w:val="008E0FCC"/>
    <w:rsid w:val="008E1820"/>
    <w:rsid w:val="008E54A7"/>
    <w:rsid w:val="008E5720"/>
    <w:rsid w:val="008F0229"/>
    <w:rsid w:val="008F0888"/>
    <w:rsid w:val="008F38C3"/>
    <w:rsid w:val="008F3CCE"/>
    <w:rsid w:val="008F6413"/>
    <w:rsid w:val="008F68C1"/>
    <w:rsid w:val="008F6AD0"/>
    <w:rsid w:val="00912051"/>
    <w:rsid w:val="00920403"/>
    <w:rsid w:val="0092208D"/>
    <w:rsid w:val="009232F8"/>
    <w:rsid w:val="00924255"/>
    <w:rsid w:val="00924D7A"/>
    <w:rsid w:val="00932F6F"/>
    <w:rsid w:val="00933192"/>
    <w:rsid w:val="009338EF"/>
    <w:rsid w:val="009350B8"/>
    <w:rsid w:val="009361BC"/>
    <w:rsid w:val="00937612"/>
    <w:rsid w:val="00937E12"/>
    <w:rsid w:val="00941A10"/>
    <w:rsid w:val="009467C9"/>
    <w:rsid w:val="00946F28"/>
    <w:rsid w:val="00947B12"/>
    <w:rsid w:val="009521AE"/>
    <w:rsid w:val="009523E5"/>
    <w:rsid w:val="009527B1"/>
    <w:rsid w:val="00953B9D"/>
    <w:rsid w:val="00957DC8"/>
    <w:rsid w:val="00962C0C"/>
    <w:rsid w:val="00963D40"/>
    <w:rsid w:val="00965CA0"/>
    <w:rsid w:val="00970794"/>
    <w:rsid w:val="00971C75"/>
    <w:rsid w:val="0098361B"/>
    <w:rsid w:val="00985D9E"/>
    <w:rsid w:val="00992E5C"/>
    <w:rsid w:val="00994069"/>
    <w:rsid w:val="0099512C"/>
    <w:rsid w:val="00995ED6"/>
    <w:rsid w:val="00996487"/>
    <w:rsid w:val="009968C8"/>
    <w:rsid w:val="009A0F60"/>
    <w:rsid w:val="009B039F"/>
    <w:rsid w:val="009B1E83"/>
    <w:rsid w:val="009B3033"/>
    <w:rsid w:val="009C3D81"/>
    <w:rsid w:val="009C45AE"/>
    <w:rsid w:val="009C4F26"/>
    <w:rsid w:val="009C6803"/>
    <w:rsid w:val="009D0721"/>
    <w:rsid w:val="009D0E04"/>
    <w:rsid w:val="009D1DD0"/>
    <w:rsid w:val="009D2C31"/>
    <w:rsid w:val="009E04A4"/>
    <w:rsid w:val="009E27BA"/>
    <w:rsid w:val="009E449C"/>
    <w:rsid w:val="009E4B46"/>
    <w:rsid w:val="009E589E"/>
    <w:rsid w:val="009E6420"/>
    <w:rsid w:val="009F0C47"/>
    <w:rsid w:val="009F0CC6"/>
    <w:rsid w:val="009F35D5"/>
    <w:rsid w:val="009F3B9F"/>
    <w:rsid w:val="009F456E"/>
    <w:rsid w:val="009F5350"/>
    <w:rsid w:val="009F63FF"/>
    <w:rsid w:val="00A05A49"/>
    <w:rsid w:val="00A06E0E"/>
    <w:rsid w:val="00A115A3"/>
    <w:rsid w:val="00A11A3E"/>
    <w:rsid w:val="00A124A3"/>
    <w:rsid w:val="00A1352E"/>
    <w:rsid w:val="00A14644"/>
    <w:rsid w:val="00A15F95"/>
    <w:rsid w:val="00A17365"/>
    <w:rsid w:val="00A2013C"/>
    <w:rsid w:val="00A30AE4"/>
    <w:rsid w:val="00A327E9"/>
    <w:rsid w:val="00A335C0"/>
    <w:rsid w:val="00A336CE"/>
    <w:rsid w:val="00A33B22"/>
    <w:rsid w:val="00A377C1"/>
    <w:rsid w:val="00A4007B"/>
    <w:rsid w:val="00A46954"/>
    <w:rsid w:val="00A61089"/>
    <w:rsid w:val="00A6135B"/>
    <w:rsid w:val="00A63527"/>
    <w:rsid w:val="00A645BB"/>
    <w:rsid w:val="00A65A91"/>
    <w:rsid w:val="00A666E3"/>
    <w:rsid w:val="00A6795A"/>
    <w:rsid w:val="00A70EBA"/>
    <w:rsid w:val="00A73BCB"/>
    <w:rsid w:val="00A84C1A"/>
    <w:rsid w:val="00A86362"/>
    <w:rsid w:val="00A90EF0"/>
    <w:rsid w:val="00A9194E"/>
    <w:rsid w:val="00A9479F"/>
    <w:rsid w:val="00A952A8"/>
    <w:rsid w:val="00AA40A1"/>
    <w:rsid w:val="00AA4561"/>
    <w:rsid w:val="00AA4CD6"/>
    <w:rsid w:val="00AB2DE0"/>
    <w:rsid w:val="00AB555D"/>
    <w:rsid w:val="00AC09DF"/>
    <w:rsid w:val="00AC305C"/>
    <w:rsid w:val="00AC30A5"/>
    <w:rsid w:val="00AC35B5"/>
    <w:rsid w:val="00AC7D05"/>
    <w:rsid w:val="00AD1BEA"/>
    <w:rsid w:val="00AD1D11"/>
    <w:rsid w:val="00AD2B81"/>
    <w:rsid w:val="00AD3A58"/>
    <w:rsid w:val="00AD506D"/>
    <w:rsid w:val="00AE47DA"/>
    <w:rsid w:val="00AE4EA9"/>
    <w:rsid w:val="00AE77F0"/>
    <w:rsid w:val="00AF03CE"/>
    <w:rsid w:val="00AF2235"/>
    <w:rsid w:val="00AF2781"/>
    <w:rsid w:val="00AF2BF5"/>
    <w:rsid w:val="00AF4FC9"/>
    <w:rsid w:val="00AF6086"/>
    <w:rsid w:val="00B006E3"/>
    <w:rsid w:val="00B032D0"/>
    <w:rsid w:val="00B0405C"/>
    <w:rsid w:val="00B0514D"/>
    <w:rsid w:val="00B059CE"/>
    <w:rsid w:val="00B07EB1"/>
    <w:rsid w:val="00B12668"/>
    <w:rsid w:val="00B12855"/>
    <w:rsid w:val="00B150BB"/>
    <w:rsid w:val="00B1647B"/>
    <w:rsid w:val="00B23F55"/>
    <w:rsid w:val="00B25546"/>
    <w:rsid w:val="00B27BA8"/>
    <w:rsid w:val="00B27F46"/>
    <w:rsid w:val="00B326F1"/>
    <w:rsid w:val="00B33A91"/>
    <w:rsid w:val="00B34845"/>
    <w:rsid w:val="00B36DCD"/>
    <w:rsid w:val="00B41B28"/>
    <w:rsid w:val="00B4445C"/>
    <w:rsid w:val="00B45899"/>
    <w:rsid w:val="00B45AE3"/>
    <w:rsid w:val="00B47F7E"/>
    <w:rsid w:val="00B50343"/>
    <w:rsid w:val="00B50842"/>
    <w:rsid w:val="00B56008"/>
    <w:rsid w:val="00B61841"/>
    <w:rsid w:val="00B706A9"/>
    <w:rsid w:val="00B711FB"/>
    <w:rsid w:val="00B81142"/>
    <w:rsid w:val="00B8323D"/>
    <w:rsid w:val="00B901EC"/>
    <w:rsid w:val="00B93084"/>
    <w:rsid w:val="00B940D8"/>
    <w:rsid w:val="00B959EA"/>
    <w:rsid w:val="00BA06A2"/>
    <w:rsid w:val="00BA2763"/>
    <w:rsid w:val="00BA3540"/>
    <w:rsid w:val="00BA47E1"/>
    <w:rsid w:val="00BA7984"/>
    <w:rsid w:val="00BB0DD2"/>
    <w:rsid w:val="00BB4D45"/>
    <w:rsid w:val="00BB7E17"/>
    <w:rsid w:val="00BC3FF8"/>
    <w:rsid w:val="00BC5C04"/>
    <w:rsid w:val="00BC5FA8"/>
    <w:rsid w:val="00BC622C"/>
    <w:rsid w:val="00BD2089"/>
    <w:rsid w:val="00BD5805"/>
    <w:rsid w:val="00BD671B"/>
    <w:rsid w:val="00BE2FD6"/>
    <w:rsid w:val="00BE3611"/>
    <w:rsid w:val="00BE5438"/>
    <w:rsid w:val="00BE7F0B"/>
    <w:rsid w:val="00BF07A6"/>
    <w:rsid w:val="00BF293D"/>
    <w:rsid w:val="00BF43F8"/>
    <w:rsid w:val="00C017E6"/>
    <w:rsid w:val="00C02209"/>
    <w:rsid w:val="00C02F1E"/>
    <w:rsid w:val="00C0359E"/>
    <w:rsid w:val="00C04914"/>
    <w:rsid w:val="00C04A22"/>
    <w:rsid w:val="00C05435"/>
    <w:rsid w:val="00C05CE5"/>
    <w:rsid w:val="00C10415"/>
    <w:rsid w:val="00C12F38"/>
    <w:rsid w:val="00C135C9"/>
    <w:rsid w:val="00C1765A"/>
    <w:rsid w:val="00C20430"/>
    <w:rsid w:val="00C2316C"/>
    <w:rsid w:val="00C2387A"/>
    <w:rsid w:val="00C23C1F"/>
    <w:rsid w:val="00C23D8F"/>
    <w:rsid w:val="00C27987"/>
    <w:rsid w:val="00C279EE"/>
    <w:rsid w:val="00C27D9C"/>
    <w:rsid w:val="00C35592"/>
    <w:rsid w:val="00C37518"/>
    <w:rsid w:val="00C3781B"/>
    <w:rsid w:val="00C405EE"/>
    <w:rsid w:val="00C42B94"/>
    <w:rsid w:val="00C44470"/>
    <w:rsid w:val="00C44575"/>
    <w:rsid w:val="00C44F06"/>
    <w:rsid w:val="00C46A94"/>
    <w:rsid w:val="00C512B2"/>
    <w:rsid w:val="00C51EC0"/>
    <w:rsid w:val="00C602D9"/>
    <w:rsid w:val="00C652B2"/>
    <w:rsid w:val="00C66EF5"/>
    <w:rsid w:val="00C70AA7"/>
    <w:rsid w:val="00C76DA4"/>
    <w:rsid w:val="00C77D82"/>
    <w:rsid w:val="00C8104E"/>
    <w:rsid w:val="00C879B8"/>
    <w:rsid w:val="00C87C37"/>
    <w:rsid w:val="00C91D71"/>
    <w:rsid w:val="00CA6C28"/>
    <w:rsid w:val="00CB001A"/>
    <w:rsid w:val="00CB1456"/>
    <w:rsid w:val="00CB2FEE"/>
    <w:rsid w:val="00CB51C6"/>
    <w:rsid w:val="00CB70FD"/>
    <w:rsid w:val="00CB7B20"/>
    <w:rsid w:val="00CC433F"/>
    <w:rsid w:val="00CC5220"/>
    <w:rsid w:val="00CD694A"/>
    <w:rsid w:val="00CD699D"/>
    <w:rsid w:val="00CD7DC0"/>
    <w:rsid w:val="00CE089D"/>
    <w:rsid w:val="00CE1EB7"/>
    <w:rsid w:val="00CE22BB"/>
    <w:rsid w:val="00CE2BF8"/>
    <w:rsid w:val="00CE4F03"/>
    <w:rsid w:val="00CE79DE"/>
    <w:rsid w:val="00CF0C20"/>
    <w:rsid w:val="00CF12B8"/>
    <w:rsid w:val="00CF1FED"/>
    <w:rsid w:val="00CF547B"/>
    <w:rsid w:val="00CF5C58"/>
    <w:rsid w:val="00CF75AB"/>
    <w:rsid w:val="00D00736"/>
    <w:rsid w:val="00D022DB"/>
    <w:rsid w:val="00D02F22"/>
    <w:rsid w:val="00D06A2B"/>
    <w:rsid w:val="00D11F43"/>
    <w:rsid w:val="00D156F5"/>
    <w:rsid w:val="00D30F7A"/>
    <w:rsid w:val="00D33A72"/>
    <w:rsid w:val="00D36EB0"/>
    <w:rsid w:val="00D37BED"/>
    <w:rsid w:val="00D4086F"/>
    <w:rsid w:val="00D4127B"/>
    <w:rsid w:val="00D41D05"/>
    <w:rsid w:val="00D41FB9"/>
    <w:rsid w:val="00D42E0E"/>
    <w:rsid w:val="00D43CFF"/>
    <w:rsid w:val="00D514F2"/>
    <w:rsid w:val="00D5299F"/>
    <w:rsid w:val="00D552FF"/>
    <w:rsid w:val="00D55499"/>
    <w:rsid w:val="00D61909"/>
    <w:rsid w:val="00D634B3"/>
    <w:rsid w:val="00D65E42"/>
    <w:rsid w:val="00D70298"/>
    <w:rsid w:val="00D7122D"/>
    <w:rsid w:val="00D725B1"/>
    <w:rsid w:val="00D74A85"/>
    <w:rsid w:val="00D7514E"/>
    <w:rsid w:val="00D76272"/>
    <w:rsid w:val="00D76B22"/>
    <w:rsid w:val="00D80DBD"/>
    <w:rsid w:val="00D81DC7"/>
    <w:rsid w:val="00D82E95"/>
    <w:rsid w:val="00D85152"/>
    <w:rsid w:val="00D859E2"/>
    <w:rsid w:val="00D87B14"/>
    <w:rsid w:val="00D91062"/>
    <w:rsid w:val="00D9333B"/>
    <w:rsid w:val="00D937EF"/>
    <w:rsid w:val="00D94FDA"/>
    <w:rsid w:val="00D95476"/>
    <w:rsid w:val="00D9655A"/>
    <w:rsid w:val="00DA1268"/>
    <w:rsid w:val="00DA3198"/>
    <w:rsid w:val="00DA79C4"/>
    <w:rsid w:val="00DA7D19"/>
    <w:rsid w:val="00DB0AE7"/>
    <w:rsid w:val="00DB34F9"/>
    <w:rsid w:val="00DB3830"/>
    <w:rsid w:val="00DC0100"/>
    <w:rsid w:val="00DC0295"/>
    <w:rsid w:val="00DC5EA4"/>
    <w:rsid w:val="00DD209D"/>
    <w:rsid w:val="00DD3CFB"/>
    <w:rsid w:val="00DD4664"/>
    <w:rsid w:val="00DD6328"/>
    <w:rsid w:val="00DE01B9"/>
    <w:rsid w:val="00DE3934"/>
    <w:rsid w:val="00DF0417"/>
    <w:rsid w:val="00DF2125"/>
    <w:rsid w:val="00DF2E64"/>
    <w:rsid w:val="00DF465B"/>
    <w:rsid w:val="00DF5928"/>
    <w:rsid w:val="00DF6BEC"/>
    <w:rsid w:val="00E008AE"/>
    <w:rsid w:val="00E0232F"/>
    <w:rsid w:val="00E07279"/>
    <w:rsid w:val="00E10179"/>
    <w:rsid w:val="00E1791A"/>
    <w:rsid w:val="00E17AA1"/>
    <w:rsid w:val="00E22E91"/>
    <w:rsid w:val="00E33025"/>
    <w:rsid w:val="00E345AA"/>
    <w:rsid w:val="00E360A2"/>
    <w:rsid w:val="00E36E49"/>
    <w:rsid w:val="00E42910"/>
    <w:rsid w:val="00E43E5F"/>
    <w:rsid w:val="00E45471"/>
    <w:rsid w:val="00E45789"/>
    <w:rsid w:val="00E46313"/>
    <w:rsid w:val="00E474F5"/>
    <w:rsid w:val="00E56A15"/>
    <w:rsid w:val="00E60228"/>
    <w:rsid w:val="00E61173"/>
    <w:rsid w:val="00E61580"/>
    <w:rsid w:val="00E6261D"/>
    <w:rsid w:val="00E6418B"/>
    <w:rsid w:val="00E6666D"/>
    <w:rsid w:val="00E66C80"/>
    <w:rsid w:val="00E70769"/>
    <w:rsid w:val="00E7168C"/>
    <w:rsid w:val="00E71B36"/>
    <w:rsid w:val="00E749B8"/>
    <w:rsid w:val="00E74A46"/>
    <w:rsid w:val="00E76026"/>
    <w:rsid w:val="00E80413"/>
    <w:rsid w:val="00E80947"/>
    <w:rsid w:val="00E853C0"/>
    <w:rsid w:val="00E86C63"/>
    <w:rsid w:val="00E93A00"/>
    <w:rsid w:val="00E9624F"/>
    <w:rsid w:val="00E965D8"/>
    <w:rsid w:val="00E977DB"/>
    <w:rsid w:val="00EA0DDC"/>
    <w:rsid w:val="00EA2DE3"/>
    <w:rsid w:val="00EA698B"/>
    <w:rsid w:val="00EA7649"/>
    <w:rsid w:val="00EB05CB"/>
    <w:rsid w:val="00EB1993"/>
    <w:rsid w:val="00EB42F3"/>
    <w:rsid w:val="00EB446E"/>
    <w:rsid w:val="00EB5279"/>
    <w:rsid w:val="00EC4FCC"/>
    <w:rsid w:val="00EC7D82"/>
    <w:rsid w:val="00ED6087"/>
    <w:rsid w:val="00ED7243"/>
    <w:rsid w:val="00EE01C3"/>
    <w:rsid w:val="00EE0F2B"/>
    <w:rsid w:val="00EE2EBF"/>
    <w:rsid w:val="00EE329A"/>
    <w:rsid w:val="00EE44B3"/>
    <w:rsid w:val="00EE6377"/>
    <w:rsid w:val="00EE6A19"/>
    <w:rsid w:val="00EE7AC1"/>
    <w:rsid w:val="00EF050D"/>
    <w:rsid w:val="00EF0515"/>
    <w:rsid w:val="00EF0687"/>
    <w:rsid w:val="00EF0A35"/>
    <w:rsid w:val="00EF4793"/>
    <w:rsid w:val="00EF7DBA"/>
    <w:rsid w:val="00F004A0"/>
    <w:rsid w:val="00F03603"/>
    <w:rsid w:val="00F042C9"/>
    <w:rsid w:val="00F06CDC"/>
    <w:rsid w:val="00F074A1"/>
    <w:rsid w:val="00F077CC"/>
    <w:rsid w:val="00F10103"/>
    <w:rsid w:val="00F11F42"/>
    <w:rsid w:val="00F123E0"/>
    <w:rsid w:val="00F130BE"/>
    <w:rsid w:val="00F14717"/>
    <w:rsid w:val="00F15007"/>
    <w:rsid w:val="00F15AC7"/>
    <w:rsid w:val="00F215A1"/>
    <w:rsid w:val="00F23BA6"/>
    <w:rsid w:val="00F26A3E"/>
    <w:rsid w:val="00F26A8C"/>
    <w:rsid w:val="00F30026"/>
    <w:rsid w:val="00F3100D"/>
    <w:rsid w:val="00F31F2C"/>
    <w:rsid w:val="00F35E90"/>
    <w:rsid w:val="00F35FDA"/>
    <w:rsid w:val="00F374B2"/>
    <w:rsid w:val="00F40765"/>
    <w:rsid w:val="00F41246"/>
    <w:rsid w:val="00F43204"/>
    <w:rsid w:val="00F43AAA"/>
    <w:rsid w:val="00F462E9"/>
    <w:rsid w:val="00F51561"/>
    <w:rsid w:val="00F53915"/>
    <w:rsid w:val="00F6175E"/>
    <w:rsid w:val="00F61810"/>
    <w:rsid w:val="00F64A56"/>
    <w:rsid w:val="00F66F28"/>
    <w:rsid w:val="00F72125"/>
    <w:rsid w:val="00F74088"/>
    <w:rsid w:val="00F766C1"/>
    <w:rsid w:val="00F8264C"/>
    <w:rsid w:val="00F82757"/>
    <w:rsid w:val="00F82FDB"/>
    <w:rsid w:val="00F83D5A"/>
    <w:rsid w:val="00F92D58"/>
    <w:rsid w:val="00F96449"/>
    <w:rsid w:val="00F96F88"/>
    <w:rsid w:val="00F9713A"/>
    <w:rsid w:val="00FA447F"/>
    <w:rsid w:val="00FA463A"/>
    <w:rsid w:val="00FA57DC"/>
    <w:rsid w:val="00FA7ABA"/>
    <w:rsid w:val="00FB42F1"/>
    <w:rsid w:val="00FB4FC1"/>
    <w:rsid w:val="00FC3FAF"/>
    <w:rsid w:val="00FD2BDC"/>
    <w:rsid w:val="00FD4832"/>
    <w:rsid w:val="00FD68EB"/>
    <w:rsid w:val="00FE228B"/>
    <w:rsid w:val="00FE2918"/>
    <w:rsid w:val="00FE6409"/>
    <w:rsid w:val="00FE6885"/>
    <w:rsid w:val="00FF092B"/>
    <w:rsid w:val="00FF119C"/>
    <w:rsid w:val="00FF2CA0"/>
    <w:rsid w:val="00FF6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AB66F"/>
  <w15:chartTrackingRefBased/>
  <w15:docId w15:val="{F75242BA-D360-4741-A93E-1E71A7C7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6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link w:val="Heading4Char"/>
    <w:uiPriority w:val="9"/>
    <w:qFormat/>
    <w:rsid w:val="00734308"/>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844"/>
    <w:pPr>
      <w:ind w:left="720"/>
      <w:contextualSpacing/>
    </w:pPr>
  </w:style>
  <w:style w:type="character" w:styleId="Hyperlink">
    <w:name w:val="Hyperlink"/>
    <w:basedOn w:val="DefaultParagraphFont"/>
    <w:uiPriority w:val="99"/>
    <w:unhideWhenUsed/>
    <w:rsid w:val="00E33025"/>
    <w:rPr>
      <w:color w:val="0563C1" w:themeColor="hyperlink"/>
      <w:u w:val="single"/>
    </w:rPr>
  </w:style>
  <w:style w:type="character" w:styleId="UnresolvedMention">
    <w:name w:val="Unresolved Mention"/>
    <w:basedOn w:val="DefaultParagraphFont"/>
    <w:uiPriority w:val="99"/>
    <w:semiHidden/>
    <w:unhideWhenUsed/>
    <w:rsid w:val="00E33025"/>
    <w:rPr>
      <w:color w:val="605E5C"/>
      <w:shd w:val="clear" w:color="auto" w:fill="E1DFDD"/>
    </w:rPr>
  </w:style>
  <w:style w:type="character" w:styleId="FollowedHyperlink">
    <w:name w:val="FollowedHyperlink"/>
    <w:basedOn w:val="DefaultParagraphFont"/>
    <w:uiPriority w:val="99"/>
    <w:semiHidden/>
    <w:unhideWhenUsed/>
    <w:rsid w:val="002876F0"/>
    <w:rPr>
      <w:color w:val="954F72" w:themeColor="followedHyperlink"/>
      <w:u w:val="single"/>
    </w:rPr>
  </w:style>
  <w:style w:type="character" w:customStyle="1" w:styleId="Heading4Char">
    <w:name w:val="Heading 4 Char"/>
    <w:basedOn w:val="DefaultParagraphFont"/>
    <w:link w:val="Heading4"/>
    <w:uiPriority w:val="9"/>
    <w:rsid w:val="00734308"/>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7343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2E214E"/>
    <w:rPr>
      <w:sz w:val="16"/>
      <w:szCs w:val="16"/>
    </w:rPr>
  </w:style>
  <w:style w:type="paragraph" w:styleId="CommentText">
    <w:name w:val="annotation text"/>
    <w:basedOn w:val="Normal"/>
    <w:link w:val="CommentTextChar"/>
    <w:uiPriority w:val="99"/>
    <w:unhideWhenUsed/>
    <w:rsid w:val="002E214E"/>
    <w:pPr>
      <w:spacing w:line="240" w:lineRule="auto"/>
    </w:pPr>
    <w:rPr>
      <w:sz w:val="20"/>
      <w:szCs w:val="20"/>
    </w:rPr>
  </w:style>
  <w:style w:type="character" w:customStyle="1" w:styleId="CommentTextChar">
    <w:name w:val="Comment Text Char"/>
    <w:basedOn w:val="DefaultParagraphFont"/>
    <w:link w:val="CommentText"/>
    <w:uiPriority w:val="99"/>
    <w:rsid w:val="002E214E"/>
    <w:rPr>
      <w:sz w:val="20"/>
      <w:szCs w:val="20"/>
    </w:rPr>
  </w:style>
  <w:style w:type="paragraph" w:styleId="CommentSubject">
    <w:name w:val="annotation subject"/>
    <w:basedOn w:val="CommentText"/>
    <w:next w:val="CommentText"/>
    <w:link w:val="CommentSubjectChar"/>
    <w:uiPriority w:val="99"/>
    <w:semiHidden/>
    <w:unhideWhenUsed/>
    <w:rsid w:val="002E214E"/>
    <w:rPr>
      <w:b/>
      <w:bCs/>
    </w:rPr>
  </w:style>
  <w:style w:type="character" w:customStyle="1" w:styleId="CommentSubjectChar">
    <w:name w:val="Comment Subject Char"/>
    <w:basedOn w:val="CommentTextChar"/>
    <w:link w:val="CommentSubject"/>
    <w:uiPriority w:val="99"/>
    <w:semiHidden/>
    <w:rsid w:val="002E214E"/>
    <w:rPr>
      <w:b/>
      <w:bCs/>
      <w:sz w:val="20"/>
      <w:szCs w:val="20"/>
    </w:rPr>
  </w:style>
  <w:style w:type="character" w:customStyle="1" w:styleId="bkciteavail">
    <w:name w:val="bk_cite_avail"/>
    <w:basedOn w:val="DefaultParagraphFont"/>
    <w:rsid w:val="008E0FCC"/>
  </w:style>
  <w:style w:type="table" w:styleId="TableGrid">
    <w:name w:val="Table Grid"/>
    <w:basedOn w:val="TableNormal"/>
    <w:uiPriority w:val="39"/>
    <w:rsid w:val="007016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F074A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074A1"/>
    <w:rPr>
      <w:sz w:val="20"/>
      <w:szCs w:val="20"/>
    </w:rPr>
  </w:style>
  <w:style w:type="character" w:styleId="EndnoteReference">
    <w:name w:val="endnote reference"/>
    <w:basedOn w:val="DefaultParagraphFont"/>
    <w:uiPriority w:val="99"/>
    <w:unhideWhenUsed/>
    <w:rsid w:val="00F074A1"/>
    <w:rPr>
      <w:vertAlign w:val="superscript"/>
    </w:rPr>
  </w:style>
  <w:style w:type="character" w:customStyle="1" w:styleId="element-citation">
    <w:name w:val="element-citation"/>
    <w:basedOn w:val="DefaultParagraphFont"/>
    <w:rsid w:val="00713B6E"/>
  </w:style>
  <w:style w:type="character" w:customStyle="1" w:styleId="ref-journal">
    <w:name w:val="ref-journal"/>
    <w:basedOn w:val="DefaultParagraphFont"/>
    <w:rsid w:val="00713B6E"/>
  </w:style>
  <w:style w:type="character" w:customStyle="1" w:styleId="Heading1Char">
    <w:name w:val="Heading 1 Char"/>
    <w:basedOn w:val="DefaultParagraphFont"/>
    <w:link w:val="Heading1"/>
    <w:uiPriority w:val="9"/>
    <w:rsid w:val="0062161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854365">
      <w:bodyDiv w:val="1"/>
      <w:marLeft w:val="0"/>
      <w:marRight w:val="0"/>
      <w:marTop w:val="0"/>
      <w:marBottom w:val="0"/>
      <w:divBdr>
        <w:top w:val="none" w:sz="0" w:space="0" w:color="auto"/>
        <w:left w:val="none" w:sz="0" w:space="0" w:color="auto"/>
        <w:bottom w:val="none" w:sz="0" w:space="0" w:color="auto"/>
        <w:right w:val="none" w:sz="0" w:space="0" w:color="auto"/>
      </w:divBdr>
    </w:div>
    <w:div w:id="1276670523">
      <w:bodyDiv w:val="1"/>
      <w:marLeft w:val="0"/>
      <w:marRight w:val="0"/>
      <w:marTop w:val="0"/>
      <w:marBottom w:val="0"/>
      <w:divBdr>
        <w:top w:val="none" w:sz="0" w:space="0" w:color="auto"/>
        <w:left w:val="none" w:sz="0" w:space="0" w:color="auto"/>
        <w:bottom w:val="none" w:sz="0" w:space="0" w:color="auto"/>
        <w:right w:val="none" w:sz="0" w:space="0" w:color="auto"/>
      </w:divBdr>
    </w:div>
    <w:div w:id="1345280641">
      <w:bodyDiv w:val="1"/>
      <w:marLeft w:val="0"/>
      <w:marRight w:val="0"/>
      <w:marTop w:val="0"/>
      <w:marBottom w:val="0"/>
      <w:divBdr>
        <w:top w:val="none" w:sz="0" w:space="0" w:color="auto"/>
        <w:left w:val="none" w:sz="0" w:space="0" w:color="auto"/>
        <w:bottom w:val="none" w:sz="0" w:space="0" w:color="auto"/>
        <w:right w:val="none" w:sz="0" w:space="0" w:color="auto"/>
      </w:divBdr>
    </w:div>
    <w:div w:id="142399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www.bonehealthandosteoporosis.org/news/bone-health-and-osteoporosis-foundations-updated-clinicians-guide-to-prevention-and-treatment-of-osteoporosis-is-now-available/"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iscd.org/learn/resources/bmc-patient-intake-questionnaire/" TargetMode="External"/><Relationship Id="rId10" Type="http://schemas.microsoft.com/office/2016/09/relationships/commentsIds" Target="commentsIds.xml"/><Relationship Id="rId19" Type="http://schemas.openxmlformats.org/officeDocument/2006/relationships/customXml" Target="../customXml/item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endnotes.xml.rels><?xml version="1.0" encoding="UTF-8" standalone="yes"?>
<Relationships xmlns="http://schemas.openxmlformats.org/package/2006/relationships"><Relationship Id="rId3" Type="http://schemas.openxmlformats.org/officeDocument/2006/relationships/hyperlink" Target="https://www.osteoporosis.foundation/health-professionals/fragility-fractures" TargetMode="External"/><Relationship Id="rId2" Type="http://schemas.openxmlformats.org/officeDocument/2006/relationships/hyperlink" Target="https://www.bonehealthandosteoporosis.org/wp-content/uploads/Osteoporosis-Fast-Facts-2.pdf" TargetMode="External"/><Relationship Id="rId1" Type="http://schemas.openxmlformats.org/officeDocument/2006/relationships/hyperlink" Target="https://www.ncbi.nlm.nih.gov/books/NBK441901/" TargetMode="External"/><Relationship Id="rId6" Type="http://schemas.openxmlformats.org/officeDocument/2006/relationships/hyperlink" Target="https://radiopaedia.org/articles/dual-energy-x-ray-absorptiometry-1?lang=us" TargetMode="External"/><Relationship Id="rId5" Type="http://schemas.openxmlformats.org/officeDocument/2006/relationships/hyperlink" Target="https://iscd.org/incorrect-hologic-hip-analysis/" TargetMode="External"/><Relationship Id="rId4" Type="http://schemas.openxmlformats.org/officeDocument/2006/relationships/hyperlink" Target="https://iscd.org/official-positions-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0" ma:contentTypeDescription="Create a new document." ma:contentTypeScope="" ma:versionID="a70d752b5573e9dbc524143a87644473">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ff197690aa62f8f497b79f106cd77beb"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33A3ADE-4424-4AA7-B01F-9D88E8D5DBAE}">
  <ds:schemaRefs>
    <ds:schemaRef ds:uri="http://schemas.openxmlformats.org/officeDocument/2006/bibliography"/>
  </ds:schemaRefs>
</ds:datastoreItem>
</file>

<file path=customXml/itemProps2.xml><?xml version="1.0" encoding="utf-8"?>
<ds:datastoreItem xmlns:ds="http://schemas.openxmlformats.org/officeDocument/2006/customXml" ds:itemID="{321FBEE8-D3A4-4E31-8BF2-E987D1DAF5F6}"/>
</file>

<file path=customXml/itemProps3.xml><?xml version="1.0" encoding="utf-8"?>
<ds:datastoreItem xmlns:ds="http://schemas.openxmlformats.org/officeDocument/2006/customXml" ds:itemID="{73313036-ADC0-4296-BCF5-AC3CD804A354}"/>
</file>

<file path=customXml/itemProps4.xml><?xml version="1.0" encoding="utf-8"?>
<ds:datastoreItem xmlns:ds="http://schemas.openxmlformats.org/officeDocument/2006/customXml" ds:itemID="{72C85BB6-CD2E-4917-93B3-397BDBB4DBBE}"/>
</file>

<file path=docProps/app.xml><?xml version="1.0" encoding="utf-8"?>
<Properties xmlns="http://schemas.openxmlformats.org/officeDocument/2006/extended-properties" xmlns:vt="http://schemas.openxmlformats.org/officeDocument/2006/docPropsVTypes">
  <Template>Normal</Template>
  <TotalTime>1</TotalTime>
  <Pages>15</Pages>
  <Words>5939</Words>
  <Characters>33854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Bowes</dc:creator>
  <cp:keywords/>
  <dc:description/>
  <cp:lastModifiedBy>Mark Bowes</cp:lastModifiedBy>
  <cp:revision>4</cp:revision>
  <dcterms:created xsi:type="dcterms:W3CDTF">2024-02-13T16:02:00Z</dcterms:created>
  <dcterms:modified xsi:type="dcterms:W3CDTF">2024-02-13T16:25:00Z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