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3A87" w14:textId="77777777" w:rsidR="00557160" w:rsidRDefault="00000000">
      <w:pPr>
        <w:pStyle w:val="FirstParagraph"/>
      </w:pPr>
      <w:r>
        <w:t>Daniel Roe · Revision 3 · Last revised Fri 9 October 2026, 09:25 Arizona time (UTC−7)</w:t>
      </w:r>
    </w:p>
    <w:p w14:paraId="332E0850" w14:textId="77777777" w:rsidR="00557160" w:rsidRDefault="00000000">
      <w:pPr>
        <w:pStyle w:val="FirstParagraph"/>
      </w:pPr>
      <w:proofErr w:type="gramStart"/>
      <w:r>
        <w:t>© 2026 Nevado</w:t>
      </w:r>
      <w:proofErr w:type="gramEnd"/>
      <w:r>
        <w:t xml:space="preserve"> Ranch Camp LLC. All rights reserved. Third-party material and cited sources remain the property of their owners.</w:t>
      </w:r>
    </w:p>
    <w:p w14:paraId="0801B28B" w14:textId="77777777" w:rsidR="00557160" w:rsidRDefault="00000000">
      <w:pPr>
        <w:pStyle w:val="Heading2"/>
      </w:pPr>
      <w:bookmarkStart w:id="0" w:name="about-the-author"/>
      <w:r>
        <w:t>About the author</w:t>
      </w:r>
    </w:p>
    <w:p w14:paraId="442B2AEE" w14:textId="77777777" w:rsidR="00557160" w:rsidRDefault="00000000">
      <w:r>
        <w:rPr>
          <w:noProof/>
        </w:rPr>
        <w:drawing>
          <wp:anchor distT="0" distB="0" distL="228600" distR="0" simplePos="0" relativeHeight="251659264" behindDoc="0" locked="0" layoutInCell="1" allowOverlap="0" wp14:anchorId="35BBE18F" wp14:editId="7D44A821">
            <wp:simplePos x="0" y="0"/>
            <wp:positionH relativeFrom="margin">
              <wp:posOffset>5082540</wp:posOffset>
            </wp:positionH>
            <wp:positionV relativeFrom="paragraph">
              <wp:posOffset>34290</wp:posOffset>
            </wp:positionV>
            <wp:extent cx="731520" cy="109728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_small_v2.jpg"/>
                    <pic:cNvPicPr/>
                  </pic:nvPicPr>
                  <pic:blipFill>
                    <a:blip r:embed="rId8"/>
                    <a:stretch>
                      <a:fillRect/>
                    </a:stretch>
                  </pic:blipFill>
                  <pic:spPr>
                    <a:xfrm>
                      <a:off x="0" y="0"/>
                      <a:ext cx="731520" cy="1097280"/>
                    </a:xfrm>
                    <a:prstGeom prst="rect">
                      <a:avLst/>
                    </a:prstGeom>
                  </pic:spPr>
                </pic:pic>
              </a:graphicData>
            </a:graphic>
          </wp:anchor>
        </w:drawing>
      </w:r>
      <w:r>
        <w:t>Daniel Roe has spent roughly three decades as a technology project management consultant. Much of that work has been in clinical decision support systems for healthcare networks. He holds an MS in Health Informatics from the University of Tennessee Health Science Center and an MBA from George Washington University.</w:t>
      </w:r>
    </w:p>
    <w:p w14:paraId="471ABB49" w14:textId="77777777" w:rsidR="00557160" w:rsidRDefault="00000000">
      <w:pPr>
        <w:pStyle w:val="Heading2"/>
      </w:pPr>
      <w:bookmarkStart w:id="1" w:name="summary"/>
      <w:bookmarkEnd w:id="0"/>
      <w:r>
        <w:t>Summary</w:t>
      </w:r>
    </w:p>
    <w:p w14:paraId="678FBCA7" w14:textId="77777777" w:rsidR="00557160" w:rsidRDefault="00000000">
      <w:pPr>
        <w:pStyle w:val="FirstParagraph"/>
      </w:pPr>
      <w:r>
        <w:t>GROAN is being developed as a decision-support platform for ocean and reef management. Its proposed workflow combines observations, estimates ecosystem conditions, forecasts possible changes, and evaluates management responses across connected ecosystems. Forecasting and intervention effectiveness remain to be validated.</w:t>
      </w:r>
    </w:p>
    <w:p w14:paraId="10454A68" w14:textId="77777777" w:rsidR="00557160" w:rsidRDefault="00000000">
      <w:pPr>
        <w:pStyle w:val="BodyText"/>
      </w:pPr>
      <w:r>
        <w:t xml:space="preserve">The project identifies Nevado Ranch Camp LLC as the platform owner and reports development of </w:t>
      </w:r>
      <w:proofErr w:type="gramStart"/>
      <w:r>
        <w:t>a data</w:t>
      </w:r>
      <w:proofErr w:type="gramEnd"/>
      <w:r>
        <w:t xml:space="preserve"> registry, decision-engine specifications and module dashboards. These are project-reported milestones, not evidence that the full platform is operational. Rim Run is described as a planned Caribbean field-validation program; U.S. Pacific and Atlantic applications are also proposed. Deployment in additional regions would require suitable data, local calibration, permissions and partners.</w:t>
      </w:r>
    </w:p>
    <w:p w14:paraId="4D44354C" w14:textId="77777777" w:rsidR="00557160" w:rsidRDefault="00000000">
      <w:pPr>
        <w:pStyle w:val="BodyText"/>
      </w:pPr>
      <w:r>
        <w:t>Project status below is taken from the author's internal project documentation as of May 2026. It has not been independently verified and should not be read as audited implementation status or current environmental measurement.</w:t>
      </w:r>
    </w:p>
    <w:p w14:paraId="4CBD8351" w14:textId="77777777" w:rsidR="00557160" w:rsidRDefault="00000000">
      <w:pPr>
        <w:pStyle w:val="BodyText"/>
      </w:pPr>
      <w:r>
        <w:rPr>
          <w:b/>
        </w:rPr>
        <w:t>Competing interests.</w:t>
      </w:r>
      <w:r>
        <w:t xml:space="preserve"> The author founded GROAN and operates Nevado Ranch Camp LLC, which owns the platform. The author also maintains a proposed commercial business model for GROAN. These interests are disclosed so readers can weigh the proposals accordingly.</w:t>
      </w:r>
    </w:p>
    <w:p w14:paraId="1D63AB0C" w14:textId="77777777" w:rsidR="00557160" w:rsidRDefault="00000000">
      <w:pPr>
        <w:pStyle w:val="Heading2"/>
      </w:pPr>
      <w:bookmarkStart w:id="2" w:name="problem"/>
      <w:bookmarkEnd w:id="1"/>
      <w:r>
        <w:t>Problem</w:t>
      </w:r>
    </w:p>
    <w:p w14:paraId="13A59F10" w14:textId="77777777" w:rsidR="00557160" w:rsidRDefault="00000000">
      <w:pPr>
        <w:pStyle w:val="FirstParagraph"/>
      </w:pPr>
      <w:r>
        <w:t xml:space="preserve">Marine observations are collected across disciplines, institutions and monitoring programs. Differences in formats, coverage, timing and measurement methods can make integration </w:t>
      </w:r>
      <w:r>
        <w:lastRenderedPageBreak/>
        <w:t>difficult. Existing interdisciplinary research and operational forecasting systems already connect some of these observations; GROAN proposes an additional integration and decision-support approach.</w:t>
      </w:r>
    </w:p>
    <w:p w14:paraId="53D3E906" w14:textId="77777777" w:rsidR="00557160" w:rsidRDefault="00000000">
      <w:pPr>
        <w:pStyle w:val="BodyText"/>
      </w:pPr>
      <w:r>
        <w:t>Environmental management includes both preventive and reactive work. GROAN aims to help managers identify interacting pressures earlier. Thermal stress, water quality, habitat condition and ecological connectivity may interact, but a specific upstream cause cannot be inferred from simultaneous deterioration alone.</w:t>
      </w:r>
    </w:p>
    <w:p w14:paraId="039F7E93" w14:textId="77777777" w:rsidR="00557160" w:rsidRDefault="00000000">
      <w:pPr>
        <w:pStyle w:val="BodyText"/>
      </w:pPr>
      <w:r>
        <w:t>The project should measure data preparation effort during pilot work before quantifying any time savings.</w:t>
      </w:r>
    </w:p>
    <w:p w14:paraId="18C77664" w14:textId="77777777" w:rsidR="00557160" w:rsidRDefault="00000000">
      <w:pPr>
        <w:pStyle w:val="Heading2"/>
      </w:pPr>
      <w:bookmarkStart w:id="3" w:name="architecture"/>
      <w:bookmarkEnd w:id="2"/>
      <w:r>
        <w:t>Architecture</w:t>
      </w:r>
    </w:p>
    <w:p w14:paraId="37159B84" w14:textId="77777777" w:rsidR="00557160" w:rsidRDefault="00000000">
      <w:pPr>
        <w:pStyle w:val="FirstParagraph"/>
      </w:pPr>
      <w:r>
        <w:t>The proposed architecture links a shared data layer, feature computation, semantic dispatch, ecosystem modules, cross-module analysis, synthesis, decision support and field operations. The fourteen-step workflow below describes their intended sequence; engineering documentation should define the boundaries between layers and components.</w:t>
      </w:r>
    </w:p>
    <w:p w14:paraId="52FBF1D7" w14:textId="77777777" w:rsidR="00557160" w:rsidRDefault="00000000">
      <w:pPr>
        <w:pStyle w:val="BodyText"/>
      </w:pPr>
      <w:r>
        <w:t>The META-LAYER is proposed future governance functionality. It is not described here as a deployed compliance gate.</w:t>
      </w:r>
    </w:p>
    <w:p w14:paraId="2679AB9C" w14:textId="77777777" w:rsidR="00557160" w:rsidRDefault="00000000">
      <w:pPr>
        <w:pStyle w:val="Heading2"/>
      </w:pPr>
      <w:bookmarkStart w:id="4" w:name="data-flow"/>
      <w:bookmarkEnd w:id="3"/>
      <w:r>
        <w:t>Data flow</w:t>
      </w:r>
    </w:p>
    <w:p w14:paraId="24B945BB" w14:textId="77777777" w:rsidR="00557160" w:rsidRDefault="00000000">
      <w:pPr>
        <w:pStyle w:val="FirstParagraph"/>
      </w:pPr>
      <w:r>
        <w:t>The intended workflow has fourteen steps. The following statements are design requirements, not confirmation of deployed functionality.</w:t>
      </w:r>
    </w:p>
    <w:p w14:paraId="72B4EA67" w14:textId="77777777" w:rsidR="00557160" w:rsidRDefault="00000000">
      <w:pPr>
        <w:numPr>
          <w:ilvl w:val="0"/>
          <w:numId w:val="2"/>
        </w:numPr>
      </w:pPr>
      <w:r>
        <w:t>Sensors, satellites, vessels, drones, laboratories, citizen observers and external datasets supply observations. External storm forecasts and historical event responses are additional inputs, with issue time, validity period, location, provenance and uncertainty retained.</w:t>
      </w:r>
    </w:p>
    <w:p w14:paraId="21915899" w14:textId="77777777" w:rsidR="00557160" w:rsidRDefault="00000000">
      <w:pPr>
        <w:numPr>
          <w:ilvl w:val="0"/>
          <w:numId w:val="2"/>
        </w:numPr>
      </w:pPr>
      <w:r>
        <w:t>Each source is registered in the Universal Node Registry.</w:t>
      </w:r>
    </w:p>
    <w:p w14:paraId="60009DB4" w14:textId="77777777" w:rsidR="00557160" w:rsidRDefault="00000000">
      <w:pPr>
        <w:numPr>
          <w:ilvl w:val="0"/>
          <w:numId w:val="2"/>
        </w:numPr>
      </w:pPr>
      <w:proofErr w:type="gramStart"/>
      <w:r>
        <w:t>Ingestion checks ranges,</w:t>
      </w:r>
      <w:proofErr w:type="gramEnd"/>
      <w:r>
        <w:t xml:space="preserve"> required metadata and consistency, and compares sensors where comparable measurements exist. Suspect observations are flagged for review rather than silently accepted or discarded.</w:t>
      </w:r>
    </w:p>
    <w:p w14:paraId="12AEDE1B" w14:textId="77777777" w:rsidR="00557160" w:rsidRDefault="00000000">
      <w:pPr>
        <w:numPr>
          <w:ilvl w:val="0"/>
          <w:numId w:val="2"/>
        </w:numPr>
      </w:pPr>
      <w:r>
        <w:t xml:space="preserve">Accepted observations are mapped to a shared schema including latitude, longitude, depth, timestamp, value, unit and source. Richer records are needed for imagery, </w:t>
      </w:r>
      <w:r>
        <w:lastRenderedPageBreak/>
        <w:t>laboratory results and forecast ensembles; their original files and metadata must remain linked.</w:t>
      </w:r>
    </w:p>
    <w:p w14:paraId="598B71DF" w14:textId="77777777" w:rsidR="00557160" w:rsidRDefault="00000000">
      <w:pPr>
        <w:numPr>
          <w:ilvl w:val="0"/>
          <w:numId w:val="2"/>
        </w:numPr>
      </w:pPr>
      <w:r>
        <w:t>Each observation carries a documented uncertainty estimate or quality flag. Measurement error, environmental variability and data age must be handled explicitly; age alone does not determine numerical uncertainty.</w:t>
      </w:r>
    </w:p>
    <w:p w14:paraId="559C5D77" w14:textId="77777777" w:rsidR="00557160" w:rsidRDefault="00000000">
      <w:pPr>
        <w:numPr>
          <w:ilvl w:val="0"/>
          <w:numId w:val="2"/>
        </w:numPr>
      </w:pPr>
      <w:r>
        <w:t>Data is versioned. Nothing is overwritten.</w:t>
      </w:r>
    </w:p>
    <w:p w14:paraId="6ABA75D2" w14:textId="77777777" w:rsidR="00557160" w:rsidRDefault="00000000">
      <w:pPr>
        <w:numPr>
          <w:ilvl w:val="0"/>
          <w:numId w:val="2"/>
        </w:numPr>
      </w:pPr>
      <w:r>
        <w:t>The Feature Layer computes absolute value, anomaly, rate of change, persistence, spatial gradient and variability.</w:t>
      </w:r>
    </w:p>
    <w:p w14:paraId="0E46E018" w14:textId="77777777" w:rsidR="00557160" w:rsidRDefault="00000000">
      <w:pPr>
        <w:numPr>
          <w:ilvl w:val="0"/>
          <w:numId w:val="2"/>
        </w:numPr>
      </w:pPr>
      <w:r>
        <w:t>The Semantic Dispatch Layer sends each feature to the modules that need it, by variable and location.</w:t>
      </w:r>
    </w:p>
    <w:p w14:paraId="500FB449" w14:textId="77777777" w:rsidR="00557160" w:rsidRDefault="00000000">
      <w:pPr>
        <w:numPr>
          <w:ilvl w:val="0"/>
          <w:numId w:val="2"/>
        </w:numPr>
      </w:pPr>
      <w:r>
        <w:t>Each module is intended to estimate ecosystem state, candidate drivers and uncertainty and, where a suitable model exists, generate forecasts with stated locations and time horizons.</w:t>
      </w:r>
    </w:p>
    <w:p w14:paraId="05843DDF" w14:textId="77777777" w:rsidR="00557160" w:rsidRDefault="00000000">
      <w:pPr>
        <w:numPr>
          <w:ilvl w:val="0"/>
          <w:numId w:val="2"/>
        </w:numPr>
      </w:pPr>
      <w:r>
        <w:t>The Cross-Module Interaction Engine (CMIE) is intended to represent dependencies and examine timing, spatial overlap and lag. These associations generate hypotheses; they do not by themselves establish causality.</w:t>
      </w:r>
    </w:p>
    <w:p w14:paraId="3D465653" w14:textId="77777777" w:rsidR="00557160" w:rsidRDefault="00000000">
      <w:pPr>
        <w:numPr>
          <w:ilvl w:val="0"/>
          <w:numId w:val="2"/>
        </w:numPr>
      </w:pPr>
      <w:r>
        <w:t>The Global Synthesis Layer is intended to reconcile conflicting estimates using documented confidence rules. It must account for correlated sources to avoid counting the same evidence more than once.</w:t>
      </w:r>
    </w:p>
    <w:p w14:paraId="4E6A7E7A" w14:textId="77777777" w:rsidR="00557160" w:rsidRDefault="00000000">
      <w:pPr>
        <w:numPr>
          <w:ilvl w:val="0"/>
          <w:numId w:val="2"/>
        </w:numPr>
      </w:pPr>
      <w:r>
        <w:t>DMAP-CAL (Define, Measure, Analyze, Predict, Choose, Act, Learn) is intended to rank candidate responses using the synthesized estimates, constraints and stated assumptions, with a proposed intervention and confidence or uncertainty description.</w:t>
      </w:r>
    </w:p>
    <w:p w14:paraId="6682DD5E" w14:textId="77777777" w:rsidR="00557160" w:rsidRDefault="00000000">
      <w:pPr>
        <w:numPr>
          <w:ilvl w:val="0"/>
          <w:numId w:val="2"/>
        </w:numPr>
      </w:pPr>
      <w:r>
        <w:t>The Synthesis Layer is the proposed external publication boundary for alerts, forecasts, insights, reports and APIs. It first integrates module results and later packages DMAP-CAL recommendations; these are distinct functions of the same logical layer.</w:t>
      </w:r>
    </w:p>
    <w:p w14:paraId="45735130" w14:textId="77777777" w:rsidR="00557160" w:rsidRDefault="00000000">
      <w:pPr>
        <w:numPr>
          <w:ilvl w:val="0"/>
          <w:numId w:val="2"/>
        </w:numPr>
      </w:pPr>
      <w:r>
        <w:t xml:space="preserve">Where uncertainty can be reduced through useful observations, approved tasks are sent to MOOP (Marine Observation and Operations Platform) with a location, </w:t>
      </w:r>
      <w:r>
        <w:lastRenderedPageBreak/>
        <w:t>variable, method, priority and expected information gain. Returned observations re-enter at step 1.</w:t>
      </w:r>
    </w:p>
    <w:p w14:paraId="73FE89CF" w14:textId="77777777" w:rsidR="00557160" w:rsidRDefault="00000000">
      <w:pPr>
        <w:pStyle w:val="FirstParagraph"/>
      </w:pPr>
      <w:r>
        <w:t>The numbered workflow above defines the proposed data and field-observation sequence. Figure 1 summarizes the same sequence.</w:t>
      </w:r>
    </w:p>
    <w:p w14:paraId="06F9AF35" w14:textId="77777777" w:rsidR="00557160" w:rsidRDefault="00000000">
      <w:pPr>
        <w:pStyle w:val="CaptionedFigure"/>
        <w:jc w:val="center"/>
      </w:pPr>
      <w:r>
        <w:rPr>
          <w:noProof/>
        </w:rPr>
        <w:lastRenderedPageBreak/>
        <w:drawing>
          <wp:inline distT="0" distB="0" distL="0" distR="0" wp14:anchorId="4E7F50F2" wp14:editId="05513F84">
            <wp:extent cx="5334000" cy="8744952"/>
            <wp:effectExtent l="0" t="0" r="0" b="0"/>
            <wp:docPr id="25" name="Picture" descr="Figure 1. GROAN data flow, aligned to the fourteen steps above."/>
            <wp:cNvGraphicFramePr/>
            <a:graphic xmlns:a="http://schemas.openxmlformats.org/drawingml/2006/main">
              <a:graphicData uri="http://schemas.openxmlformats.org/drawingml/2006/picture">
                <pic:pic xmlns:pic="http://schemas.openxmlformats.org/drawingml/2006/picture">
                  <pic:nvPicPr>
                    <pic:cNvPr id="26" name="Picture" descr="GROAN_Data_Flow_Diagram_Rev3.png"/>
                    <pic:cNvPicPr>
                      <a:picLocks noChangeAspect="1" noChangeArrowheads="1"/>
                    </pic:cNvPicPr>
                  </pic:nvPicPr>
                  <pic:blipFill>
                    <a:blip r:embed="rId9"/>
                    <a:stretch>
                      <a:fillRect/>
                    </a:stretch>
                  </pic:blipFill>
                  <pic:spPr bwMode="auto">
                    <a:xfrm>
                      <a:off x="0" y="0"/>
                      <a:ext cx="5334000" cy="8744952"/>
                    </a:xfrm>
                    <a:prstGeom prst="rect">
                      <a:avLst/>
                    </a:prstGeom>
                    <a:noFill/>
                    <a:ln w="9525">
                      <a:noFill/>
                      <a:headEnd/>
                      <a:tailEnd/>
                    </a:ln>
                  </pic:spPr>
                </pic:pic>
              </a:graphicData>
            </a:graphic>
          </wp:inline>
        </w:drawing>
      </w:r>
    </w:p>
    <w:p w14:paraId="33C33209" w14:textId="77777777" w:rsidR="00557160" w:rsidRDefault="00000000">
      <w:pPr>
        <w:pStyle w:val="ImageCaption"/>
      </w:pPr>
      <w:r>
        <w:lastRenderedPageBreak/>
        <w:t>Figure 1. GROAN data flow, aligned to the fourteen steps above.</w:t>
      </w:r>
    </w:p>
    <w:p w14:paraId="62635C6F" w14:textId="77777777" w:rsidR="00557160" w:rsidRDefault="00000000">
      <w:pPr>
        <w:pStyle w:val="BodyText"/>
      </w:pPr>
      <w:r>
        <w:t>The field-observation return is the collection loop. Forecast verification, model revision and human review are additional analytical processes; they should not be mistaken for proof that the platform automatically learns safely.</w:t>
      </w:r>
    </w:p>
    <w:p w14:paraId="18DDEE03" w14:textId="77777777" w:rsidR="00557160" w:rsidRDefault="00000000">
      <w:pPr>
        <w:pStyle w:val="BodyText"/>
      </w:pPr>
      <w:r>
        <w:t xml:space="preserve">Implementation should be tested against this workflow with traceable records from source observation to published </w:t>
      </w:r>
      <w:proofErr w:type="gramStart"/>
      <w:r>
        <w:t>recommendation</w:t>
      </w:r>
      <w:proofErr w:type="gramEnd"/>
      <w:r>
        <w:t>.</w:t>
      </w:r>
    </w:p>
    <w:p w14:paraId="15009AD8" w14:textId="77777777" w:rsidR="00557160" w:rsidRDefault="00000000">
      <w:pPr>
        <w:pStyle w:val="Heading2"/>
      </w:pPr>
      <w:bookmarkStart w:id="5" w:name="modules"/>
      <w:bookmarkEnd w:id="4"/>
      <w:r>
        <w:t>Modules</w:t>
      </w:r>
    </w:p>
    <w:p w14:paraId="53411B52" w14:textId="77777777" w:rsidR="00557160" w:rsidRDefault="00000000">
      <w:pPr>
        <w:pStyle w:val="FirstParagraph"/>
      </w:pPr>
      <w:r>
        <w:t>The proposed platform covers eleven ecosystem modules [module set to confirm]. Project documentation reports a GRIN technical specification labeled complete, with its completion scope still under reconciliation; a GKIN core specification; and dashboards for the other nine modules. GSIN has a 21-segment technical specification. Specifications have not started for the remaining eight modules. Specification completeness is distinct from implemented software, model calibration and successful validation.</w:t>
      </w:r>
    </w:p>
    <w:p w14:paraId="03C2043D" w14:textId="77777777" w:rsidR="00557160" w:rsidRDefault="00000000">
      <w:pPr>
        <w:pStyle w:val="BodyText"/>
      </w:pPr>
      <w:r>
        <w:t>The table below reports specification status only. Dashboard values from earlier project materials are not reproduced here. Their underlying datasets, dates, locations, formulas and quality controls are not established. They are not verified environmental findings, and health scores must not be compared across modules without aligned definitions.</w:t>
      </w:r>
    </w:p>
    <w:tbl>
      <w:tblPr>
        <w:tblStyle w:val="Table"/>
        <w:tblW w:w="4865" w:type="pct"/>
        <w:tblLook w:val="0020" w:firstRow="1" w:lastRow="0" w:firstColumn="0" w:lastColumn="0" w:noHBand="0" w:noVBand="0"/>
      </w:tblPr>
      <w:tblGrid>
        <w:gridCol w:w="1322"/>
        <w:gridCol w:w="7785"/>
      </w:tblGrid>
      <w:tr w:rsidR="00557160" w14:paraId="7C456064" w14:textId="77777777" w:rsidTr="00557160">
        <w:trPr>
          <w:cnfStyle w:val="100000000000" w:firstRow="1" w:lastRow="0" w:firstColumn="0" w:lastColumn="0" w:oddVBand="0" w:evenVBand="0" w:oddHBand="0" w:evenHBand="0" w:firstRowFirstColumn="0" w:firstRowLastColumn="0" w:lastRowFirstColumn="0" w:lastRowLastColumn="0"/>
          <w:tblHeader/>
        </w:trPr>
        <w:tc>
          <w:tcPr>
            <w:tcW w:w="0" w:type="auto"/>
          </w:tcPr>
          <w:p w14:paraId="45295DC5" w14:textId="77777777" w:rsidR="00557160" w:rsidRDefault="00000000">
            <w:pPr>
              <w:pStyle w:val="Compact"/>
            </w:pPr>
            <w:r>
              <w:t>Module</w:t>
            </w:r>
          </w:p>
        </w:tc>
        <w:tc>
          <w:tcPr>
            <w:tcW w:w="0" w:type="auto"/>
          </w:tcPr>
          <w:p w14:paraId="5EFF1E97" w14:textId="77777777" w:rsidR="00557160" w:rsidRDefault="00000000">
            <w:pPr>
              <w:pStyle w:val="Compact"/>
            </w:pPr>
            <w:r>
              <w:t>Name</w:t>
            </w:r>
          </w:p>
        </w:tc>
      </w:tr>
      <w:tr w:rsidR="00557160" w14:paraId="749DAE01" w14:textId="77777777">
        <w:tc>
          <w:tcPr>
            <w:tcW w:w="0" w:type="auto"/>
          </w:tcPr>
          <w:p w14:paraId="0C8FDEDB" w14:textId="77777777" w:rsidR="00557160" w:rsidRDefault="00000000">
            <w:pPr>
              <w:pStyle w:val="Compact"/>
            </w:pPr>
            <w:r>
              <w:t>GRIN</w:t>
            </w:r>
          </w:p>
        </w:tc>
        <w:tc>
          <w:tcPr>
            <w:tcW w:w="0" w:type="auto"/>
          </w:tcPr>
          <w:p w14:paraId="06653B39" w14:textId="77777777" w:rsidR="00557160" w:rsidRDefault="00000000">
            <w:pPr>
              <w:pStyle w:val="Compact"/>
            </w:pPr>
            <w:r>
              <w:t>Global Reef Intelligence Network</w:t>
            </w:r>
          </w:p>
        </w:tc>
      </w:tr>
      <w:tr w:rsidR="00557160" w14:paraId="6295A79E" w14:textId="77777777">
        <w:tc>
          <w:tcPr>
            <w:tcW w:w="0" w:type="auto"/>
          </w:tcPr>
          <w:p w14:paraId="60295452" w14:textId="77777777" w:rsidR="00557160" w:rsidRDefault="00000000">
            <w:pPr>
              <w:pStyle w:val="Compact"/>
            </w:pPr>
            <w:r>
              <w:t>GKIN</w:t>
            </w:r>
          </w:p>
        </w:tc>
        <w:tc>
          <w:tcPr>
            <w:tcW w:w="0" w:type="auto"/>
          </w:tcPr>
          <w:p w14:paraId="2C94C6A6" w14:textId="77777777" w:rsidR="00557160" w:rsidRDefault="00000000">
            <w:pPr>
              <w:pStyle w:val="Compact"/>
            </w:pPr>
            <w:r>
              <w:t>Global Kelp Intelligence Network</w:t>
            </w:r>
          </w:p>
        </w:tc>
      </w:tr>
      <w:tr w:rsidR="00557160" w14:paraId="69DF3AE7" w14:textId="77777777">
        <w:tc>
          <w:tcPr>
            <w:tcW w:w="0" w:type="auto"/>
          </w:tcPr>
          <w:p w14:paraId="224C4605" w14:textId="77777777" w:rsidR="00557160" w:rsidRDefault="00000000">
            <w:pPr>
              <w:pStyle w:val="Compact"/>
            </w:pPr>
            <w:r>
              <w:t>GSIN</w:t>
            </w:r>
          </w:p>
        </w:tc>
        <w:tc>
          <w:tcPr>
            <w:tcW w:w="0" w:type="auto"/>
          </w:tcPr>
          <w:p w14:paraId="6326FDB0" w14:textId="77777777" w:rsidR="00557160" w:rsidRDefault="00000000">
            <w:pPr>
              <w:pStyle w:val="Compact"/>
            </w:pPr>
            <w:r>
              <w:t>Global Seagrass Intelligence Network</w:t>
            </w:r>
          </w:p>
        </w:tc>
      </w:tr>
      <w:tr w:rsidR="00557160" w14:paraId="5EB642C7" w14:textId="77777777">
        <w:tc>
          <w:tcPr>
            <w:tcW w:w="0" w:type="auto"/>
          </w:tcPr>
          <w:p w14:paraId="33E39453" w14:textId="77777777" w:rsidR="00557160" w:rsidRDefault="00000000">
            <w:pPr>
              <w:pStyle w:val="Compact"/>
            </w:pPr>
            <w:r>
              <w:t>GMIN</w:t>
            </w:r>
          </w:p>
        </w:tc>
        <w:tc>
          <w:tcPr>
            <w:tcW w:w="0" w:type="auto"/>
          </w:tcPr>
          <w:p w14:paraId="3CBDF6EA" w14:textId="77777777" w:rsidR="00557160" w:rsidRDefault="00000000">
            <w:pPr>
              <w:pStyle w:val="Compact"/>
            </w:pPr>
            <w:r>
              <w:t>Global Mangrove Intelligence Network</w:t>
            </w:r>
          </w:p>
        </w:tc>
      </w:tr>
      <w:tr w:rsidR="00557160" w14:paraId="445BCF6A" w14:textId="77777777">
        <w:tc>
          <w:tcPr>
            <w:tcW w:w="0" w:type="auto"/>
          </w:tcPr>
          <w:p w14:paraId="112CA8FC" w14:textId="77777777" w:rsidR="00557160" w:rsidRDefault="00000000">
            <w:pPr>
              <w:pStyle w:val="Compact"/>
            </w:pPr>
            <w:r>
              <w:t>GMAIN</w:t>
            </w:r>
          </w:p>
        </w:tc>
        <w:tc>
          <w:tcPr>
            <w:tcW w:w="0" w:type="auto"/>
          </w:tcPr>
          <w:p w14:paraId="795B731B" w14:textId="77777777" w:rsidR="00557160" w:rsidRDefault="00000000">
            <w:pPr>
              <w:pStyle w:val="Compact"/>
            </w:pPr>
            <w:r>
              <w:t>Global Marine Animal Intelligence Network</w:t>
            </w:r>
          </w:p>
        </w:tc>
      </w:tr>
      <w:tr w:rsidR="00557160" w14:paraId="484312D1" w14:textId="77777777">
        <w:tc>
          <w:tcPr>
            <w:tcW w:w="0" w:type="auto"/>
          </w:tcPr>
          <w:p w14:paraId="1130F20C" w14:textId="77777777" w:rsidR="00557160" w:rsidRDefault="00000000">
            <w:pPr>
              <w:pStyle w:val="Compact"/>
            </w:pPr>
            <w:r>
              <w:t>GPLIN</w:t>
            </w:r>
          </w:p>
        </w:tc>
        <w:tc>
          <w:tcPr>
            <w:tcW w:w="0" w:type="auto"/>
          </w:tcPr>
          <w:p w14:paraId="1DC2765A" w14:textId="77777777" w:rsidR="00557160" w:rsidRDefault="00000000">
            <w:pPr>
              <w:pStyle w:val="Compact"/>
            </w:pPr>
            <w:r>
              <w:t>Global Phytoplankton &amp; Plankton Intelligence Network</w:t>
            </w:r>
          </w:p>
        </w:tc>
      </w:tr>
      <w:tr w:rsidR="00557160" w14:paraId="2D4E4F08" w14:textId="77777777">
        <w:tc>
          <w:tcPr>
            <w:tcW w:w="0" w:type="auto"/>
          </w:tcPr>
          <w:p w14:paraId="5035B7A3" w14:textId="77777777" w:rsidR="00557160" w:rsidRDefault="00000000">
            <w:pPr>
              <w:pStyle w:val="Compact"/>
            </w:pPr>
            <w:r>
              <w:t>GPIN</w:t>
            </w:r>
          </w:p>
        </w:tc>
        <w:tc>
          <w:tcPr>
            <w:tcW w:w="0" w:type="auto"/>
          </w:tcPr>
          <w:p w14:paraId="37D2CEA5" w14:textId="77777777" w:rsidR="00557160" w:rsidRDefault="00000000">
            <w:pPr>
              <w:pStyle w:val="Compact"/>
            </w:pPr>
            <w:r>
              <w:t>Global Polar Intelligence Network</w:t>
            </w:r>
          </w:p>
        </w:tc>
      </w:tr>
      <w:tr w:rsidR="00557160" w14:paraId="71C5B41E" w14:textId="77777777">
        <w:tc>
          <w:tcPr>
            <w:tcW w:w="0" w:type="auto"/>
          </w:tcPr>
          <w:p w14:paraId="303ABD80" w14:textId="77777777" w:rsidR="00557160" w:rsidRDefault="00000000">
            <w:pPr>
              <w:pStyle w:val="Compact"/>
            </w:pPr>
            <w:r>
              <w:t>GOPEN</w:t>
            </w:r>
          </w:p>
        </w:tc>
        <w:tc>
          <w:tcPr>
            <w:tcW w:w="0" w:type="auto"/>
          </w:tcPr>
          <w:p w14:paraId="588497F0" w14:textId="77777777" w:rsidR="00557160" w:rsidRDefault="00000000">
            <w:pPr>
              <w:pStyle w:val="Compact"/>
            </w:pPr>
            <w:r>
              <w:t>Global Open Ocean / Pelagic Intelligence Network</w:t>
            </w:r>
          </w:p>
        </w:tc>
      </w:tr>
      <w:tr w:rsidR="00557160" w14:paraId="7F6BA560" w14:textId="77777777">
        <w:tc>
          <w:tcPr>
            <w:tcW w:w="0" w:type="auto"/>
          </w:tcPr>
          <w:p w14:paraId="489BCC3F" w14:textId="77777777" w:rsidR="00557160" w:rsidRDefault="00000000">
            <w:pPr>
              <w:pStyle w:val="Compact"/>
            </w:pPr>
            <w:r>
              <w:t>GDSIN</w:t>
            </w:r>
          </w:p>
        </w:tc>
        <w:tc>
          <w:tcPr>
            <w:tcW w:w="0" w:type="auto"/>
          </w:tcPr>
          <w:p w14:paraId="1BF775B7" w14:textId="77777777" w:rsidR="00557160" w:rsidRDefault="00000000">
            <w:pPr>
              <w:pStyle w:val="Compact"/>
            </w:pPr>
            <w:r>
              <w:t>Global Deep Sea Intelligence Network</w:t>
            </w:r>
          </w:p>
        </w:tc>
      </w:tr>
      <w:tr w:rsidR="00557160" w14:paraId="518F2438" w14:textId="77777777">
        <w:tc>
          <w:tcPr>
            <w:tcW w:w="0" w:type="auto"/>
          </w:tcPr>
          <w:p w14:paraId="5FB4410B" w14:textId="77777777" w:rsidR="00557160" w:rsidRDefault="00000000">
            <w:pPr>
              <w:pStyle w:val="Compact"/>
            </w:pPr>
            <w:r>
              <w:t>GEIN</w:t>
            </w:r>
          </w:p>
        </w:tc>
        <w:tc>
          <w:tcPr>
            <w:tcW w:w="0" w:type="auto"/>
          </w:tcPr>
          <w:p w14:paraId="213035DD" w14:textId="77777777" w:rsidR="00557160" w:rsidRDefault="00000000">
            <w:pPr>
              <w:pStyle w:val="Compact"/>
            </w:pPr>
            <w:r>
              <w:t>Global Estuary Intelligence Network</w:t>
            </w:r>
          </w:p>
        </w:tc>
      </w:tr>
      <w:tr w:rsidR="00557160" w14:paraId="4FCEF0CD" w14:textId="77777777">
        <w:tc>
          <w:tcPr>
            <w:tcW w:w="0" w:type="auto"/>
          </w:tcPr>
          <w:p w14:paraId="7B6D5660" w14:textId="77777777" w:rsidR="00557160" w:rsidRDefault="00000000">
            <w:pPr>
              <w:pStyle w:val="Compact"/>
            </w:pPr>
            <w:r>
              <w:t>GSMAN</w:t>
            </w:r>
          </w:p>
        </w:tc>
        <w:tc>
          <w:tcPr>
            <w:tcW w:w="0" w:type="auto"/>
          </w:tcPr>
          <w:p w14:paraId="2C979F81" w14:textId="77777777" w:rsidR="00557160" w:rsidRDefault="00000000">
            <w:pPr>
              <w:pStyle w:val="Compact"/>
            </w:pPr>
            <w:r>
              <w:t>Global Salt Marsh Intelligence Network</w:t>
            </w:r>
          </w:p>
        </w:tc>
      </w:tr>
    </w:tbl>
    <w:p w14:paraId="50F8D99D" w14:textId="77777777" w:rsidR="00557160" w:rsidRDefault="00000000">
      <w:pPr>
        <w:pStyle w:val="BodyText"/>
      </w:pPr>
      <w:r>
        <w:t>No environmental values, trends or global percentages are reported in this paper.</w:t>
      </w:r>
    </w:p>
    <w:p w14:paraId="75C14083" w14:textId="77777777" w:rsidR="00557160" w:rsidRDefault="00000000">
      <w:pPr>
        <w:pStyle w:val="Heading2"/>
      </w:pPr>
      <w:bookmarkStart w:id="6" w:name="predictive-analytics"/>
      <w:bookmarkEnd w:id="5"/>
      <w:r>
        <w:lastRenderedPageBreak/>
        <w:t>Predictive analytics</w:t>
      </w:r>
    </w:p>
    <w:p w14:paraId="11D4D1B0" w14:textId="77777777" w:rsidR="00557160" w:rsidRDefault="00000000">
      <w:pPr>
        <w:pStyle w:val="FirstParagraph"/>
      </w:pPr>
      <w:r>
        <w:t xml:space="preserve">GROAN is intended to forecast conditions rather than only display observations. Proposed outputs describe what may happen, where and when, with uncertainty. The Daily Global Forecast is a planned public product; this paper does not establish that it is </w:t>
      </w:r>
      <w:proofErr w:type="gramStart"/>
      <w:r>
        <w:t>publishing</w:t>
      </w:r>
      <w:proofErr w:type="gramEnd"/>
      <w:r>
        <w:t xml:space="preserve"> operationally or has demonstrated predictive skill.</w:t>
      </w:r>
    </w:p>
    <w:p w14:paraId="2C7CF639" w14:textId="77777777" w:rsidR="00557160" w:rsidRDefault="00000000">
      <w:pPr>
        <w:pStyle w:val="BodyText"/>
      </w:pPr>
      <w:r>
        <w:t>The proposed Daily Global Forecast has four elements:</w:t>
      </w:r>
    </w:p>
    <w:p w14:paraId="50FEC5C4" w14:textId="77777777" w:rsidR="00557160" w:rsidRDefault="00000000">
      <w:pPr>
        <w:numPr>
          <w:ilvl w:val="0"/>
          <w:numId w:val="3"/>
        </w:numPr>
      </w:pPr>
      <w:r>
        <w:t xml:space="preserve">Global status map. Show stable, watch, warning and critical categories only where evidence supports classification. Unmonitored areas and </w:t>
      </w:r>
      <w:proofErr w:type="gramStart"/>
      <w:r>
        <w:t>insufficient-data</w:t>
      </w:r>
      <w:proofErr w:type="gramEnd"/>
      <w:r>
        <w:t xml:space="preserve"> cases require </w:t>
      </w:r>
      <w:proofErr w:type="gramStart"/>
      <w:r>
        <w:t>a separate</w:t>
      </w:r>
      <w:proofErr w:type="gramEnd"/>
      <w:r>
        <w:t xml:space="preserve"> designation rather than an implied stable status.</w:t>
      </w:r>
    </w:p>
    <w:p w14:paraId="58F5E0F8" w14:textId="77777777" w:rsidR="00557160" w:rsidRDefault="00000000">
      <w:pPr>
        <w:numPr>
          <w:ilvl w:val="0"/>
          <w:numId w:val="3"/>
        </w:numPr>
      </w:pPr>
      <w:r>
        <w:t>Module forecasts. Publish only for modules with specified and tested models. Each forecast should identify its issue time, valid time, geographic coverage and appropriate prediction intervals or probabilities.</w:t>
      </w:r>
    </w:p>
    <w:p w14:paraId="6BC47218" w14:textId="77777777" w:rsidR="00557160" w:rsidRDefault="00000000">
      <w:pPr>
        <w:numPr>
          <w:ilvl w:val="0"/>
          <w:numId w:val="3"/>
        </w:numPr>
      </w:pPr>
      <w:r>
        <w:t>Compound risk alerts. Flag overlapping forecast risks for review. Coincident warnings do not alone demonstrate interaction, cascading impacts or compounded probabilities.</w:t>
      </w:r>
    </w:p>
    <w:p w14:paraId="6A59E10D" w14:textId="77777777" w:rsidR="00557160" w:rsidRDefault="00000000">
      <w:pPr>
        <w:numPr>
          <w:ilvl w:val="0"/>
          <w:numId w:val="3"/>
        </w:numPr>
      </w:pPr>
      <w:r>
        <w:t>Verification. Compare archived forecasts with independent observations at the forecast’s stated lead time, not automatically the next day. Retain a running record of performance, coverage and missing observations.</w:t>
      </w:r>
    </w:p>
    <w:p w14:paraId="151BA3F0" w14:textId="77777777" w:rsidR="00557160" w:rsidRDefault="00000000">
      <w:pPr>
        <w:pStyle w:val="FirstParagraph"/>
      </w:pPr>
      <w:r>
        <w:t>Coral bleaching is a proposed initial forecasting application. NOAA Coral Reef Watch uses accumulated thermal stress, including Degree Heating Weeks, for bleaching-risk monitoring. GROAN proposes testing whether reef-</w:t>
      </w:r>
      <w:proofErr w:type="gramStart"/>
      <w:r>
        <w:t>condition</w:t>
      </w:r>
      <w:proofErr w:type="gramEnd"/>
      <w:r>
        <w:t xml:space="preserve"> indicators, chemistry and adjacent-ecosystem observations improve estimates. </w:t>
      </w:r>
      <w:proofErr w:type="gramStart"/>
      <w:r>
        <w:t>A rule</w:t>
      </w:r>
      <w:proofErr w:type="gramEnd"/>
      <w:r>
        <w:t xml:space="preserve"> that poorer reef health always implies a lower bleaching threshold is a hypothesis, not an established calibration. Time-to-threshold and recovery forecasts require defined outcomes, suitable observations and independent validation (NOAA Coral Reef Watch, n.d.-b).</w:t>
      </w:r>
    </w:p>
    <w:p w14:paraId="606CFD76" w14:textId="77777777" w:rsidR="00557160" w:rsidRDefault="00000000">
      <w:pPr>
        <w:pStyle w:val="BodyText"/>
      </w:pPr>
      <w:r>
        <w:t>Forecasts need not depend on storms. Trend-based models could estimate changes under alternative temperature and environmental scenarios. Straight-line extrapolation is only a baseline: biological responses may be nonlinear, and trends can change. Model applicability and assumptions must accompany each forecast.</w:t>
      </w:r>
    </w:p>
    <w:p w14:paraId="50447873" w14:textId="77777777" w:rsidR="00557160" w:rsidRDefault="00000000">
      <w:pPr>
        <w:pStyle w:val="BodyText"/>
      </w:pPr>
      <w:r>
        <w:lastRenderedPageBreak/>
        <w:t>Event-driven damage modeling is a proposed second application. Hurricanes, marine heatwaves, oil spills and tsunamis have different dynamics and lead times and require hazard-specific inputs and response models. The proposed phases are:</w:t>
      </w:r>
    </w:p>
    <w:p w14:paraId="6DCDB2C9" w14:textId="77777777" w:rsidR="00557160" w:rsidRDefault="00000000">
      <w:pPr>
        <w:numPr>
          <w:ilvl w:val="0"/>
          <w:numId w:val="4"/>
        </w:numPr>
      </w:pPr>
      <w:r>
        <w:t xml:space="preserve">Before an event, where a usable forecast exists, </w:t>
      </w:r>
      <w:proofErr w:type="gramStart"/>
      <w:r>
        <w:t>combine</w:t>
      </w:r>
      <w:proofErr w:type="gramEnd"/>
      <w:r>
        <w:t xml:space="preserve"> baseline conditions, disturbance scenarios and relevant historical responses to estimate possible impacts and recovery ranges.</w:t>
      </w:r>
    </w:p>
    <w:p w14:paraId="0750AF27" w14:textId="77777777" w:rsidR="00557160" w:rsidRDefault="00000000">
      <w:pPr>
        <w:numPr>
          <w:ilvl w:val="0"/>
          <w:numId w:val="4"/>
        </w:numPr>
      </w:pPr>
      <w:r>
        <w:t>During an event, use available measurements to update estimates when reliable and safe to obtain. Sensor dropout indicates missing coverage or possible equipment or communications failure; it does not establish ecological damage.</w:t>
      </w:r>
    </w:p>
    <w:p w14:paraId="3D5C0E76" w14:textId="77777777" w:rsidR="00557160" w:rsidRDefault="00000000">
      <w:pPr>
        <w:numPr>
          <w:ilvl w:val="0"/>
          <w:numId w:val="4"/>
        </w:numPr>
      </w:pPr>
      <w:r>
        <w:t>After an event, use quality-controlled field observations to assess impacts and test earlier predictions. Sensor restoration alone is not a measurement of damage or recovery.</w:t>
      </w:r>
    </w:p>
    <w:p w14:paraId="0FA38D8D" w14:textId="77777777" w:rsidR="00557160" w:rsidRDefault="00000000">
      <w:pPr>
        <w:pStyle w:val="FirstParagraph"/>
      </w:pPr>
      <w:r>
        <w:t>Forecast skill is not yet demonstrated in this paper. Verification should begin with archived, time-stamped forecasts and independent observations. Two years may be a project monitoring target, but it is not a universal scientific threshold for validity. Adequacy depends on sample size, independence, event diversity, geography, forecast horizon and uncertainty in the performance estimates.</w:t>
      </w:r>
    </w:p>
    <w:p w14:paraId="107A150B" w14:textId="77777777" w:rsidR="00557160" w:rsidRDefault="00000000">
      <w:pPr>
        <w:pStyle w:val="BodyText"/>
      </w:pPr>
      <w:r>
        <w:t xml:space="preserve">Design rules for marine forecasts. The Harvard Business Review </w:t>
      </w:r>
      <w:proofErr w:type="gramStart"/>
      <w:r>
        <w:t>report</w:t>
      </w:r>
      <w:proofErr w:type="gramEnd"/>
      <w:r>
        <w:t xml:space="preserve"> Predictive Analytics in Practice offers general business-analytics lessons. The following marine requirements are proposed adaptations, not findings that its authors tested on GROAN or marine ecosystems (Harvard Business Review Insight Center, 2014).</w:t>
      </w:r>
    </w:p>
    <w:p w14:paraId="36861107" w14:textId="77777777" w:rsidR="00557160" w:rsidRDefault="00000000">
      <w:pPr>
        <w:numPr>
          <w:ilvl w:val="0"/>
          <w:numId w:val="5"/>
        </w:numPr>
      </w:pPr>
      <w:r>
        <w:t>Document assumptions. State the relationships and environmental regimes on which each model depends. Monitor changes in currents, temperature, water quality and observation methods that could invalidate those assumptions.</w:t>
      </w:r>
    </w:p>
    <w:p w14:paraId="5047FEB3" w14:textId="77777777" w:rsidR="00557160" w:rsidRDefault="00000000">
      <w:pPr>
        <w:numPr>
          <w:ilvl w:val="0"/>
          <w:numId w:val="5"/>
        </w:numPr>
      </w:pPr>
      <w:r>
        <w:t>Check inputs and quantify uncertainty. Detect unit and transcription errors, preserve quality flags and report appropriately calibrated ranges. Track forecast errors by location, lead time and conditions; avoid unsupported numerical precision.</w:t>
      </w:r>
    </w:p>
    <w:p w14:paraId="75030BF7" w14:textId="77777777" w:rsidR="00557160" w:rsidRDefault="00000000">
      <w:pPr>
        <w:numPr>
          <w:ilvl w:val="0"/>
          <w:numId w:val="5"/>
        </w:numPr>
      </w:pPr>
      <w:r>
        <w:t>Learn from misses. Record failures as well as successes and investigate whether errors arose from data quality, model assumptions, missing processes or changing conditions. A suspected explanation should remain labeled as such until tested.</w:t>
      </w:r>
    </w:p>
    <w:p w14:paraId="10EEF500" w14:textId="77777777" w:rsidR="00557160" w:rsidRDefault="00000000">
      <w:pPr>
        <w:numPr>
          <w:ilvl w:val="0"/>
          <w:numId w:val="5"/>
        </w:numPr>
      </w:pPr>
      <w:r>
        <w:lastRenderedPageBreak/>
        <w:t>Benchmark against simpler alternatives. Compare models with persistence, seasonal climatology and simple trend baselines where appropriate. Compare bleaching-risk performance with a clearly defined NOAA reference product using compatible outcomes and horizons. Added complexity is justified only by demonstrated value.</w:t>
      </w:r>
    </w:p>
    <w:p w14:paraId="3A39B4A0" w14:textId="77777777" w:rsidR="00557160" w:rsidRDefault="00000000">
      <w:pPr>
        <w:numPr>
          <w:ilvl w:val="0"/>
          <w:numId w:val="5"/>
        </w:numPr>
      </w:pPr>
      <w:r>
        <w:t>Evaluate multiple scenarios. Publish plausible pathways with their assumptions and threshold-crossing ranges. A scenario is not a probability forecast unless probabilities are assigned and evaluated. Choose targets that answer a practical management question.</w:t>
      </w:r>
    </w:p>
    <w:p w14:paraId="52D33DBC" w14:textId="77777777" w:rsidR="00557160" w:rsidRDefault="00000000">
      <w:pPr>
        <w:numPr>
          <w:ilvl w:val="0"/>
          <w:numId w:val="5"/>
        </w:numPr>
      </w:pPr>
      <w:r>
        <w:t xml:space="preserve">Retain human authority. Routine processing and notification may be automated under approved rules. A stable or critical classification does not authorize </w:t>
      </w:r>
      <w:proofErr w:type="gramStart"/>
      <w:r>
        <w:t>an ecological</w:t>
      </w:r>
      <w:proofErr w:type="gramEnd"/>
      <w:r>
        <w:t xml:space="preserve"> intervention. People must approve consequential actions and field work, including constraints on safety, permissions and feasibility.</w:t>
      </w:r>
    </w:p>
    <w:p w14:paraId="0CF42673" w14:textId="77777777" w:rsidR="00557160" w:rsidRDefault="00000000">
      <w:pPr>
        <w:numPr>
          <w:ilvl w:val="0"/>
          <w:numId w:val="5"/>
        </w:numPr>
      </w:pPr>
      <w:r>
        <w:t xml:space="preserve">Separate association from causation. Observations can be biased toward accessible or popular locations. </w:t>
      </w:r>
      <w:proofErr w:type="gramStart"/>
      <w:r>
        <w:t>Report</w:t>
      </w:r>
      <w:proofErr w:type="gramEnd"/>
      <w:r>
        <w:t xml:space="preserve"> sampling coverage and test spatial and temporal transferability. Correlated ecosystem changes may motivate a causal hypothesis, but interventions need stronger supporting evidence than correlation alone.</w:t>
      </w:r>
    </w:p>
    <w:p w14:paraId="0D73B264" w14:textId="77777777" w:rsidR="00557160" w:rsidRDefault="00000000">
      <w:pPr>
        <w:pStyle w:val="FirstParagraph"/>
      </w:pPr>
      <w:r>
        <w:t>The Rim Run should therefore test the forecasts as well as the sensors. Each miss should be logged with its suspected cause.</w:t>
      </w:r>
    </w:p>
    <w:p w14:paraId="2A8F6B0A" w14:textId="77777777" w:rsidR="00557160" w:rsidRDefault="00000000">
      <w:pPr>
        <w:pStyle w:val="BodyText"/>
      </w:pPr>
      <w:r>
        <w:t xml:space="preserve">Published examples. Several external studies support parts of this approach, and none of them </w:t>
      </w:r>
      <w:proofErr w:type="gramStart"/>
      <w:r>
        <w:t>evaluates</w:t>
      </w:r>
      <w:proofErr w:type="gramEnd"/>
      <w:r>
        <w:t xml:space="preserve"> GROAN or MOOP. A California harmful algae system combines satellite ocean color, circulation models and ecological models to publish daily risk maps, with forecasts up to three days ahead. Its skill assessment uses </w:t>
      </w:r>
      <w:proofErr w:type="gramStart"/>
      <w:r>
        <w:t>nowcasts</w:t>
      </w:r>
      <w:proofErr w:type="gramEnd"/>
      <w:r>
        <w:t xml:space="preserve"> matched to routine pier monitoring of harmful algae in California during 2014 and 2015. It is a model for method, not evidence of accuracy along the whole coast (Anderson et al., 2016). A study of 147 coral reef sites in the Wallacea archipelago of Indonesia found that environmental DNA and visual surveys identify complementary species, and that conservation priorities built on one method did not fully represent species detected by the other (Muenzel et al., 2024). That supports the coverage point above, though it is spatial prediction, not a forecast of reef decline. NOAA Coral Reef Watch publishes a four-month outlook of coral bleaching heat stress built on a climate forecast system (NOAA Coral Reef Watch, n.d.-a). It is technical documentation rather than </w:t>
      </w:r>
      <w:proofErr w:type="gramStart"/>
      <w:r>
        <w:t>a validation</w:t>
      </w:r>
      <w:proofErr w:type="gramEnd"/>
      <w:r>
        <w:t xml:space="preserve">, and it describes the likelihood of thermal stress, not a certain outcome for every colony. A coastal mapping protocol pairs drone imagery and orthomosaics with field observations, and it separates validation from </w:t>
      </w:r>
      <w:r>
        <w:lastRenderedPageBreak/>
        <w:t>training data by geographic subarea of the imagery (Kvile et al., 2024). Kvile et al. separate validation and training data by geographic subarea of the imagery. GROAN’s verification record should likewise keep validation observations independent of the data used to calibrate its models.</w:t>
      </w:r>
    </w:p>
    <w:p w14:paraId="5B0A27C3" w14:textId="77777777" w:rsidR="00557160" w:rsidRDefault="00000000">
      <w:pPr>
        <w:pStyle w:val="BodyText"/>
      </w:pPr>
      <w:proofErr w:type="gramStart"/>
      <w:r>
        <w:t>Partner</w:t>
      </w:r>
      <w:proofErr w:type="gramEnd"/>
      <w:r>
        <w:t xml:space="preserve"> studies on these methods need field observations that are standardized and repeatable. MOOP’s shallow-water access, underwater photography, drone imagery and ability to revisit selected sites could supply them as a contributor to partner-defined studies. Initial work should establish repeatability and data quality before any claim of improved forecasting skill.</w:t>
      </w:r>
    </w:p>
    <w:p w14:paraId="2FA44878" w14:textId="77777777" w:rsidR="00557160" w:rsidRDefault="00000000">
      <w:pPr>
        <w:pStyle w:val="BodyText"/>
      </w:pPr>
      <w:r>
        <w:t>Alert design. Johnson et al. (2024) reviewed 41 articles covering 36 distinct genetic clinical decision-support tools. Alert implementation barriers, including alert fatigue, were reported for 17 of these systems. This provides a design analogy, not marine validation. GROAN should present evidence, uncertainty and a requested action and evaluate alert usefulness with its intended users.</w:t>
      </w:r>
    </w:p>
    <w:p w14:paraId="4C7CFB42" w14:textId="77777777" w:rsidR="00557160" w:rsidRDefault="00000000">
      <w:pPr>
        <w:pStyle w:val="Heading2"/>
      </w:pPr>
      <w:bookmarkStart w:id="7" w:name="decision-engine"/>
      <w:bookmarkEnd w:id="6"/>
      <w:r>
        <w:t>Decision engine</w:t>
      </w:r>
    </w:p>
    <w:p w14:paraId="71C000BE" w14:textId="77777777" w:rsidR="00557160" w:rsidRDefault="00000000">
      <w:pPr>
        <w:pStyle w:val="FirstParagraph"/>
      </w:pPr>
      <w:r>
        <w:t>DMAP-CAL is proposed to turn the synthesized picture into ranked recommendations. The proposed scoring expression is:</w:t>
      </w:r>
    </w:p>
    <w:p w14:paraId="6DE97D32" w14:textId="77777777" w:rsidR="00557160" w:rsidRDefault="00000000">
      <w:pPr>
        <w:pStyle w:val="BodyText"/>
      </w:pPr>
      <w:r>
        <w:t>DS = α × E[Benefit] − β × Risk − γ × Cost + δ × Feasibility</w:t>
      </w:r>
    </w:p>
    <w:p w14:paraId="3174D0E4" w14:textId="77777777" w:rsidR="00557160" w:rsidRDefault="00000000">
      <w:pPr>
        <w:pStyle w:val="BodyText"/>
      </w:pPr>
      <w:r>
        <w:t>where E[Benefit] is the expected benefit of a candidate response. The units, scales and definitions of Risk, Cost and Feasibility are not yet specified.</w:t>
      </w:r>
    </w:p>
    <w:p w14:paraId="697E79B1" w14:textId="77777777" w:rsidR="00557160" w:rsidRDefault="00000000">
      <w:pPr>
        <w:pStyle w:val="BodyText"/>
      </w:pPr>
      <w:r>
        <w:t>Project documentation describes an illustrative Caribbean comparison in which a reef-only analysis favors a thermal response and a cross-module analysis favors mangrove protection. This is a worked scenario, not a demonstrated causal diagnosis or measured benefit of either intervention.</w:t>
      </w:r>
    </w:p>
    <w:p w14:paraId="340F645A" w14:textId="77777777" w:rsidR="00557160" w:rsidRDefault="00000000">
      <w:pPr>
        <w:pStyle w:val="BodyText"/>
      </w:pPr>
      <w:r>
        <w:t>The weights α, β, γ and δ, the definitions and scales of each term, and the treatment of uncertainty are not specified here. Normalization, sensitivity analysis and approved decision criteria are needed before scores can be compared meaningfully. A decision score is not a probability of success.</w:t>
      </w:r>
    </w:p>
    <w:p w14:paraId="4D899D7F" w14:textId="77777777" w:rsidR="00557160" w:rsidRDefault="00000000">
      <w:pPr>
        <w:pStyle w:val="BodyText"/>
      </w:pPr>
      <w:r>
        <w:t xml:space="preserve">Project documentation reports 22 decision-engine specification segments covering optimization, constraints, uncertainty, information value, scheduling, learning and </w:t>
      </w:r>
      <w:r>
        <w:lastRenderedPageBreak/>
        <w:t>governance. This count describes reported documentation scope, not verified implementation.</w:t>
      </w:r>
    </w:p>
    <w:p w14:paraId="336BF1F2" w14:textId="77777777" w:rsidR="00557160" w:rsidRDefault="00000000">
      <w:pPr>
        <w:pStyle w:val="BodyText"/>
      </w:pPr>
      <w:r>
        <w:t>Two design rules apply. A learned component cannot override deterministic constraints. GROAN supports decisions, and the people responsible for them keep the final call.</w:t>
      </w:r>
    </w:p>
    <w:p w14:paraId="4F2D9E77" w14:textId="77777777" w:rsidR="00557160" w:rsidRDefault="00000000">
      <w:pPr>
        <w:pStyle w:val="BodyText"/>
      </w:pPr>
      <w:r>
        <w:t>Project documentation uses the expansion “Decision Modeling, Analysis, and Probabilistic Control, Adaptive Logic” and also describes Define, Measure, Analyze, Predict, Choose, Act, Learn as an operational cycle. These are internal project definitions, not a recognized external standard.</w:t>
      </w:r>
    </w:p>
    <w:p w14:paraId="242514FF" w14:textId="77777777" w:rsidR="00557160" w:rsidRDefault="00000000">
      <w:pPr>
        <w:pStyle w:val="Heading2"/>
      </w:pPr>
      <w:bookmarkStart w:id="8" w:name="field-operations"/>
      <w:bookmarkEnd w:id="7"/>
      <w:r>
        <w:t>Field operations</w:t>
      </w:r>
    </w:p>
    <w:p w14:paraId="3DA34557" w14:textId="77777777" w:rsidR="00557160" w:rsidRDefault="00000000">
      <w:pPr>
        <w:pStyle w:val="FirstParagraph"/>
      </w:pPr>
      <w:r>
        <w:t>MOOP is the proposed field arm of GROAN. It would carry out approved observation tasks informed by CMIE and DMAP-CAL, subject to operator judgment, safety and practical access, and return measurements with metadata and uncertainty.</w:t>
      </w:r>
    </w:p>
    <w:p w14:paraId="3BA7F81E" w14:textId="77777777" w:rsidR="00557160" w:rsidRDefault="00000000">
      <w:pPr>
        <w:pStyle w:val="BodyText"/>
      </w:pPr>
      <w:r>
        <w:t>Each proposed task specifies location, variable, method, priority and expected information gain. Formal value of information concerns the expected value of improved decisions; uncertainty reduction per unit cost may be a useful prioritization proxy but is not automatically equivalent. The objective and cost model must be specified.</w:t>
      </w:r>
    </w:p>
    <w:p w14:paraId="35E664C0" w14:textId="77777777" w:rsidR="00557160" w:rsidRDefault="00000000">
      <w:pPr>
        <w:numPr>
          <w:ilvl w:val="0"/>
          <w:numId w:val="6"/>
        </w:numPr>
      </w:pPr>
      <w:r>
        <w:t>Platform. Project documentation names the expedition vessel Shamrocket as the primary MOOP platform. Its equipment and capability limits must be confirmed before any deployment.</w:t>
      </w:r>
    </w:p>
    <w:p w14:paraId="62B3E906" w14:textId="77777777" w:rsidR="00557160" w:rsidRDefault="00000000">
      <w:pPr>
        <w:numPr>
          <w:ilvl w:val="0"/>
          <w:numId w:val="6"/>
        </w:numPr>
      </w:pPr>
      <w:r>
        <w:t>Rim Run. The proposed Caribbean validation route lists eleven destinations or jurisdictions [count and list to confirm]: Mexico, Belize, Guatemala, Honduras, Nicaragua, Costa Rica, Panama, Colombia, Aruba, Bonaire and Curaçao. They are not eleven sovereign countries; Aruba and Curaçao are constituent countries within the Kingdom of the Netherlands, while Bonaire is part of the Netherlands.</w:t>
      </w:r>
    </w:p>
    <w:p w14:paraId="2AFF6BC4" w14:textId="77777777" w:rsidR="00557160" w:rsidRDefault="00000000">
      <w:pPr>
        <w:numPr>
          <w:ilvl w:val="0"/>
          <w:numId w:val="6"/>
        </w:numPr>
      </w:pPr>
      <w:r>
        <w:t>Method. The proposed validation would measure both forecast performance and the gap between requested observations and what field operations can reliably deliver. Routes, schedules and institutional participation remain subject to confirmed arrangements.</w:t>
      </w:r>
    </w:p>
    <w:p w14:paraId="23D5F6DA" w14:textId="77777777" w:rsidR="00557160" w:rsidRDefault="00000000">
      <w:pPr>
        <w:pStyle w:val="Heading2"/>
      </w:pPr>
      <w:bookmarkStart w:id="9" w:name="citizen-science"/>
      <w:bookmarkEnd w:id="8"/>
      <w:r>
        <w:lastRenderedPageBreak/>
        <w:t>Citizen science</w:t>
      </w:r>
    </w:p>
    <w:p w14:paraId="626BC8F5" w14:textId="77777777" w:rsidR="00557160" w:rsidRDefault="00000000">
      <w:pPr>
        <w:pStyle w:val="FirstParagraph"/>
      </w:pPr>
      <w:r>
        <w:t>The proposed citizen-observation network, called CCRA (Coastal Citizen Research and Assessment, provisional) in the project documents, would accept unsolicited observations and issue targeted requests. This paper makes no claim that these modes are unique to GROAN.</w:t>
      </w:r>
    </w:p>
    <w:p w14:paraId="5C094EF2" w14:textId="77777777" w:rsidR="00557160" w:rsidRDefault="00000000">
      <w:pPr>
        <w:pStyle w:val="BodyText"/>
      </w:pPr>
      <w:r>
        <w:t>The proposed network has two participation modes:</w:t>
      </w:r>
    </w:p>
    <w:p w14:paraId="6C2681FD" w14:textId="77777777" w:rsidR="00557160" w:rsidRDefault="00000000">
      <w:pPr>
        <w:numPr>
          <w:ilvl w:val="0"/>
          <w:numId w:val="7"/>
        </w:numPr>
      </w:pPr>
      <w:r>
        <w:t>Passive mode. Observers submit what they see. Each submission is tagged with location, time and a registered node.</w:t>
      </w:r>
    </w:p>
    <w:p w14:paraId="1C55AC37" w14:textId="77777777" w:rsidR="00557160" w:rsidRDefault="00000000">
      <w:pPr>
        <w:numPr>
          <w:ilvl w:val="0"/>
          <w:numId w:val="7"/>
        </w:numPr>
      </w:pPr>
      <w:r>
        <w:t>Active mode. An approved request identifies a specific observation, location and time. Requests must remain within the observer’s training and safe access; storm conditions must not trigger hazardous field assignments.</w:t>
      </w:r>
    </w:p>
    <w:p w14:paraId="1DBC83A3" w14:textId="77777777" w:rsidR="00557160" w:rsidRDefault="00000000">
      <w:pPr>
        <w:pStyle w:val="FirstParagraph"/>
      </w:pPr>
      <w:r>
        <w:t>The proposed participant categories are listed below. These are not a ranking of knowledge quality or a substitute for observation-specific quality assurance:</w:t>
      </w:r>
    </w:p>
    <w:p w14:paraId="6412CCE5" w14:textId="77777777" w:rsidR="00557160" w:rsidRDefault="00000000">
      <w:pPr>
        <w:numPr>
          <w:ilvl w:val="0"/>
          <w:numId w:val="8"/>
        </w:numPr>
      </w:pPr>
      <w:r>
        <w:t>Professional field observers.</w:t>
      </w:r>
    </w:p>
    <w:p w14:paraId="404B4E60" w14:textId="77777777" w:rsidR="00557160" w:rsidRDefault="00000000">
      <w:pPr>
        <w:numPr>
          <w:ilvl w:val="0"/>
          <w:numId w:val="8"/>
        </w:numPr>
      </w:pPr>
      <w:r>
        <w:t>Trained community observers.</w:t>
      </w:r>
    </w:p>
    <w:p w14:paraId="240A82E8" w14:textId="77777777" w:rsidR="00557160" w:rsidRDefault="00000000">
      <w:pPr>
        <w:numPr>
          <w:ilvl w:val="0"/>
          <w:numId w:val="8"/>
        </w:numPr>
      </w:pPr>
      <w:r>
        <w:t>General public.</w:t>
      </w:r>
    </w:p>
    <w:p w14:paraId="424CC371" w14:textId="77777777" w:rsidR="00557160" w:rsidRDefault="00000000">
      <w:pPr>
        <w:numPr>
          <w:ilvl w:val="0"/>
          <w:numId w:val="8"/>
        </w:numPr>
      </w:pPr>
      <w:r>
        <w:t>Indigenous and traditional ecological knowledge holders.</w:t>
      </w:r>
    </w:p>
    <w:p w14:paraId="15F292A1" w14:textId="77777777" w:rsidR="00557160" w:rsidRDefault="00000000">
      <w:pPr>
        <w:pStyle w:val="FirstParagraph"/>
      </w:pPr>
      <w:r>
        <w:t xml:space="preserve">Accepted observations would pass documented quality checks before module use. Data ownership, consent, sensitive locations, observer safety and traditional knowledge require explicit agreements. </w:t>
      </w:r>
      <w:proofErr w:type="gramStart"/>
      <w:r>
        <w:t>Participation category</w:t>
      </w:r>
      <w:proofErr w:type="gramEnd"/>
      <w:r>
        <w:t xml:space="preserve"> alone does not determine reliability.</w:t>
      </w:r>
    </w:p>
    <w:p w14:paraId="15EFF665" w14:textId="77777777" w:rsidR="00557160" w:rsidRDefault="00000000">
      <w:pPr>
        <w:pStyle w:val="Heading2"/>
      </w:pPr>
      <w:bookmarkStart w:id="10" w:name="proof-of-concept-environments"/>
      <w:bookmarkEnd w:id="9"/>
      <w:r>
        <w:t>Proof-of-concept environments</w:t>
      </w:r>
    </w:p>
    <w:p w14:paraId="31CC343E" w14:textId="77777777" w:rsidR="00557160" w:rsidRDefault="00000000">
      <w:pPr>
        <w:pStyle w:val="FirstParagraph"/>
      </w:pPr>
      <w:r>
        <w:t>Proposed proof-of-concept work includes the Caribbean and U.S. Pacific and Atlantic coasts. Region-specific hypotheses and partner arrangements require confirmation. The Red Sea and Coral Triangle are possible future applications.</w:t>
      </w:r>
    </w:p>
    <w:tbl>
      <w:tblPr>
        <w:tblStyle w:val="Table"/>
        <w:tblW w:w="4865" w:type="pct"/>
        <w:tblLook w:val="0020" w:firstRow="1" w:lastRow="0" w:firstColumn="0" w:lastColumn="0" w:noHBand="0" w:noVBand="0"/>
      </w:tblPr>
      <w:tblGrid>
        <w:gridCol w:w="1593"/>
        <w:gridCol w:w="5174"/>
        <w:gridCol w:w="2340"/>
      </w:tblGrid>
      <w:tr w:rsidR="00557160" w14:paraId="1A89212E" w14:textId="77777777" w:rsidTr="00557160">
        <w:trPr>
          <w:cnfStyle w:val="100000000000" w:firstRow="1" w:lastRow="0" w:firstColumn="0" w:lastColumn="0" w:oddVBand="0" w:evenVBand="0" w:oddHBand="0" w:evenHBand="0" w:firstRowFirstColumn="0" w:firstRowLastColumn="0" w:lastRowFirstColumn="0" w:lastRowLastColumn="0"/>
          <w:tblHeader/>
        </w:trPr>
        <w:tc>
          <w:tcPr>
            <w:tcW w:w="0" w:type="auto"/>
          </w:tcPr>
          <w:p w14:paraId="01FD072B" w14:textId="77777777" w:rsidR="00557160" w:rsidRDefault="00000000">
            <w:pPr>
              <w:pStyle w:val="Compact"/>
            </w:pPr>
            <w:r>
              <w:t>Region</w:t>
            </w:r>
          </w:p>
        </w:tc>
        <w:tc>
          <w:tcPr>
            <w:tcW w:w="0" w:type="auto"/>
          </w:tcPr>
          <w:p w14:paraId="6308AB86" w14:textId="77777777" w:rsidR="00557160" w:rsidRDefault="00000000">
            <w:pPr>
              <w:pStyle w:val="Compact"/>
            </w:pPr>
            <w:r>
              <w:t>Proposed hypothesis or scope</w:t>
            </w:r>
          </w:p>
        </w:tc>
        <w:tc>
          <w:tcPr>
            <w:tcW w:w="0" w:type="auto"/>
          </w:tcPr>
          <w:p w14:paraId="5EA928A5" w14:textId="77777777" w:rsidR="00557160" w:rsidRDefault="00000000">
            <w:pPr>
              <w:pStyle w:val="Compact"/>
            </w:pPr>
            <w:r>
              <w:t>Status</w:t>
            </w:r>
          </w:p>
        </w:tc>
      </w:tr>
      <w:tr w:rsidR="00557160" w14:paraId="6EAE078B" w14:textId="77777777">
        <w:tc>
          <w:tcPr>
            <w:tcW w:w="0" w:type="auto"/>
          </w:tcPr>
          <w:p w14:paraId="19CA9005" w14:textId="77777777" w:rsidR="00557160" w:rsidRDefault="00000000">
            <w:pPr>
              <w:pStyle w:val="Compact"/>
            </w:pPr>
            <w:r>
              <w:t>Caribbean</w:t>
            </w:r>
          </w:p>
        </w:tc>
        <w:tc>
          <w:tcPr>
            <w:tcW w:w="0" w:type="auto"/>
          </w:tcPr>
          <w:p w14:paraId="0B03CD09" w14:textId="77777777" w:rsidR="00557160" w:rsidRDefault="00000000">
            <w:pPr>
              <w:pStyle w:val="Compact"/>
            </w:pPr>
            <w:r>
              <w:t>Mangrove loss, then juvenile fish and herbivore decline, then reef degradation (GMIN, GMAIN, GRIN)</w:t>
            </w:r>
          </w:p>
        </w:tc>
        <w:tc>
          <w:tcPr>
            <w:tcW w:w="0" w:type="auto"/>
          </w:tcPr>
          <w:p w14:paraId="2BDD951B" w14:textId="77777777" w:rsidR="00557160" w:rsidRDefault="00000000">
            <w:pPr>
              <w:pStyle w:val="Compact"/>
            </w:pPr>
            <w:r>
              <w:t>Primary field environment</w:t>
            </w:r>
          </w:p>
        </w:tc>
      </w:tr>
      <w:tr w:rsidR="00557160" w14:paraId="64EB726E" w14:textId="77777777">
        <w:tc>
          <w:tcPr>
            <w:tcW w:w="0" w:type="auto"/>
          </w:tcPr>
          <w:p w14:paraId="25645E6D" w14:textId="77777777" w:rsidR="00557160" w:rsidRDefault="00000000">
            <w:pPr>
              <w:pStyle w:val="Compact"/>
            </w:pPr>
            <w:r>
              <w:lastRenderedPageBreak/>
              <w:t>U.S. Pacific Coast</w:t>
            </w:r>
          </w:p>
        </w:tc>
        <w:tc>
          <w:tcPr>
            <w:tcW w:w="0" w:type="auto"/>
          </w:tcPr>
          <w:p w14:paraId="16874A0D" w14:textId="77777777" w:rsidR="00557160" w:rsidRDefault="00000000">
            <w:pPr>
              <w:pStyle w:val="Compact"/>
            </w:pPr>
            <w:r>
              <w:t>Causal chain to be defined with partners</w:t>
            </w:r>
          </w:p>
        </w:tc>
        <w:tc>
          <w:tcPr>
            <w:tcW w:w="0" w:type="auto"/>
          </w:tcPr>
          <w:p w14:paraId="5F308F04" w14:textId="77777777" w:rsidR="00557160" w:rsidRDefault="00000000">
            <w:pPr>
              <w:pStyle w:val="Compact"/>
            </w:pPr>
            <w:r>
              <w:t>Planned</w:t>
            </w:r>
          </w:p>
        </w:tc>
      </w:tr>
      <w:tr w:rsidR="00557160" w14:paraId="635348DB" w14:textId="77777777">
        <w:tc>
          <w:tcPr>
            <w:tcW w:w="0" w:type="auto"/>
          </w:tcPr>
          <w:p w14:paraId="3791C7F8" w14:textId="77777777" w:rsidR="00557160" w:rsidRDefault="00000000">
            <w:pPr>
              <w:pStyle w:val="Compact"/>
            </w:pPr>
            <w:r>
              <w:t>U.S. Atlantic Coast</w:t>
            </w:r>
          </w:p>
        </w:tc>
        <w:tc>
          <w:tcPr>
            <w:tcW w:w="0" w:type="auto"/>
          </w:tcPr>
          <w:p w14:paraId="6EB13F0C" w14:textId="77777777" w:rsidR="00557160" w:rsidRDefault="00000000">
            <w:pPr>
              <w:pStyle w:val="Compact"/>
            </w:pPr>
            <w:r>
              <w:t>Causal chain to be defined with partners</w:t>
            </w:r>
          </w:p>
        </w:tc>
        <w:tc>
          <w:tcPr>
            <w:tcW w:w="0" w:type="auto"/>
          </w:tcPr>
          <w:p w14:paraId="20CC93EA" w14:textId="77777777" w:rsidR="00557160" w:rsidRDefault="00000000">
            <w:pPr>
              <w:pStyle w:val="Compact"/>
            </w:pPr>
            <w:r>
              <w:t>Planned</w:t>
            </w:r>
          </w:p>
        </w:tc>
      </w:tr>
      <w:tr w:rsidR="00557160" w14:paraId="21837B95" w14:textId="77777777">
        <w:tc>
          <w:tcPr>
            <w:tcW w:w="0" w:type="auto"/>
          </w:tcPr>
          <w:p w14:paraId="0D1ED307" w14:textId="77777777" w:rsidR="00557160" w:rsidRDefault="00000000">
            <w:pPr>
              <w:pStyle w:val="Compact"/>
            </w:pPr>
            <w:r>
              <w:t>Red Sea</w:t>
            </w:r>
          </w:p>
        </w:tc>
        <w:tc>
          <w:tcPr>
            <w:tcW w:w="0" w:type="auto"/>
          </w:tcPr>
          <w:p w14:paraId="7292625F" w14:textId="77777777" w:rsidR="00557160" w:rsidRDefault="00000000">
            <w:pPr>
              <w:pStyle w:val="Compact"/>
            </w:pPr>
            <w:r>
              <w:t>Possible thermal stress and habitat-interaction study; causal chain untested</w:t>
            </w:r>
          </w:p>
        </w:tc>
        <w:tc>
          <w:tcPr>
            <w:tcW w:w="0" w:type="auto"/>
          </w:tcPr>
          <w:p w14:paraId="74D4C481" w14:textId="77777777" w:rsidR="00557160" w:rsidRDefault="00000000">
            <w:pPr>
              <w:pStyle w:val="Compact"/>
            </w:pPr>
            <w:r>
              <w:t>Future proposal; not yet scoped</w:t>
            </w:r>
          </w:p>
        </w:tc>
      </w:tr>
      <w:tr w:rsidR="00557160" w14:paraId="05B1EE5D" w14:textId="77777777">
        <w:tc>
          <w:tcPr>
            <w:tcW w:w="0" w:type="auto"/>
          </w:tcPr>
          <w:p w14:paraId="4C28BA33" w14:textId="77777777" w:rsidR="00557160" w:rsidRDefault="00000000">
            <w:pPr>
              <w:pStyle w:val="Compact"/>
            </w:pPr>
            <w:r>
              <w:t>Coral Triangle</w:t>
            </w:r>
          </w:p>
        </w:tc>
        <w:tc>
          <w:tcPr>
            <w:tcW w:w="0" w:type="auto"/>
          </w:tcPr>
          <w:p w14:paraId="517C23C6" w14:textId="77777777" w:rsidR="00557160" w:rsidRDefault="00000000">
            <w:pPr>
              <w:pStyle w:val="Compact"/>
            </w:pPr>
            <w:r>
              <w:t>Multi-ecosystem monitoring in the most biodiverse marine region</w:t>
            </w:r>
          </w:p>
        </w:tc>
        <w:tc>
          <w:tcPr>
            <w:tcW w:w="0" w:type="auto"/>
          </w:tcPr>
          <w:p w14:paraId="22753654" w14:textId="77777777" w:rsidR="00557160" w:rsidRDefault="00000000">
            <w:pPr>
              <w:pStyle w:val="Compact"/>
            </w:pPr>
            <w:r>
              <w:t>Future proposal; not yet scoped</w:t>
            </w:r>
          </w:p>
        </w:tc>
      </w:tr>
    </w:tbl>
    <w:p w14:paraId="161221F5" w14:textId="77777777" w:rsidR="00557160" w:rsidRDefault="00000000">
      <w:pPr>
        <w:pStyle w:val="BodyText"/>
      </w:pPr>
      <w:r>
        <w:t>Mangrove–reef connectivity is supported by research on fish communities (Mumby et al., 2004). It does not establish the entire proposed sequence from mangrove loss to herbivore decline to reef degradation at a particular site. The Caribbean example remains a hypothesis requiring site-specific tests and consideration of alternative explanations.</w:t>
      </w:r>
    </w:p>
    <w:p w14:paraId="50AD6202" w14:textId="77777777" w:rsidR="00557160" w:rsidRDefault="00000000">
      <w:pPr>
        <w:pStyle w:val="Heading2"/>
      </w:pPr>
      <w:bookmarkStart w:id="11" w:name="governance-and-data-sovereignty"/>
      <w:bookmarkEnd w:id="10"/>
      <w:r>
        <w:t>Governance and data sovereignty</w:t>
      </w:r>
    </w:p>
    <w:p w14:paraId="2695D4CC" w14:textId="77777777" w:rsidR="00557160" w:rsidRDefault="00000000">
      <w:pPr>
        <w:pStyle w:val="FirstParagraph"/>
      </w:pPr>
      <w:r>
        <w:t>The governance design aims to preserve who recommended and approved an action and the evidence available at the time.</w:t>
      </w:r>
    </w:p>
    <w:p w14:paraId="5D11696E" w14:textId="77777777" w:rsidR="00557160" w:rsidRDefault="00000000">
      <w:pPr>
        <w:numPr>
          <w:ilvl w:val="0"/>
          <w:numId w:val="9"/>
        </w:numPr>
      </w:pPr>
      <w:r>
        <w:t>Traceability. Each output links back through the chain: decision, DMAP-CAL, CMIE, module, feature, then the source observation or MOOP task.</w:t>
      </w:r>
    </w:p>
    <w:p w14:paraId="00067A34" w14:textId="77777777" w:rsidR="00557160" w:rsidRDefault="00000000">
      <w:pPr>
        <w:numPr>
          <w:ilvl w:val="0"/>
          <w:numId w:val="9"/>
        </w:numPr>
      </w:pPr>
      <w:r>
        <w:t>Immutable data. Raw data is versioned and never overwritten. Corrections are new versions.</w:t>
      </w:r>
    </w:p>
    <w:p w14:paraId="138ADD2F" w14:textId="77777777" w:rsidR="00557160" w:rsidRDefault="00000000">
      <w:pPr>
        <w:numPr>
          <w:ilvl w:val="0"/>
          <w:numId w:val="9"/>
        </w:numPr>
      </w:pPr>
      <w:r>
        <w:t>Human oversight. GROAN supports decisions and does not make them. People in defined roles approve actions. The five roles are Scientist, Operator, Policymaker, Field Agent and Administrator.</w:t>
      </w:r>
    </w:p>
    <w:p w14:paraId="515401B5" w14:textId="77777777" w:rsidR="00557160" w:rsidRDefault="00000000">
      <w:pPr>
        <w:numPr>
          <w:ilvl w:val="0"/>
          <w:numId w:val="9"/>
        </w:numPr>
      </w:pPr>
      <w:r>
        <w:t>Observer rights. Observer data ownership, traditional knowledge handling, observer safety and sensitive-zone rules are part of the citizen science design.</w:t>
      </w:r>
    </w:p>
    <w:p w14:paraId="1ED255A4" w14:textId="77777777" w:rsidR="00557160" w:rsidRDefault="00000000">
      <w:pPr>
        <w:numPr>
          <w:ilvl w:val="0"/>
          <w:numId w:val="9"/>
        </w:numPr>
      </w:pPr>
      <w:r>
        <w:t>Governance layer (planned). The proposed META-LAYER would add a cross-ecosystem compliance gate. Policy authority and implementation are unresolved. Current work still requires explicit human review and applicable permissions; a future gate cannot provide present compliance assurance.</w:t>
      </w:r>
    </w:p>
    <w:p w14:paraId="062C3086" w14:textId="77777777" w:rsidR="00557160" w:rsidRDefault="00000000">
      <w:pPr>
        <w:numPr>
          <w:ilvl w:val="0"/>
          <w:numId w:val="9"/>
        </w:numPr>
      </w:pPr>
      <w:r>
        <w:lastRenderedPageBreak/>
        <w:t>Partner governance (proposed). Project materials describe an executive committee, a data governance committee and a scientific advisory board. Their membership, authority and commitments require documented partner agreement.</w:t>
      </w:r>
    </w:p>
    <w:p w14:paraId="684E4424" w14:textId="77777777" w:rsidR="00557160" w:rsidRDefault="00000000">
      <w:pPr>
        <w:pStyle w:val="Heading2"/>
      </w:pPr>
      <w:bookmarkStart w:id="12" w:name="status-and-limitations"/>
      <w:bookmarkEnd w:id="11"/>
      <w:r>
        <w:t>Status and limitations</w:t>
      </w:r>
    </w:p>
    <w:p w14:paraId="1D991383" w14:textId="77777777" w:rsidR="00557160" w:rsidRDefault="00000000">
      <w:pPr>
        <w:pStyle w:val="FirstParagraph"/>
      </w:pPr>
      <w:r>
        <w:t>The following table reports project-documented status as of May 2026; these entries have not been checked against the underlying project records. Counts and completion labels have not been independently verified; “complete” refers to reported documentation or dashboard milestones unless demonstrated otherwise.</w:t>
      </w:r>
    </w:p>
    <w:tbl>
      <w:tblPr>
        <w:tblStyle w:val="Table"/>
        <w:tblW w:w="4867" w:type="pct"/>
        <w:tblLook w:val="0020" w:firstRow="1" w:lastRow="0" w:firstColumn="0" w:lastColumn="0" w:noHBand="0" w:noVBand="0"/>
      </w:tblPr>
      <w:tblGrid>
        <w:gridCol w:w="2044"/>
        <w:gridCol w:w="3262"/>
        <w:gridCol w:w="3805"/>
      </w:tblGrid>
      <w:tr w:rsidR="00557160" w14:paraId="721D2310" w14:textId="77777777" w:rsidTr="00557160">
        <w:trPr>
          <w:cnfStyle w:val="100000000000" w:firstRow="1" w:lastRow="0" w:firstColumn="0" w:lastColumn="0" w:oddVBand="0" w:evenVBand="0" w:oddHBand="0" w:evenHBand="0" w:firstRowFirstColumn="0" w:firstRowLastColumn="0" w:lastRowFirstColumn="0" w:lastRowLastColumn="0"/>
          <w:tblHeader/>
        </w:trPr>
        <w:tc>
          <w:tcPr>
            <w:tcW w:w="0" w:type="auto"/>
          </w:tcPr>
          <w:p w14:paraId="148E5ACA" w14:textId="77777777" w:rsidR="00557160" w:rsidRDefault="00000000">
            <w:pPr>
              <w:pStyle w:val="Compact"/>
            </w:pPr>
            <w:r>
              <w:t>Component</w:t>
            </w:r>
          </w:p>
        </w:tc>
        <w:tc>
          <w:tcPr>
            <w:tcW w:w="0" w:type="auto"/>
          </w:tcPr>
          <w:p w14:paraId="343DB4D3" w14:textId="77777777" w:rsidR="00557160" w:rsidRDefault="00000000">
            <w:pPr>
              <w:pStyle w:val="Compact"/>
            </w:pPr>
            <w:r>
              <w:t>Project-documented status (May 2026, unverified)</w:t>
            </w:r>
          </w:p>
        </w:tc>
        <w:tc>
          <w:tcPr>
            <w:tcW w:w="0" w:type="auto"/>
          </w:tcPr>
          <w:p w14:paraId="3E4EDA65" w14:textId="77777777" w:rsidR="00557160" w:rsidRDefault="00000000">
            <w:pPr>
              <w:pStyle w:val="Compact"/>
            </w:pPr>
            <w:r>
              <w:t>Next milestone</w:t>
            </w:r>
          </w:p>
        </w:tc>
      </w:tr>
      <w:tr w:rsidR="00557160" w14:paraId="5505B62A" w14:textId="77777777">
        <w:tc>
          <w:tcPr>
            <w:tcW w:w="0" w:type="auto"/>
          </w:tcPr>
          <w:p w14:paraId="62D71CDD" w14:textId="77777777" w:rsidR="00557160" w:rsidRDefault="00000000">
            <w:pPr>
              <w:pStyle w:val="Compact"/>
            </w:pPr>
            <w:r>
              <w:t>Shared Global Data Layer</w:t>
            </w:r>
          </w:p>
        </w:tc>
        <w:tc>
          <w:tcPr>
            <w:tcW w:w="0" w:type="auto"/>
          </w:tcPr>
          <w:p w14:paraId="717B3475" w14:textId="77777777" w:rsidR="00557160" w:rsidRDefault="00000000">
            <w:pPr>
              <w:pStyle w:val="Compact"/>
            </w:pPr>
            <w:r>
              <w:t>58 sources registered; 49 mapped (May 2026) across all 11 modules</w:t>
            </w:r>
          </w:p>
        </w:tc>
        <w:tc>
          <w:tcPr>
            <w:tcW w:w="0" w:type="auto"/>
          </w:tcPr>
          <w:p w14:paraId="1E98551B" w14:textId="77777777" w:rsidR="00557160" w:rsidRDefault="00000000">
            <w:pPr>
              <w:pStyle w:val="Compact"/>
            </w:pPr>
            <w:r>
              <w:t>Complete integration of registered sources</w:t>
            </w:r>
          </w:p>
        </w:tc>
      </w:tr>
      <w:tr w:rsidR="00557160" w14:paraId="627F310A" w14:textId="77777777">
        <w:tc>
          <w:tcPr>
            <w:tcW w:w="0" w:type="auto"/>
          </w:tcPr>
          <w:p w14:paraId="572A3C6D" w14:textId="77777777" w:rsidR="00557160" w:rsidRDefault="00000000">
            <w:pPr>
              <w:pStyle w:val="Compact"/>
            </w:pPr>
            <w:r>
              <w:t>Feature Layer</w:t>
            </w:r>
          </w:p>
        </w:tc>
        <w:tc>
          <w:tcPr>
            <w:tcW w:w="0" w:type="auto"/>
          </w:tcPr>
          <w:p w14:paraId="0A5D1344" w14:textId="77777777" w:rsidR="00557160" w:rsidRDefault="00000000">
            <w:pPr>
              <w:pStyle w:val="Compact"/>
            </w:pPr>
            <w:r>
              <w:t>Specified</w:t>
            </w:r>
          </w:p>
        </w:tc>
        <w:tc>
          <w:tcPr>
            <w:tcW w:w="0" w:type="auto"/>
          </w:tcPr>
          <w:p w14:paraId="2FB8E03C" w14:textId="77777777" w:rsidR="00557160" w:rsidRDefault="00000000">
            <w:pPr>
              <w:pStyle w:val="Compact"/>
            </w:pPr>
            <w:r>
              <w:t>Formal specification of the dispatch component</w:t>
            </w:r>
          </w:p>
        </w:tc>
      </w:tr>
      <w:tr w:rsidR="00557160" w14:paraId="0029474E" w14:textId="77777777">
        <w:tc>
          <w:tcPr>
            <w:tcW w:w="0" w:type="auto"/>
          </w:tcPr>
          <w:p w14:paraId="44894544" w14:textId="77777777" w:rsidR="00557160" w:rsidRDefault="00000000">
            <w:pPr>
              <w:pStyle w:val="Compact"/>
            </w:pPr>
            <w:r>
              <w:t>Cross-Module Interaction Engine</w:t>
            </w:r>
          </w:p>
        </w:tc>
        <w:tc>
          <w:tcPr>
            <w:tcW w:w="0" w:type="auto"/>
          </w:tcPr>
          <w:p w14:paraId="61332C79" w14:textId="77777777" w:rsidR="00557160" w:rsidRDefault="00000000">
            <w:pPr>
              <w:pStyle w:val="Compact"/>
            </w:pPr>
            <w:r>
              <w:t>10 segments complete</w:t>
            </w:r>
          </w:p>
        </w:tc>
        <w:tc>
          <w:tcPr>
            <w:tcW w:w="0" w:type="auto"/>
          </w:tcPr>
          <w:p w14:paraId="033E17F2" w14:textId="77777777" w:rsidR="00557160" w:rsidRDefault="00000000">
            <w:pPr>
              <w:pStyle w:val="Compact"/>
            </w:pPr>
            <w:r>
              <w:t>Interaction coefficients for GMIN–GMAIN and GMAIN–GRIN</w:t>
            </w:r>
          </w:p>
        </w:tc>
      </w:tr>
      <w:tr w:rsidR="00557160" w14:paraId="21FBC671" w14:textId="77777777">
        <w:tc>
          <w:tcPr>
            <w:tcW w:w="0" w:type="auto"/>
          </w:tcPr>
          <w:p w14:paraId="4AA12B24" w14:textId="77777777" w:rsidR="00557160" w:rsidRDefault="00000000">
            <w:pPr>
              <w:pStyle w:val="Compact"/>
            </w:pPr>
            <w:r>
              <w:t>DMAP-CAL</w:t>
            </w:r>
          </w:p>
        </w:tc>
        <w:tc>
          <w:tcPr>
            <w:tcW w:w="0" w:type="auto"/>
          </w:tcPr>
          <w:p w14:paraId="2400F092" w14:textId="77777777" w:rsidR="00557160" w:rsidRDefault="00000000">
            <w:pPr>
              <w:pStyle w:val="Compact"/>
            </w:pPr>
            <w:r>
              <w:t>22 segments</w:t>
            </w:r>
          </w:p>
        </w:tc>
        <w:tc>
          <w:tcPr>
            <w:tcW w:w="0" w:type="auto"/>
          </w:tcPr>
          <w:p w14:paraId="5319DB38" w14:textId="77777777" w:rsidR="00557160" w:rsidRDefault="00000000">
            <w:pPr>
              <w:pStyle w:val="Compact"/>
            </w:pPr>
            <w:r>
              <w:t>Reinforcement-learning safety constraint; input vector extended to all 11 modules</w:t>
            </w:r>
          </w:p>
        </w:tc>
      </w:tr>
      <w:tr w:rsidR="00557160" w14:paraId="7F4903DB" w14:textId="77777777">
        <w:tc>
          <w:tcPr>
            <w:tcW w:w="0" w:type="auto"/>
          </w:tcPr>
          <w:p w14:paraId="52F8A162" w14:textId="77777777" w:rsidR="00557160" w:rsidRDefault="00000000">
            <w:pPr>
              <w:pStyle w:val="Compact"/>
            </w:pPr>
            <w:r>
              <w:t>GRIN</w:t>
            </w:r>
          </w:p>
        </w:tc>
        <w:tc>
          <w:tcPr>
            <w:tcW w:w="0" w:type="auto"/>
          </w:tcPr>
          <w:p w14:paraId="27541F9E" w14:textId="77777777" w:rsidR="00557160" w:rsidRDefault="00000000">
            <w:pPr>
              <w:pStyle w:val="Compact"/>
            </w:pPr>
            <w:r>
              <w:t>32 segments reported; completion scope needs reconciliation</w:t>
            </w:r>
          </w:p>
        </w:tc>
        <w:tc>
          <w:tcPr>
            <w:tcW w:w="0" w:type="auto"/>
          </w:tcPr>
          <w:p w14:paraId="614DC344" w14:textId="77777777" w:rsidR="00557160" w:rsidRDefault="00000000">
            <w:pPr>
              <w:pStyle w:val="Compact"/>
            </w:pPr>
            <w:r>
              <w:t>Resolve conflict between “complete” status and listed extensions 18–21</w:t>
            </w:r>
          </w:p>
        </w:tc>
      </w:tr>
      <w:tr w:rsidR="00557160" w14:paraId="3834AD2E" w14:textId="77777777">
        <w:tc>
          <w:tcPr>
            <w:tcW w:w="0" w:type="auto"/>
          </w:tcPr>
          <w:p w14:paraId="2F25E7F0" w14:textId="77777777" w:rsidR="00557160" w:rsidRDefault="00000000">
            <w:pPr>
              <w:pStyle w:val="Compact"/>
            </w:pPr>
            <w:r>
              <w:t>GKIN</w:t>
            </w:r>
          </w:p>
        </w:tc>
        <w:tc>
          <w:tcPr>
            <w:tcW w:w="0" w:type="auto"/>
          </w:tcPr>
          <w:p w14:paraId="5C3FB3EF" w14:textId="77777777" w:rsidR="00557160" w:rsidRDefault="00000000">
            <w:pPr>
              <w:pStyle w:val="Compact"/>
            </w:pPr>
            <w:r>
              <w:t>Core complete, 21 segments</w:t>
            </w:r>
          </w:p>
        </w:tc>
        <w:tc>
          <w:tcPr>
            <w:tcW w:w="0" w:type="auto"/>
          </w:tcPr>
          <w:p w14:paraId="12E6B82F" w14:textId="77777777" w:rsidR="00557160" w:rsidRDefault="00000000">
            <w:pPr>
              <w:pStyle w:val="Compact"/>
            </w:pPr>
            <w:r>
              <w:t>Extension segments equivalent to GRIN 22–32</w:t>
            </w:r>
          </w:p>
        </w:tc>
      </w:tr>
      <w:tr w:rsidR="00557160" w14:paraId="4DB40466" w14:textId="77777777">
        <w:tc>
          <w:tcPr>
            <w:tcW w:w="0" w:type="auto"/>
          </w:tcPr>
          <w:p w14:paraId="57E489D6" w14:textId="77777777" w:rsidR="00557160" w:rsidRDefault="00000000">
            <w:pPr>
              <w:pStyle w:val="Compact"/>
            </w:pPr>
            <w:r>
              <w:t>Other nine modules</w:t>
            </w:r>
          </w:p>
        </w:tc>
        <w:tc>
          <w:tcPr>
            <w:tcW w:w="0" w:type="auto"/>
          </w:tcPr>
          <w:p w14:paraId="7588C58F" w14:textId="77777777" w:rsidR="00557160" w:rsidRDefault="00000000">
            <w:pPr>
              <w:pStyle w:val="Compact"/>
            </w:pPr>
            <w:r>
              <w:t>Dashboards complete</w:t>
            </w:r>
          </w:p>
        </w:tc>
        <w:tc>
          <w:tcPr>
            <w:tcW w:w="0" w:type="auto"/>
          </w:tcPr>
          <w:p w14:paraId="1B0FF198" w14:textId="77777777" w:rsidR="00557160" w:rsidRDefault="00000000">
            <w:pPr>
              <w:pStyle w:val="Compact"/>
            </w:pPr>
            <w:r>
              <w:t>Technical specifications</w:t>
            </w:r>
          </w:p>
        </w:tc>
      </w:tr>
      <w:tr w:rsidR="00557160" w14:paraId="5B0230C8" w14:textId="77777777">
        <w:tc>
          <w:tcPr>
            <w:tcW w:w="0" w:type="auto"/>
          </w:tcPr>
          <w:p w14:paraId="0E198F08" w14:textId="77777777" w:rsidR="00557160" w:rsidRDefault="00000000">
            <w:pPr>
              <w:pStyle w:val="Compact"/>
            </w:pPr>
            <w:r>
              <w:t>UI Layer</w:t>
            </w:r>
          </w:p>
        </w:tc>
        <w:tc>
          <w:tcPr>
            <w:tcW w:w="0" w:type="auto"/>
          </w:tcPr>
          <w:p w14:paraId="0590CE72" w14:textId="77777777" w:rsidR="00557160" w:rsidRDefault="00000000">
            <w:pPr>
              <w:pStyle w:val="Compact"/>
            </w:pPr>
            <w:r>
              <w:t>12 segments</w:t>
            </w:r>
          </w:p>
        </w:tc>
        <w:tc>
          <w:tcPr>
            <w:tcW w:w="0" w:type="auto"/>
          </w:tcPr>
          <w:p w14:paraId="1F4CA928" w14:textId="77777777" w:rsidR="00557160" w:rsidRDefault="00000000">
            <w:pPr>
              <w:pStyle w:val="Compact"/>
            </w:pPr>
            <w:r>
              <w:t>Module references extended to all eleven modules</w:t>
            </w:r>
          </w:p>
        </w:tc>
      </w:tr>
      <w:tr w:rsidR="00557160" w14:paraId="3DAF2C23" w14:textId="77777777">
        <w:tc>
          <w:tcPr>
            <w:tcW w:w="0" w:type="auto"/>
          </w:tcPr>
          <w:p w14:paraId="7E164CE8" w14:textId="77777777" w:rsidR="00557160" w:rsidRDefault="00000000">
            <w:pPr>
              <w:pStyle w:val="Compact"/>
            </w:pPr>
            <w:r>
              <w:t>MOOP</w:t>
            </w:r>
          </w:p>
        </w:tc>
        <w:tc>
          <w:tcPr>
            <w:tcW w:w="0" w:type="auto"/>
          </w:tcPr>
          <w:p w14:paraId="389161D5" w14:textId="77777777" w:rsidR="00557160" w:rsidRDefault="00000000">
            <w:pPr>
              <w:pStyle w:val="Compact"/>
            </w:pPr>
            <w:r>
              <w:t>Platform profile documented</w:t>
            </w:r>
          </w:p>
        </w:tc>
        <w:tc>
          <w:tcPr>
            <w:tcW w:w="0" w:type="auto"/>
          </w:tcPr>
          <w:p w14:paraId="3C630477" w14:textId="77777777" w:rsidR="00557160" w:rsidRDefault="00000000">
            <w:pPr>
              <w:pStyle w:val="Compact"/>
            </w:pPr>
            <w:r>
              <w:t>Rim Run field deployment</w:t>
            </w:r>
          </w:p>
        </w:tc>
      </w:tr>
      <w:tr w:rsidR="00557160" w14:paraId="30B1FA0B" w14:textId="77777777">
        <w:tc>
          <w:tcPr>
            <w:tcW w:w="0" w:type="auto"/>
          </w:tcPr>
          <w:p w14:paraId="043D0B91" w14:textId="77777777" w:rsidR="00557160" w:rsidRDefault="00000000">
            <w:pPr>
              <w:pStyle w:val="Compact"/>
            </w:pPr>
            <w:r>
              <w:t>META-LAYER</w:t>
            </w:r>
          </w:p>
        </w:tc>
        <w:tc>
          <w:tcPr>
            <w:tcW w:w="0" w:type="auto"/>
          </w:tcPr>
          <w:p w14:paraId="34F16CC7" w14:textId="77777777" w:rsidR="00557160" w:rsidRDefault="00000000">
            <w:pPr>
              <w:pStyle w:val="Compact"/>
            </w:pPr>
            <w:r>
              <w:t>12 segments</w:t>
            </w:r>
          </w:p>
        </w:tc>
        <w:tc>
          <w:tcPr>
            <w:tcW w:w="0" w:type="auto"/>
          </w:tcPr>
          <w:p w14:paraId="2CE6E37D" w14:textId="77777777" w:rsidR="00557160" w:rsidRDefault="00000000">
            <w:pPr>
              <w:pStyle w:val="Compact"/>
            </w:pPr>
            <w:r>
              <w:t xml:space="preserve">Future state; planned after </w:t>
            </w:r>
            <w:r>
              <w:lastRenderedPageBreak/>
              <w:t>validation</w:t>
            </w:r>
          </w:p>
        </w:tc>
      </w:tr>
    </w:tbl>
    <w:p w14:paraId="36D24459" w14:textId="77777777" w:rsidR="00557160" w:rsidRDefault="00000000">
      <w:pPr>
        <w:pStyle w:val="BodyText"/>
      </w:pPr>
      <w:r>
        <w:lastRenderedPageBreak/>
        <w:t>Known limits:</w:t>
      </w:r>
    </w:p>
    <w:p w14:paraId="3B94E7B1" w14:textId="77777777" w:rsidR="00557160" w:rsidRDefault="00000000">
      <w:pPr>
        <w:numPr>
          <w:ilvl w:val="0"/>
          <w:numId w:val="10"/>
        </w:numPr>
      </w:pPr>
      <w:r>
        <w:t>Performance depends on data availability, sensor reliability and participation.</w:t>
      </w:r>
    </w:p>
    <w:p w14:paraId="5A895794" w14:textId="77777777" w:rsidR="00557160" w:rsidRDefault="00000000">
      <w:pPr>
        <w:numPr>
          <w:ilvl w:val="0"/>
          <w:numId w:val="10"/>
        </w:numPr>
      </w:pPr>
      <w:r>
        <w:t>Uncertainty methods need explicit definitions, calibration and testing against independent observations.</w:t>
      </w:r>
    </w:p>
    <w:p w14:paraId="61F1A048" w14:textId="77777777" w:rsidR="00557160" w:rsidRDefault="00000000">
      <w:pPr>
        <w:numPr>
          <w:ilvl w:val="0"/>
          <w:numId w:val="10"/>
        </w:numPr>
      </w:pPr>
      <w:r>
        <w:t>Forecast skill is not yet verified. Archived retrospective tests and prospective verification are needed before operational performance claims.</w:t>
      </w:r>
    </w:p>
    <w:p w14:paraId="0D9EC9FE" w14:textId="77777777" w:rsidR="00557160" w:rsidRDefault="00000000">
      <w:pPr>
        <w:numPr>
          <w:ilvl w:val="0"/>
          <w:numId w:val="10"/>
        </w:numPr>
      </w:pPr>
      <w:r>
        <w:t>Global coverage needs coordination and consistent data from many partners.</w:t>
      </w:r>
    </w:p>
    <w:p w14:paraId="1FB7D4F7" w14:textId="77777777" w:rsidR="00557160" w:rsidRDefault="00000000">
      <w:pPr>
        <w:numPr>
          <w:ilvl w:val="0"/>
          <w:numId w:val="10"/>
        </w:numPr>
      </w:pPr>
      <w:r>
        <w:t>Data availability. This paper presents no datasets. Its figures and tables describe design and project documentation only.</w:t>
      </w:r>
    </w:p>
    <w:p w14:paraId="6A71CA57" w14:textId="77777777" w:rsidR="00557160" w:rsidRDefault="00000000">
      <w:pPr>
        <w:numPr>
          <w:ilvl w:val="0"/>
          <w:numId w:val="10"/>
        </w:numPr>
      </w:pPr>
      <w:r>
        <w:rPr>
          <w:b/>
        </w:rPr>
        <w:t>Funding.</w:t>
      </w:r>
      <w:r>
        <w:t xml:space="preserve"> [Funding status to confirm.]</w:t>
      </w:r>
    </w:p>
    <w:p w14:paraId="2A6C57CE" w14:textId="77777777" w:rsidR="00557160" w:rsidRDefault="00000000">
      <w:pPr>
        <w:pStyle w:val="Heading2"/>
      </w:pPr>
      <w:bookmarkStart w:id="13" w:name="sources"/>
      <w:bookmarkEnd w:id="12"/>
      <w:r>
        <w:t>Glossary of acronyms and terms</w:t>
      </w:r>
    </w:p>
    <w:p w14:paraId="19713867" w14:textId="77777777" w:rsidR="00557160" w:rsidRDefault="00000000">
      <w:pPr>
        <w:numPr>
          <w:ilvl w:val="0"/>
          <w:numId w:val="7"/>
        </w:numPr>
      </w:pPr>
      <w:r>
        <w:rPr>
          <w:b/>
        </w:rPr>
        <w:t>GROAN</w:t>
      </w:r>
      <w:r>
        <w:t xml:space="preserve"> Global Reef &amp; Ocean Analytics Network (project name; expansion per project records, to confirm). The platform described in this paper.</w:t>
      </w:r>
    </w:p>
    <w:p w14:paraId="278D9499" w14:textId="77777777" w:rsidR="00557160" w:rsidRDefault="00000000">
      <w:pPr>
        <w:numPr>
          <w:ilvl w:val="0"/>
          <w:numId w:val="7"/>
        </w:numPr>
      </w:pPr>
      <w:r>
        <w:rPr>
          <w:b/>
        </w:rPr>
        <w:t>GRIN</w:t>
      </w:r>
      <w:r>
        <w:t xml:space="preserve"> Global Reef Intelligence Network. Ecosystem module for coral reefs.</w:t>
      </w:r>
    </w:p>
    <w:p w14:paraId="7D8A6880" w14:textId="77777777" w:rsidR="00557160" w:rsidRDefault="00000000">
      <w:pPr>
        <w:numPr>
          <w:ilvl w:val="0"/>
          <w:numId w:val="7"/>
        </w:numPr>
      </w:pPr>
      <w:r>
        <w:rPr>
          <w:b/>
        </w:rPr>
        <w:t>GKIN</w:t>
      </w:r>
      <w:r>
        <w:t xml:space="preserve"> Global Kelp Intelligence Network. Ecosystem module for kelp forests.</w:t>
      </w:r>
    </w:p>
    <w:p w14:paraId="41D7FC2C" w14:textId="77777777" w:rsidR="00557160" w:rsidRDefault="00000000">
      <w:pPr>
        <w:numPr>
          <w:ilvl w:val="0"/>
          <w:numId w:val="7"/>
        </w:numPr>
      </w:pPr>
      <w:r>
        <w:rPr>
          <w:b/>
        </w:rPr>
        <w:t>GSIN</w:t>
      </w:r>
      <w:r>
        <w:t xml:space="preserve"> Global Seagrass Intelligence Network. Ecosystem module for seagrass meadows.</w:t>
      </w:r>
    </w:p>
    <w:p w14:paraId="15F1FFA0" w14:textId="77777777" w:rsidR="00557160" w:rsidRDefault="00000000">
      <w:pPr>
        <w:numPr>
          <w:ilvl w:val="0"/>
          <w:numId w:val="7"/>
        </w:numPr>
      </w:pPr>
      <w:r>
        <w:rPr>
          <w:b/>
        </w:rPr>
        <w:t>GMIN</w:t>
      </w:r>
      <w:r>
        <w:t xml:space="preserve"> Global Mangrove Intelligence Network. Ecosystem module for mangrove forests.</w:t>
      </w:r>
    </w:p>
    <w:p w14:paraId="7FE85637" w14:textId="77777777" w:rsidR="00557160" w:rsidRDefault="00000000">
      <w:pPr>
        <w:numPr>
          <w:ilvl w:val="0"/>
          <w:numId w:val="7"/>
        </w:numPr>
      </w:pPr>
      <w:r>
        <w:rPr>
          <w:b/>
        </w:rPr>
        <w:t>GMAIN</w:t>
      </w:r>
      <w:r>
        <w:t xml:space="preserve"> Global Marine Animal Intelligence Network. Ecosystem module for marine animal populations.</w:t>
      </w:r>
    </w:p>
    <w:p w14:paraId="0F408BEC" w14:textId="77777777" w:rsidR="00557160" w:rsidRDefault="00000000">
      <w:pPr>
        <w:numPr>
          <w:ilvl w:val="0"/>
          <w:numId w:val="7"/>
        </w:numPr>
      </w:pPr>
      <w:r>
        <w:rPr>
          <w:b/>
        </w:rPr>
        <w:t>GPLIN</w:t>
      </w:r>
      <w:r>
        <w:t xml:space="preserve"> Global Phytoplankton &amp; Plankton Intelligence Network. Ecosystem module for plankton communities.</w:t>
      </w:r>
    </w:p>
    <w:p w14:paraId="3A448DAA" w14:textId="77777777" w:rsidR="00557160" w:rsidRDefault="00000000">
      <w:pPr>
        <w:numPr>
          <w:ilvl w:val="0"/>
          <w:numId w:val="7"/>
        </w:numPr>
      </w:pPr>
      <w:r>
        <w:rPr>
          <w:b/>
        </w:rPr>
        <w:lastRenderedPageBreak/>
        <w:t>GPIN</w:t>
      </w:r>
      <w:r>
        <w:t xml:space="preserve"> Global Polar Intelligence Network. Ecosystem module for polar ice and polar waters.</w:t>
      </w:r>
    </w:p>
    <w:p w14:paraId="72FB7DAF" w14:textId="77777777" w:rsidR="00557160" w:rsidRDefault="00000000">
      <w:pPr>
        <w:numPr>
          <w:ilvl w:val="0"/>
          <w:numId w:val="7"/>
        </w:numPr>
      </w:pPr>
      <w:r>
        <w:rPr>
          <w:b/>
        </w:rPr>
        <w:t>GOPEN</w:t>
      </w:r>
      <w:r>
        <w:t xml:space="preserve"> Global Open Ocean / Pelagic Intelligence Network. Ecosystem module for open-ocean and pelagic waters.</w:t>
      </w:r>
    </w:p>
    <w:p w14:paraId="351194FE" w14:textId="77777777" w:rsidR="00557160" w:rsidRDefault="00000000">
      <w:pPr>
        <w:numPr>
          <w:ilvl w:val="0"/>
          <w:numId w:val="7"/>
        </w:numPr>
      </w:pPr>
      <w:r>
        <w:rPr>
          <w:b/>
        </w:rPr>
        <w:t>GDSIN</w:t>
      </w:r>
      <w:r>
        <w:t xml:space="preserve"> Global Deep Sea Intelligence Network. Ecosystem module for deep-sea environments.</w:t>
      </w:r>
    </w:p>
    <w:p w14:paraId="7E8D95D5" w14:textId="77777777" w:rsidR="00557160" w:rsidRDefault="00000000">
      <w:pPr>
        <w:numPr>
          <w:ilvl w:val="0"/>
          <w:numId w:val="7"/>
        </w:numPr>
      </w:pPr>
      <w:r>
        <w:rPr>
          <w:b/>
        </w:rPr>
        <w:t>GEIN</w:t>
      </w:r>
      <w:r>
        <w:t xml:space="preserve"> Global Estuary Intelligence Network. Ecosystem module for estuaries.</w:t>
      </w:r>
    </w:p>
    <w:p w14:paraId="18BA0A1C" w14:textId="77777777" w:rsidR="00557160" w:rsidRDefault="00000000">
      <w:pPr>
        <w:numPr>
          <w:ilvl w:val="0"/>
          <w:numId w:val="7"/>
        </w:numPr>
      </w:pPr>
      <w:r>
        <w:rPr>
          <w:b/>
        </w:rPr>
        <w:t>GSMAN</w:t>
      </w:r>
      <w:r>
        <w:t xml:space="preserve"> Global Salt Marsh Intelligence Network. Ecosystem module for salt marshes.</w:t>
      </w:r>
    </w:p>
    <w:p w14:paraId="3422A638" w14:textId="77777777" w:rsidR="00557160" w:rsidRDefault="00000000">
      <w:pPr>
        <w:numPr>
          <w:ilvl w:val="0"/>
          <w:numId w:val="7"/>
        </w:numPr>
      </w:pPr>
      <w:r>
        <w:rPr>
          <w:b/>
        </w:rPr>
        <w:t>CMIE</w:t>
      </w:r>
      <w:r>
        <w:t xml:space="preserve"> Cross-Module Interaction Engine. Tests timing, spatial overlap and lag between modules and produces hypotheses; it does not establish causation.</w:t>
      </w:r>
    </w:p>
    <w:p w14:paraId="304F8836" w14:textId="77777777" w:rsidR="00557160" w:rsidRDefault="00000000">
      <w:pPr>
        <w:numPr>
          <w:ilvl w:val="0"/>
          <w:numId w:val="7"/>
        </w:numPr>
      </w:pPr>
      <w:r>
        <w:rPr>
          <w:b/>
        </w:rPr>
        <w:t>DMAP-CAL</w:t>
      </w:r>
      <w:r>
        <w:t xml:space="preserve"> Define, Measure, Analyze, Predict, Choose, Act, Learn. GROAN’s seven-stage decision-support methodology. In this paper, the component that ranks candidate responses.</w:t>
      </w:r>
    </w:p>
    <w:p w14:paraId="76295F99" w14:textId="77777777" w:rsidR="00557160" w:rsidRDefault="00000000">
      <w:pPr>
        <w:numPr>
          <w:ilvl w:val="0"/>
          <w:numId w:val="7"/>
        </w:numPr>
      </w:pPr>
      <w:r>
        <w:rPr>
          <w:b/>
        </w:rPr>
        <w:t>MOOP</w:t>
      </w:r>
      <w:r>
        <w:t xml:space="preserve"> Marine Observation and Operations Platform. The proposed field arm that carries out approved observation tasks, including mobile research using a shallow-draft catamaran.</w:t>
      </w:r>
    </w:p>
    <w:p w14:paraId="2C456493" w14:textId="77777777" w:rsidR="00557160" w:rsidRDefault="00000000">
      <w:pPr>
        <w:numPr>
          <w:ilvl w:val="0"/>
          <w:numId w:val="7"/>
        </w:numPr>
      </w:pPr>
      <w:r>
        <w:rPr>
          <w:b/>
        </w:rPr>
        <w:t>CCRA</w:t>
      </w:r>
      <w:r>
        <w:t xml:space="preserve"> Coastal Citizen Research and Assessment (provisional expansion). The proposed citizen-observation network.</w:t>
      </w:r>
    </w:p>
    <w:p w14:paraId="7D3015C5" w14:textId="77777777" w:rsidR="00557160" w:rsidRDefault="00000000">
      <w:pPr>
        <w:numPr>
          <w:ilvl w:val="0"/>
          <w:numId w:val="7"/>
        </w:numPr>
      </w:pPr>
      <w:r>
        <w:rPr>
          <w:b/>
        </w:rPr>
        <w:t>META-LAYER</w:t>
      </w:r>
      <w:r>
        <w:t xml:space="preserve"> Not an acronym. The proposed future governance layer; not operational.</w:t>
      </w:r>
    </w:p>
    <w:p w14:paraId="38C01383" w14:textId="77777777" w:rsidR="00557160" w:rsidRDefault="00000000">
      <w:pPr>
        <w:numPr>
          <w:ilvl w:val="0"/>
          <w:numId w:val="7"/>
        </w:numPr>
      </w:pPr>
      <w:r>
        <w:rPr>
          <w:b/>
        </w:rPr>
        <w:t>DS</w:t>
      </w:r>
      <w:r>
        <w:t xml:space="preserve"> Decision score: the left-hand side of the scoring expression in the decision engine section (label inferred from the formula; to confirm).</w:t>
      </w:r>
    </w:p>
    <w:p w14:paraId="3BB966A0" w14:textId="77777777" w:rsidR="00557160" w:rsidRDefault="00000000">
      <w:pPr>
        <w:numPr>
          <w:ilvl w:val="0"/>
          <w:numId w:val="7"/>
        </w:numPr>
      </w:pPr>
      <w:r>
        <w:rPr>
          <w:b/>
        </w:rPr>
        <w:t>E[Benefit]</w:t>
      </w:r>
      <w:r>
        <w:t xml:space="preserve"> Expected benefit of a candidate response.</w:t>
      </w:r>
    </w:p>
    <w:p w14:paraId="52A2E064" w14:textId="77777777" w:rsidR="00557160" w:rsidRDefault="00000000">
      <w:pPr>
        <w:numPr>
          <w:ilvl w:val="0"/>
          <w:numId w:val="7"/>
        </w:numPr>
      </w:pPr>
      <w:r>
        <w:rPr>
          <w:b/>
        </w:rPr>
        <w:t>α, β, γ, δ</w:t>
      </w:r>
      <w:r>
        <w:t xml:space="preserve"> Weights in the scoring expression; values and definitions are not yet specified.</w:t>
      </w:r>
    </w:p>
    <w:p w14:paraId="4D87351E" w14:textId="77777777" w:rsidR="00557160" w:rsidRDefault="00000000">
      <w:pPr>
        <w:numPr>
          <w:ilvl w:val="0"/>
          <w:numId w:val="7"/>
        </w:numPr>
      </w:pPr>
      <w:r>
        <w:rPr>
          <w:b/>
        </w:rPr>
        <w:t>NOAA</w:t>
      </w:r>
      <w:r>
        <w:t xml:space="preserve"> National Oceanic and Atmospheric Administration (United States).</w:t>
      </w:r>
    </w:p>
    <w:p w14:paraId="570DA31A" w14:textId="77777777" w:rsidR="00557160" w:rsidRDefault="00000000">
      <w:pPr>
        <w:numPr>
          <w:ilvl w:val="0"/>
          <w:numId w:val="7"/>
        </w:numPr>
      </w:pPr>
      <w:r>
        <w:rPr>
          <w:b/>
        </w:rPr>
        <w:lastRenderedPageBreak/>
        <w:t>CFS</w:t>
      </w:r>
      <w:r>
        <w:t xml:space="preserve"> Climate Forecast System, the seasonal climate forecast model of the National Oceanic and Atmospheric Administration’s National Centers for Environmental Prediction (NCEP) used by the Four-Month Coral Bleaching Outlook.</w:t>
      </w:r>
    </w:p>
    <w:p w14:paraId="4137092B" w14:textId="77777777" w:rsidR="00557160" w:rsidRDefault="00000000">
      <w:pPr>
        <w:numPr>
          <w:ilvl w:val="0"/>
          <w:numId w:val="7"/>
        </w:numPr>
      </w:pPr>
      <w:r>
        <w:rPr>
          <w:b/>
        </w:rPr>
        <w:t>C-HARM</w:t>
      </w:r>
      <w:r>
        <w:t xml:space="preserve"> California Harmful Algae Risk Mapping system.</w:t>
      </w:r>
    </w:p>
    <w:p w14:paraId="77677F99" w14:textId="77777777" w:rsidR="00557160" w:rsidRDefault="00000000">
      <w:pPr>
        <w:numPr>
          <w:ilvl w:val="0"/>
          <w:numId w:val="7"/>
        </w:numPr>
      </w:pPr>
      <w:r>
        <w:rPr>
          <w:b/>
        </w:rPr>
        <w:t>eDNA</w:t>
      </w:r>
      <w:r>
        <w:t xml:space="preserve"> Environmental DNA: genetic material shed by organisms into water, sampled to detect species.</w:t>
      </w:r>
    </w:p>
    <w:p w14:paraId="58970DA3" w14:textId="77777777" w:rsidR="00557160" w:rsidRDefault="00000000">
      <w:pPr>
        <w:numPr>
          <w:ilvl w:val="0"/>
          <w:numId w:val="7"/>
        </w:numPr>
      </w:pPr>
      <w:r>
        <w:rPr>
          <w:b/>
        </w:rPr>
        <w:t>DNA</w:t>
      </w:r>
      <w:r>
        <w:t xml:space="preserve"> Deoxyribonucleic acid.</w:t>
      </w:r>
    </w:p>
    <w:p w14:paraId="35F30633" w14:textId="77777777" w:rsidR="00557160" w:rsidRDefault="00000000">
      <w:pPr>
        <w:numPr>
          <w:ilvl w:val="0"/>
          <w:numId w:val="7"/>
        </w:numPr>
      </w:pPr>
      <w:r>
        <w:rPr>
          <w:b/>
        </w:rPr>
        <w:t>UI</w:t>
      </w:r>
      <w:r>
        <w:t xml:space="preserve"> User interface.</w:t>
      </w:r>
    </w:p>
    <w:p w14:paraId="4741A027" w14:textId="77777777" w:rsidR="00557160" w:rsidRDefault="00000000">
      <w:pPr>
        <w:numPr>
          <w:ilvl w:val="0"/>
          <w:numId w:val="7"/>
        </w:numPr>
      </w:pPr>
      <w:r>
        <w:rPr>
          <w:b/>
        </w:rPr>
        <w:t>APIs</w:t>
      </w:r>
      <w:r>
        <w:t xml:space="preserve"> Application programming interfaces.</w:t>
      </w:r>
    </w:p>
    <w:p w14:paraId="3BA9D8E7" w14:textId="77777777" w:rsidR="00557160" w:rsidRDefault="00000000">
      <w:pPr>
        <w:numPr>
          <w:ilvl w:val="0"/>
          <w:numId w:val="7"/>
        </w:numPr>
      </w:pPr>
      <w:r>
        <w:rPr>
          <w:b/>
        </w:rPr>
        <w:t>LLC</w:t>
      </w:r>
      <w:r>
        <w:t xml:space="preserve"> Limited liability company (Nevado Ranch Camp LLC).</w:t>
      </w:r>
    </w:p>
    <w:p w14:paraId="7DF2DC7F" w14:textId="77777777" w:rsidR="00557160" w:rsidRDefault="00000000">
      <w:pPr>
        <w:numPr>
          <w:ilvl w:val="0"/>
          <w:numId w:val="7"/>
        </w:numPr>
      </w:pPr>
      <w:r>
        <w:rPr>
          <w:b/>
        </w:rPr>
        <w:t>MBA</w:t>
      </w:r>
      <w:r>
        <w:t xml:space="preserve"> Master of Business Administration (George Washington University).</w:t>
      </w:r>
    </w:p>
    <w:p w14:paraId="6901F862" w14:textId="77777777" w:rsidR="00557160" w:rsidRDefault="00000000">
      <w:pPr>
        <w:numPr>
          <w:ilvl w:val="0"/>
          <w:numId w:val="7"/>
        </w:numPr>
      </w:pPr>
      <w:r>
        <w:rPr>
          <w:b/>
        </w:rPr>
        <w:t>MS</w:t>
      </w:r>
      <w:r>
        <w:t xml:space="preserve"> Master of Science (Health Informatics, University of Tennessee Health Science Center).</w:t>
      </w:r>
    </w:p>
    <w:p w14:paraId="0BA2B85F" w14:textId="77777777" w:rsidR="00557160" w:rsidRDefault="00000000">
      <w:pPr>
        <w:pStyle w:val="Heading2"/>
      </w:pPr>
      <w:r>
        <w:t>Sources</w:t>
      </w:r>
    </w:p>
    <w:p w14:paraId="7C87D625" w14:textId="77777777" w:rsidR="00557160" w:rsidRDefault="00000000">
      <w:pPr>
        <w:pStyle w:val="FirstParagraph"/>
      </w:pPr>
      <w:r>
        <w:t>Published sources below support external examples and general design principles. Project documents listed below are internal and not publicly available; their inclusion does not independently establish implementation, ownership, source counts or model performance.</w:t>
      </w:r>
    </w:p>
    <w:p w14:paraId="022F4E25" w14:textId="77777777" w:rsidR="00557160" w:rsidRDefault="00000000">
      <w:pPr>
        <w:pStyle w:val="BodyText"/>
      </w:pPr>
      <w:r>
        <w:rPr>
          <w:b/>
          <w:bCs/>
        </w:rPr>
        <w:t>Project documents</w:t>
      </w:r>
    </w:p>
    <w:p w14:paraId="6BD588ED" w14:textId="77777777" w:rsidR="00557160" w:rsidRDefault="00000000">
      <w:pPr>
        <w:numPr>
          <w:ilvl w:val="0"/>
          <w:numId w:val="11"/>
        </w:numPr>
      </w:pPr>
      <w:r>
        <w:t>GROAN master project document, 17 May 2026 (internal). Main source for architecture, module status and decision design.</w:t>
      </w:r>
    </w:p>
    <w:p w14:paraId="79F2E1BC" w14:textId="77777777" w:rsidR="00557160" w:rsidRDefault="00000000">
      <w:pPr>
        <w:numPr>
          <w:ilvl w:val="0"/>
          <w:numId w:val="11"/>
        </w:numPr>
      </w:pPr>
      <w:r>
        <w:t>GROAN full engineering white paper, 18 May 2026 (internal). Architecture baseline.</w:t>
      </w:r>
    </w:p>
    <w:p w14:paraId="75CAE0F4" w14:textId="1687B879" w:rsidR="00557160" w:rsidRDefault="00000000">
      <w:pPr>
        <w:numPr>
          <w:ilvl w:val="0"/>
          <w:numId w:val="11"/>
        </w:numPr>
      </w:pPr>
      <w:r>
        <w:t>GROAN data source map (internal)</w:t>
      </w:r>
      <w:r w:rsidR="00533EA1">
        <w:t xml:space="preserve">. </w:t>
      </w:r>
      <w:r>
        <w:t>Source registry and module labels.</w:t>
      </w:r>
    </w:p>
    <w:p w14:paraId="0324F3FE" w14:textId="77777777" w:rsidR="00557160" w:rsidRDefault="00000000">
      <w:pPr>
        <w:numPr>
          <w:ilvl w:val="0"/>
          <w:numId w:val="11"/>
        </w:numPr>
      </w:pPr>
      <w:r>
        <w:t>GROAN commercial business model, 16 May 2026 (internal). Module set and product context.</w:t>
      </w:r>
    </w:p>
    <w:p w14:paraId="3BB11AC9" w14:textId="77777777" w:rsidR="00557160" w:rsidRDefault="00000000">
      <w:pPr>
        <w:pStyle w:val="FirstParagraph"/>
      </w:pPr>
      <w:r>
        <w:rPr>
          <w:b/>
          <w:bCs/>
        </w:rPr>
        <w:t>Published sources</w:t>
      </w:r>
    </w:p>
    <w:p w14:paraId="145D5DC0" w14:textId="77777777" w:rsidR="00557160" w:rsidRDefault="00000000">
      <w:pPr>
        <w:numPr>
          <w:ilvl w:val="0"/>
          <w:numId w:val="12"/>
        </w:numPr>
      </w:pPr>
      <w:r>
        <w:lastRenderedPageBreak/>
        <w:t>Anderson, C. R., Kudela, R. M., Kahru, M., Chao, Y., Rosenfeld, L. K., Bahr, F. L., Anderson, D. M., &amp; Norris, T. A. (2016). Initial skill assessment of the California Harmful Algae Risk Mapping (C-HARM) system. Harmful Algae, 59, 1–18 [volume and pages to verify]. https://doi.org/10.1016/j.hal.2016.08.006</w:t>
      </w:r>
    </w:p>
    <w:p w14:paraId="5CE2593A" w14:textId="77777777" w:rsidR="00557160" w:rsidRDefault="00000000">
      <w:pPr>
        <w:numPr>
          <w:ilvl w:val="0"/>
          <w:numId w:val="12"/>
        </w:numPr>
      </w:pPr>
      <w:r>
        <w:t xml:space="preserve">Harvard Business Review Insight Center. (2014). </w:t>
      </w:r>
      <w:r>
        <w:rPr>
          <w:i/>
          <w:iCs/>
        </w:rPr>
        <w:t>Predictive analytics in practice</w:t>
      </w:r>
      <w:r>
        <w:t>. Harvard Business Publishing [publisher and sponsor to verify].</w:t>
      </w:r>
    </w:p>
    <w:p w14:paraId="7285F509" w14:textId="77777777" w:rsidR="00557160" w:rsidRDefault="00000000">
      <w:pPr>
        <w:numPr>
          <w:ilvl w:val="0"/>
          <w:numId w:val="12"/>
        </w:numPr>
      </w:pPr>
      <w:r>
        <w:t xml:space="preserve">Johnson, D., Del Fiol, G., Kawamoto, K., Romagnoli, K. M., Sanders, N., Isaacson, G., Jenkins, E., &amp; Williams, M. S. (2024). Genetically guided precision medicine clinical decision support tools: a systematic review. </w:t>
      </w:r>
      <w:r>
        <w:rPr>
          <w:i/>
          <w:iCs/>
        </w:rPr>
        <w:t>Journal of the American Medical Informatics Association, 31</w:t>
      </w:r>
      <w:r>
        <w:t>(5), 1183–1194. https://doi.org/10.1093/jamia/ocae033</w:t>
      </w:r>
    </w:p>
    <w:p w14:paraId="18165AD9" w14:textId="77777777" w:rsidR="00557160" w:rsidRDefault="00000000">
      <w:pPr>
        <w:numPr>
          <w:ilvl w:val="0"/>
          <w:numId w:val="12"/>
        </w:numPr>
      </w:pPr>
      <w:r>
        <w:t xml:space="preserve">Kvile, K. Ø., Gundersen, H., Poulsen, R. N., Sample, J. E., Salberg, A.-B., Ghareeb, M. E., Buls, T., Bekkby, T., &amp; Hancke, K. (2024). Drone and ground-truth data collection, image annotation and machine learning: A protocol for coastal habitat mapping and classification. </w:t>
      </w:r>
      <w:r>
        <w:rPr>
          <w:i/>
          <w:iCs/>
        </w:rPr>
        <w:t>MethodsX, 13</w:t>
      </w:r>
      <w:r>
        <w:t>, 102935. https://doi.org/10.1016/j.mex.2024.102935</w:t>
      </w:r>
    </w:p>
    <w:p w14:paraId="2CA804FC" w14:textId="77777777" w:rsidR="00557160" w:rsidRDefault="00000000">
      <w:pPr>
        <w:numPr>
          <w:ilvl w:val="0"/>
          <w:numId w:val="12"/>
        </w:numPr>
      </w:pPr>
      <w:r>
        <w:t xml:space="preserve">Muenzel, D., Bani, A., De Brauwer, M., Stewart, E., Djakiman, C., Halwi, Purnama, R., Yusuf, S., Santoso, P., Hukom, F. D., Struebig, M., Jompa, J., Limmon, G., Dumbrell, A., &amp; Beger, M. (2024). Combining environmental DNA and visual surveys can inform conservation planning for coral reefs. </w:t>
      </w:r>
      <w:r>
        <w:rPr>
          <w:i/>
          <w:iCs/>
        </w:rPr>
        <w:t>Proceedings of the National Academy of Sciences, 121</w:t>
      </w:r>
      <w:r>
        <w:t>(17), e2307214121. https://doi.org/10.1073/pnas.2307214121</w:t>
      </w:r>
    </w:p>
    <w:p w14:paraId="44D3FC55" w14:textId="77777777" w:rsidR="00557160" w:rsidRDefault="00000000">
      <w:pPr>
        <w:numPr>
          <w:ilvl w:val="0"/>
          <w:numId w:val="12"/>
        </w:numPr>
      </w:pPr>
      <w:r>
        <w:t xml:space="preserve">Mumby, P. J., et al. (2004) [full author list to verify]. Mangroves enhance the biomass of coral reef fish communities in the Caribbean. </w:t>
      </w:r>
      <w:r>
        <w:rPr>
          <w:i/>
          <w:iCs/>
        </w:rPr>
        <w:t>Nature, 427</w:t>
      </w:r>
      <w:r>
        <w:t>, 533–536. https://doi.org/10.1038/nature02286</w:t>
      </w:r>
    </w:p>
    <w:p w14:paraId="138418FB" w14:textId="77777777" w:rsidR="00557160" w:rsidRDefault="00000000">
      <w:pPr>
        <w:numPr>
          <w:ilvl w:val="0"/>
          <w:numId w:val="12"/>
        </w:numPr>
      </w:pPr>
      <w:r>
        <w:t>NOAA Coral Reef Watch. (n.d.-a). Four-month coral bleaching heat stress outlook (CFS-based). Retrieved October 8, 2026, from https://coralreefwatch.noaa.gov/satellite/bleachingoutlook_cfs/</w:t>
      </w:r>
    </w:p>
    <w:p w14:paraId="4DBF0F54" w14:textId="77777777" w:rsidR="00557160" w:rsidRDefault="00000000">
      <w:pPr>
        <w:numPr>
          <w:ilvl w:val="0"/>
          <w:numId w:val="12"/>
        </w:numPr>
      </w:pPr>
      <w:r>
        <w:t>NOAA Coral Reef Watch. (n.d.-b). Degree Heating Week product and methodology. Retrieved October 8, 2026, from https://coralreefwatch.noaa.gov/product/5km/methodology.php</w:t>
      </w:r>
      <w:bookmarkEnd w:id="13"/>
    </w:p>
    <w:sectPr w:rsidR="00557160">
      <w:headerReference w:type="even" r:id="rId10"/>
      <w:headerReference w:type="default" r:id="rId11"/>
      <w:footerReference w:type="even" r:id="rId12"/>
      <w:footerReference w:type="default" r:id="rId13"/>
      <w:headerReference w:type="first" r:id="rId14"/>
      <w:footerReference w:type="first" r:id="rId15"/>
      <w:pgSz w:w="12240" w:h="15840"/>
      <w:pgMar w:top="2160" w:right="1440" w:bottom="1440" w:left="1440" w:header="43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B8879" w14:textId="77777777" w:rsidR="004F7238" w:rsidRDefault="004F7238">
      <w:pPr>
        <w:spacing w:after="0"/>
      </w:pPr>
      <w:r>
        <w:separator/>
      </w:r>
    </w:p>
  </w:endnote>
  <w:endnote w:type="continuationSeparator" w:id="0">
    <w:p w14:paraId="0D2E0E1C" w14:textId="77777777" w:rsidR="004F7238" w:rsidRDefault="004F72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D31F" w14:textId="77777777" w:rsidR="005C7AE9" w:rsidRDefault="005C7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79BD" w14:textId="77777777" w:rsidR="005C7AE9" w:rsidRDefault="005C7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52D7" w14:textId="77777777" w:rsidR="005C7AE9" w:rsidRDefault="005C7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EF5B" w14:textId="77777777" w:rsidR="004F7238" w:rsidRDefault="004F7238">
      <w:r>
        <w:separator/>
      </w:r>
    </w:p>
  </w:footnote>
  <w:footnote w:type="continuationSeparator" w:id="0">
    <w:p w14:paraId="50CAC52A" w14:textId="77777777" w:rsidR="004F7238" w:rsidRDefault="004F7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018D" w14:textId="77777777" w:rsidR="005C7AE9" w:rsidRDefault="005C7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689C" w14:textId="67ABEA76" w:rsidR="00557160" w:rsidRDefault="00000000">
    <w:pPr>
      <w:jc w:val="center"/>
    </w:pPr>
    <w:sdt>
      <w:sdtPr>
        <w:id w:val="1185104418"/>
        <w:docPartObj>
          <w:docPartGallery w:val="Watermarks"/>
          <w:docPartUnique/>
        </w:docPartObj>
      </w:sdtPr>
      <w:sdtContent>
        <w:r>
          <w:rPr>
            <w:noProof/>
          </w:rPr>
          <w:pict w14:anchorId="224297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078033" o:spid="_x0000_s1025" type="#_x0000_t136" style="position:absolute;left:0;text-align:left;margin-left:0;margin-top:0;width:536.05pt;height:123.7pt;rotation:315;z-index:-251658752;mso-position-horizontal:center;mso-position-horizontal-relative:margin;mso-position-vertical:center;mso-position-vertical-relative:margin" o:allowincell="f" fillcolor="silver" stroked="f">
              <v:fill opacity=".5"/>
              <v:textpath style="font-family:&quot;Calibri&quot;;font-size:1pt" string="CATAMARAN DAN"/>
              <w10:wrap anchorx="margin" anchory="margin"/>
            </v:shape>
          </w:pict>
        </w:r>
      </w:sdtContent>
    </w:sdt>
    <w:r w:rsidR="005C7AE9">
      <w:rPr>
        <w:noProof/>
      </w:rPr>
      <w:drawing>
        <wp:inline distT="0" distB="0" distL="0" distR="0" wp14:anchorId="494EAC20" wp14:editId="2F361392">
          <wp:extent cx="5943600" cy="1981200"/>
          <wp:effectExtent l="0" t="0" r="0" b="0"/>
          <wp:docPr id="180106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67479" name="Picture 1801067479"/>
                  <pic:cNvPicPr/>
                </pic:nvPicPr>
                <pic:blipFill>
                  <a:blip r:embed="rId1">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DBF4" w14:textId="77777777" w:rsidR="005C7AE9" w:rsidRDefault="005C7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66F8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DF482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89C54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99104126">
    <w:abstractNumId w:val="0"/>
  </w:num>
  <w:num w:numId="2" w16cid:durableId="1727682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365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6284">
    <w:abstractNumId w:val="1"/>
  </w:num>
  <w:num w:numId="5" w16cid:durableId="1786389271">
    <w:abstractNumId w:val="1"/>
  </w:num>
  <w:num w:numId="6" w16cid:durableId="775834986">
    <w:abstractNumId w:val="1"/>
  </w:num>
  <w:num w:numId="7" w16cid:durableId="1943340484">
    <w:abstractNumId w:val="1"/>
  </w:num>
  <w:num w:numId="8" w16cid:durableId="1800566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391304">
    <w:abstractNumId w:val="1"/>
  </w:num>
  <w:num w:numId="10" w16cid:durableId="1448428966">
    <w:abstractNumId w:val="1"/>
  </w:num>
  <w:num w:numId="11" w16cid:durableId="1928266394">
    <w:abstractNumId w:val="1"/>
  </w:num>
  <w:num w:numId="12" w16cid:durableId="1764451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60"/>
    <w:rsid w:val="0000343A"/>
    <w:rsid w:val="00031A78"/>
    <w:rsid w:val="004F7238"/>
    <w:rsid w:val="00533EA1"/>
    <w:rsid w:val="00557160"/>
    <w:rsid w:val="0057636A"/>
    <w:rsid w:val="005C7AE9"/>
    <w:rsid w:val="006E3889"/>
    <w:rsid w:val="00D14BC6"/>
    <w:rsid w:val="00DA1338"/>
    <w:rsid w:val="00ED29C9"/>
    <w:rsid w:val="00F94292"/>
    <w:rsid w:val="00FB36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AFA2F"/>
  <w15:docId w15:val="{A2A7962D-8615-4D51-9E2D-D7CED6E4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7636A"/>
    <w:pPr>
      <w:tabs>
        <w:tab w:val="center" w:pos="4680"/>
        <w:tab w:val="right" w:pos="9360"/>
      </w:tabs>
      <w:spacing w:after="0"/>
    </w:pPr>
  </w:style>
  <w:style w:type="character" w:customStyle="1" w:styleId="HeaderChar">
    <w:name w:val="Header Char"/>
    <w:basedOn w:val="DefaultParagraphFont"/>
    <w:link w:val="Header"/>
    <w:rsid w:val="0057636A"/>
  </w:style>
  <w:style w:type="paragraph" w:styleId="Footer">
    <w:name w:val="footer"/>
    <w:basedOn w:val="Normal"/>
    <w:link w:val="FooterChar"/>
    <w:rsid w:val="0057636A"/>
    <w:pPr>
      <w:tabs>
        <w:tab w:val="center" w:pos="4680"/>
        <w:tab w:val="right" w:pos="9360"/>
      </w:tabs>
      <w:spacing w:after="0"/>
    </w:pPr>
  </w:style>
  <w:style w:type="character" w:customStyle="1" w:styleId="FooterChar">
    <w:name w:val="Footer Char"/>
    <w:basedOn w:val="DefaultParagraphFont"/>
    <w:link w:val="Footer"/>
    <w:rsid w:val="00576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A49A8-E81E-4644-A3DE-579C29CE7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4493</Words>
  <Characters>25611</Characters>
  <Application>Microsoft Office Word</Application>
  <DocSecurity>0</DocSecurity>
  <Lines>213</Lines>
  <Paragraphs>60</Paragraphs>
  <ScaleCrop>false</ScaleCrop>
  <Company/>
  <LinksUpToDate>false</LinksUpToDate>
  <CharactersWithSpaces>30044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Roe</dc:creator>
  <cp:keywords/>
  <cp:lastModifiedBy>Daniel Roe</cp:lastModifiedBy>
  <cp:revision>2</cp:revision>
  <cp:lastPrinted>2026-10-09T16:29:00Z</cp:lastPrinted>
  <dcterms:created xsi:type="dcterms:W3CDTF">2026-10-11T18:05:00Z</dcterms:created>
  <dcterms:modified xsi:type="dcterms:W3CDTF">2026-10-11T18:05:00Z</dcterms:modified>
</cp:coreProperties>
</file>