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83" w:rsidRPr="004F4B6D" w:rsidRDefault="002B6183">
      <w:r>
        <w:t>Один</w:t>
      </w:r>
      <w:r w:rsidRPr="004F4B6D">
        <w:t xml:space="preserve"> </w:t>
      </w:r>
      <w:r>
        <w:t>автор</w:t>
      </w:r>
      <w:r w:rsidRPr="004F4B6D">
        <w:t xml:space="preserve"> </w:t>
      </w:r>
      <w:r w:rsidR="002A0E13">
        <w:fldChar w:fldCharType="begin" w:fldLock="1"/>
      </w:r>
      <w:r w:rsidR="00ED6066">
        <w:rPr>
          <w:lang w:val="en-US"/>
        </w:rPr>
        <w:instrText>ADDIN CSL_CITATION { "citationItems" : [ { "id" : "ITEM-1", "itemData" : { "author" : [ { "dropping-particle" : "", "family" : "Johansen", "given" : "Julia S", "non-dropping-particle" : "", "parse-names" : false, "suffix" : "" } ], "container-title" : "Danish medical bulletin", "id" : "ITEM-1", "issue" : "2", "issued" : { "date-parts" : [ [ "2006", "5" ] ] }, "page" : "172-209", "publisher" : "some_publisher", "title" : "Studies on serum YKL-40 as a biomarker in diseases with inflammation, tissue remodelling, fibroses and cancer.", "type" : "article-journal", "volume" : "53" }, "uris" : [ "http://www.mendeley.com/documents/?uuid=1b7b05f3-7017-478a-9a8c-52f9d5bccdcf" ] } ], "mendeley" : { "previouslyFormattedCitation" : "(Johansen et al., 2006)" }, "properties" : { "noteIndex" : 0 }, "schema" : "https://github.com/citation-style-language/schema/raw/master/csl-citation.json" }</w:instrText>
      </w:r>
      <w:r w:rsidR="002A0E13">
        <w:fldChar w:fldCharType="separate"/>
      </w:r>
      <w:r w:rsidR="00ED6066" w:rsidRPr="00ED6066">
        <w:rPr>
          <w:noProof/>
        </w:rPr>
        <w:t>(Johansen et al., 2006)</w:t>
      </w:r>
      <w:r w:rsidR="002A0E13">
        <w:fldChar w:fldCharType="end"/>
      </w:r>
    </w:p>
    <w:p w:rsidR="00690088" w:rsidRPr="004F4B6D" w:rsidRDefault="002B6183">
      <w:r>
        <w:t>Два</w:t>
      </w:r>
      <w:r w:rsidRPr="004F4B6D">
        <w:t xml:space="preserve"> </w:t>
      </w:r>
      <w:r>
        <w:t>автори</w:t>
      </w:r>
      <w:r w:rsidRPr="004F4B6D">
        <w:t xml:space="preserve"> </w:t>
      </w:r>
      <w:r w:rsidR="002A0E13">
        <w:fldChar w:fldCharType="begin" w:fldLock="1"/>
      </w:r>
      <w:r w:rsidR="00ED6066">
        <w:rPr>
          <w:lang w:val="en-US"/>
        </w:rPr>
        <w:instrText>ADDIN CSL_CITATION { "citationItems" : [ { "id" : "ITEM-1", "itemData" : { "DOI" : "10.1007/s11940-013-0228-7", "abstract" : "OPINION STATEMENT: Standard treatment of anaplastic astrocytoma (AA) in good performance patients consists of maximal safe surgical resection followed by focal, fractionated, external beam radiotherapy (RT) alone or in combination with concurrent and adjuvant temozolomide (TMZ). Since prospective data regarding the use of chemoradiotherapy for AA is lacking, the practice is based on the extrapolation of results from a randomized study in glioblastoma (GB). Whether the data from the GB study can and should be extrapolated is controversial, although a large multicenter, randomized, phase III study is underway to define optimal initial AA treatment. Patients should be tapered off corticosteroids completely or to the lowest dose necessary to treat neurologic dysfunction. Anti-epileptic drugs (AED) are not indicated unless there is a history of seizure; levetiracetam is the preferred AED in malignant glioma (MG). Unless there is evidence of intracranial hemorrhage, venous thromboembolism (VTE) should be treated with low-molecular-weight heparin (LMWH) therapy. At recurrence, patients with good performance status are usually treated with cytotoxic chemotherapy following, or in lieu of, repeat surgery. TMZ is the preferred chemotherapeutic agent in patients without prior exposure; lomustine is recommended for tumors resistant to TMZ. In patients with neurologic dysfunction secondary to tumor edema and mass effect who are not amenable to surgery, the use of bevacizumab is associated with improved neurologic function and better quality of life. Given the limited treatment options at tumor recurrence, consideration for enrollment on a clinical trial is encouraged.", "author" : [ { "dropping-particle" : "", "family" : "Grimm", "given" : "Sean A", "non-dropping-particle" : "", "parse-names" : false, "suffix" : "" }, { "dropping-particle" : "", "family" : "Pfiffner", "given" : "Thomas J", "non-dropping-particle" : "", "parse-names" : false, "suffix" : "" } ], "container-title" : "Current treatment options in neurology", "edition" : "edition", "id" : "ITEM-1", "issue" : "3", "issued" : { "date-parts" : [ [ "2013", "6" ] ] }, "number" : "revno", "page" : "302-15", "publisher" : "publisher", "publisher-place" : "city", "shortTitle" : "shorttitle", "title" : "Anaplastic astrocytoma.", "type" : "article-journal", "volume" : "15" }, "uris" : [ "http://www.mendeley.com/documents/?uuid=130246f3-445c-4b25-b11d-6e60c73b69c5" ] } ], "mendeley" : { "previouslyFormattedCitation" : "(Grimm et al., 2013)" }, "properties" : { "noteIndex" : 0 }, "schema" : "https://github.com/citation-style-language/schema/raw/master/csl-citation.json" }</w:instrText>
      </w:r>
      <w:r w:rsidR="002A0E13">
        <w:fldChar w:fldCharType="separate"/>
      </w:r>
      <w:r w:rsidR="00ED6066" w:rsidRPr="00ED6066">
        <w:rPr>
          <w:noProof/>
        </w:rPr>
        <w:t>(Grimm et al., 2013)</w:t>
      </w:r>
      <w:r w:rsidR="002A0E13">
        <w:fldChar w:fldCharType="end"/>
      </w:r>
    </w:p>
    <w:p w:rsidR="002B6183" w:rsidRDefault="002B6183">
      <w:r>
        <w:t xml:space="preserve">Три автори </w:t>
      </w:r>
      <w:r w:rsidR="002A0E13">
        <w:fldChar w:fldCharType="begin" w:fldLock="1"/>
      </w:r>
      <w:r w:rsidR="00ED6066">
        <w:instrText>ADDIN CSL_CITATION { "citationItems" : [ { "id" : "ITEM-1", "itemData" : { "DOI" : "10.1002/jnr.23199", "abstract" : "Within the two neurogenic niches of the adult mammalian brain, i.e., the subventricular zone lining the lateral ventricle and the subgranular zone of the hippocampus, there exist distinct populations of proliferating neural precursor cells that differentiate to generate new neurons. Numerous studies have suggested that epigenetic regulation by histone-modifying proteins is important in guiding precursor differentiation during development; however, the role of these proteins in regulating neural precursor activity in the adult neurogenic niches remains poorly understood. Here we examine the role of an NAD(+) -dependent histone deacetylase, SIRT1, in modulating the neurogenic potential of neural precursors in the neurogenic niches of the adult mouse brain. We show that SIRT1 is expressed by proliferating adult subventricular zone and hippocampal neural precursors, although its transcript and protein levels are dramatically reduced during neural precursor differentiation. Utilizing a lentiviral-mediated delivery strategy, we demonstrate that abrogation of SIRT1 signaling by RNAi does not affect neural precursor numbers or their proliferation. However, SIRT1 knock down results in a significant increase in neuronal production in both the subventricular zone and the hippocampus. In contrast, enhancing SIRT1 signaling either through lentiviral-mediated SIRT1 overexpression or through use of the SIRT1 chemical activator Resveratrol prevents adult neural precursors from differentiating into neurons. Importantly, knock down of SIRT1 in hippocampal precursors in vivo, either through RNAi or through genetic ablation, promotes their neurogenic potential. These findings highlight SIRT1 signaling as a negative regulator of neuronal differentiation of adult subventricular zone and hippocampal neural precursors. \u00a9 2013 Wiley Periodicals, Inc.", "author" : [ { "dropping-particle" : "", "family" : "Saharan", "given" : "Sumiti", "non-dropping-particle" : "", "parse-names" : false, "suffix" : "" }, { "dropping-particle" : "", "family" : "Jhaveri", "given" : "Dhanisha J", "non-dropping-particle" : "", "parse-names" : false, "suffix" : "" }, { "dropping-particle" : "", "family" : "Bartlett", "given" : "Perry F", "non-dropping-particle" : "", "parse-names" : false, "suffix" : "" } ], "container-title" : "Journal of neuroscience research", "genre" : "genre", "id" : "ITEM-1", "issue" : "5", "issued" : { "date-parts" : [ [ "2013", "5" ] ] }, "page" : "642-59", "title" : "SIRT1 regulates the neurogenic potential of neural precursors in the adult subventricular zone and hippocampus.", "type" : "article-journal", "volume" : "91" }, "uris" : [ "http://www.mendeley.com/documents/?uuid=899c8a3b-7f8d-434a-bca6-1ff23c03348a" ] } ], "mendeley" : { "previouslyFormattedCitation" : "(Saharan et al., 2013)" }, "properties" : { "noteIndex" : 0 }, "schema" : "https://github.com/citation-style-language/schema/raw/master/csl-citation.json" }</w:instrText>
      </w:r>
      <w:r w:rsidR="002A0E13">
        <w:fldChar w:fldCharType="separate"/>
      </w:r>
      <w:r w:rsidR="00ED6066" w:rsidRPr="00ED6066">
        <w:rPr>
          <w:noProof/>
        </w:rPr>
        <w:t>(Saharan et al., 2013)</w:t>
      </w:r>
      <w:r w:rsidR="002A0E13">
        <w:fldChar w:fldCharType="end"/>
      </w:r>
    </w:p>
    <w:p w:rsidR="002B6183" w:rsidRPr="004F4B6D" w:rsidRDefault="002B6183">
      <w:r>
        <w:t>Чотири</w:t>
      </w:r>
      <w:r w:rsidRPr="004F4B6D">
        <w:t xml:space="preserve"> </w:t>
      </w:r>
      <w:r>
        <w:t>автори</w:t>
      </w:r>
      <w:r w:rsidRPr="004F4B6D">
        <w:t xml:space="preserve"> </w:t>
      </w:r>
      <w:r w:rsidR="002A0E13">
        <w:fldChar w:fldCharType="begin" w:fldLock="1"/>
      </w:r>
      <w:r w:rsidR="00ED6066">
        <w:rPr>
          <w:lang w:val="en-US"/>
        </w:rPr>
        <w:instrText>ADDIN CSL_CITATION { "citationItems" : [ { "id" : "ITEM-1", "itemData" : { "DOI" : "10.1007/s13277-013-0772-5", "author" : [ { "dropping-particle" : "", "family" : "Besse", "given" : "Andrej", "non-dropping-particle" : "", "parse-names" : false, "suffix" : "" }, { "dropping-particle" : "", "family" : "Sana", "given" : "Jiri", "non-dropping-particle" : "", "parse-names" : false, "suffix" : "" }, { "dropping-particle" : "", "family" : "Fadrus", "given" : "Pavel", "non-dropping-particle" : "", "parse-names" : false, "suffix" : "" }, { "dropping-particle" : "", "family" : "Slaby", "given" : "Ondrej", "non-dropping-particle" : "", "parse-names" : false, "suffix" : "" } ], "id" : "ITEM-1", "issued" : { "date-parts" : [ [ "2013" ] ] }, "title" : "MicroRNAs involved in chemo- and radioresistance of high-grade gliomas", "type" : "article-journal" }, "uris" : [ "http://www.mendeley.com/documents/?uuid=871a88da-ab1e-4c99-b609-e604b6bbb386" ] } ], "mendeley" : { "previouslyFormattedCitation" : "(Besse et al., 2013)" }, "properties" : { "noteIndex" : 0 }, "schema" : "https://github.com/citation-style-language/schema/raw/master/csl-citation.json" }</w:instrText>
      </w:r>
      <w:r w:rsidR="002A0E13">
        <w:fldChar w:fldCharType="separate"/>
      </w:r>
      <w:r w:rsidR="00ED6066" w:rsidRPr="00ED6066">
        <w:rPr>
          <w:noProof/>
        </w:rPr>
        <w:t>(Besse et al., 2013)</w:t>
      </w:r>
      <w:r w:rsidR="002A0E13">
        <w:fldChar w:fldCharType="end"/>
      </w:r>
    </w:p>
    <w:p w:rsidR="00413AF2" w:rsidRPr="004F4B6D" w:rsidRDefault="00413AF2">
      <w:pPr>
        <w:rPr>
          <w:lang w:val="uk-UA"/>
        </w:rPr>
      </w:pPr>
      <w:r w:rsidRPr="00413AF2">
        <w:t xml:space="preserve">5 </w:t>
      </w:r>
      <w:r>
        <w:t>автор</w:t>
      </w:r>
      <w:r>
        <w:rPr>
          <w:lang w:val="uk-UA"/>
        </w:rPr>
        <w:t xml:space="preserve">ів </w:t>
      </w:r>
      <w:r w:rsidR="002A0E13">
        <w:rPr>
          <w:lang w:val="uk-UA"/>
        </w:rPr>
        <w:fldChar w:fldCharType="begin" w:fldLock="1"/>
      </w:r>
      <w:r w:rsidR="00ED6066">
        <w:rPr>
          <w:lang w:val="uk-UA"/>
        </w:rPr>
        <w:instrText>ADDIN CSL_CITATION { "citationItems" : [ { "id" : "ITEM-1", "itemData" : { "DOI" : "10.1038/onc.2012.258", "abstract" : "MicroRNAs have been implicated as important mediators of cancer cell homeostasis, and accumulating data suggest compelling roles for them in the apoptosis pathway. X-linked inhibitor of apoptosis protein (XIAP) is a potent caspase inhibitor and an important barrier to apoptotic cell death, but the mechanisms that determine the diverse range of XIAP expression seen in cancer remains unclear. In this study, we present evidence that miR-24 directly targets the 3'UTR of the XIAP messenger RNA (mRNA) to exert translational repression. Using a heuristic algorithm of bioinformatics analysis and in vitro screening, we identified miR-24 as a candidate regulator of XIAP expression. Array comparative genomic hybridization and spectral karyotype analysis reveal that genomic copy number loss at the miR-24 locus is concordant with the loss of endogenous miR-24 in cancer cells. Using a luciferase construct of the XIAP 3'UTR, we showed that miR-24 specifically coordinates to the XIAP mRNA. Interference with miR-24's binding of the critical seed region, resulting from site-directed mutagenesis of the 3'UTR, significantly abrogated miR-24's effects on XIAP expression. Moreover, miR-24 overexpression can overcome apoptosis resistance in cancer cells via downregulation of XIAP expression, and the resulting cancer cell death induced by tumor necrosis factor-related apoptosis-inducing ligand is executed by the canonical caspase-mediated apoptosis pathway. In summary, our data suggest a novel mechanism by which miR-24 directly modulates XIAP expression level and consequently the apoptosis threshold in cancer cells.", "author" : [ { "dropping-particle" : "", "family" : "Xie", "given" : "Y", "non-dropping-particle" : "", "parse-names" : false, "suffix" : "" }, { "dropping-particle" : "", "family" : "Tobin", "given" : "L A", "non-dropping-particle" : "", "parse-names" : false, "suffix" : "" }, { "dropping-particle" : "", "family" : "Camps", "given" : "J", "non-dropping-particle" : "", "parse-names" : false, "suffix" : "" }, { "dropping-particle" : "", "family" : "Wangsa", "given" : "D", "non-dropping-particle" : "", "parse-names" : false, "suffix" : "" }, { "dropping-particle" : "", "family" : "Yang", "given" : "J", "non-dropping-particle" : "", "parse-names" : false, "suffix" : "" }, { "dropping-particle" : "", "family" : "Rao", "given" : "M", "non-dropping-particle" : "", "parse-names" : false, "suffix" : "" }, { "dropping-particle" : "", "family" : "Witasp", "given" : "E", "non-dropping-particle" : "", "parse-names" : false, "suffix" : "" }, { "dropping-particle" : "", "family" : "Awad", "given" : "K S", "non-dropping-particle" : "", "parse-names" : false, "suffix" : "" }, { "dropping-particle" : "", "family" : "Yoo", "given" : "N", "non-dropping-particle" : "", "parse-names" : false, "suffix" : "" }, { "dropping-particle" : "", "family" : "Ried", "given" : "T", "non-dropping-particle" : "", "parse-names" : false, "suffix" : "" }, { "dropping-particle" : "", "family" : "Kwong", "given" : "K F", "non-dropping-particle" : "", "parse-names" : false, "suffix" : "" } ], "container-title" : "Oncogene", "id" : "ITEM-1", "issue" : "19", "issued" : { "date-parts" : [ [ "2013", "5", "9" ] ] }, "page" : "2442-51", "title" : "MicroRNA-24 regulates XIAP to reduce the apoptosis threshold in cancer cells.", "type" : "article-journal", "volume" : "32" }, "uris" : [ "http://www.mendeley.com/documents/?uuid=75965047-b569-4d13-9c93-f507fdcf5338" ] } ], "mendeley" : { "previouslyFormattedCitation" : "(Xie et al., 2013)" }, "properties" : { "noteIndex" : 0 }, "schema" : "https://github.com/citation-style-language/schema/raw/master/csl-citation.json" }</w:instrText>
      </w:r>
      <w:r w:rsidR="002A0E13">
        <w:rPr>
          <w:lang w:val="uk-UA"/>
        </w:rPr>
        <w:fldChar w:fldCharType="separate"/>
      </w:r>
      <w:r w:rsidR="00ED6066" w:rsidRPr="00ED6066">
        <w:rPr>
          <w:noProof/>
          <w:lang w:val="uk-UA"/>
        </w:rPr>
        <w:t>(Xie et al., 2013)</w:t>
      </w:r>
      <w:r w:rsidR="002A0E13">
        <w:rPr>
          <w:lang w:val="uk-UA"/>
        </w:rPr>
        <w:fldChar w:fldCharType="end"/>
      </w:r>
    </w:p>
    <w:p w:rsidR="004F4B6D" w:rsidRPr="00ED6066" w:rsidRDefault="004F4B6D">
      <w:r w:rsidRPr="004F4B6D">
        <w:t xml:space="preserve">6 </w:t>
      </w:r>
      <w:r>
        <w:t>автор</w:t>
      </w:r>
      <w:r>
        <w:rPr>
          <w:lang w:val="uk-UA"/>
        </w:rPr>
        <w:t xml:space="preserve">ів </w:t>
      </w:r>
      <w:r w:rsidR="00ED6066">
        <w:rPr>
          <w:lang w:val="uk-UA"/>
        </w:rPr>
        <w:fldChar w:fldCharType="begin" w:fldLock="1"/>
      </w:r>
      <w:r w:rsidR="00ED6066">
        <w:rPr>
          <w:lang w:val="uk-UA"/>
        </w:rPr>
        <w:instrText>ADDIN CSL_CITATION { "citationItems" : [ { "id" : "ITEM-1", "itemData" : { "DOI" : "10.1038/cdd.2013.52", "abstract" : "DNA damage induced by reactive oxygen species and several chemotherapeutic agents promotes both p53 and poly (ADP-ribose) polymerase (PARP) activation. p53 activation is well known to regulate apoptotic cell death, whereas robust activation of PARP-1 has been shown to promote a necrotic cell death associated with energetic collapse. Here we identify a novel role for p53 in modulating PARP enzymatic activity to regulate necrotic cell death. In mouse embryonic fibroblasts, human colorectal and human breast cancer cell lines, loss of p53 function promotes resistance to necrotic, PARP-mediated cell death. We therefore demonstrate that p53 can regulate both necrotic and apoptotic cell death, mutations or deletions in this tumor-suppressor protein may be selected by cancer cells to provide not only their resistance to apoptosis but also to necrosis, and explain resistance to chemotherapy and radiation even when it kills via non-apoptotic mechanisms.Cell Death and Differentiation advance online publication, 24 May 2013; doi:10.1038/cdd.2013.52.", "author" : [ { "dropping-particle" : "", "family" : "Montero", "given" : "J", "non-dropping-particle" : "", "parse-names" : false, "suffix" : "" }, { "dropping-particle" : "", "family" : "Dutta", "given" : "C", "non-dropping-particle" : "", "parse-names" : false, "suffix" : "" }, { "dropping-particle" : "", "family" : "Bodegom", "given" : "D", "non-dropping-particle" : "van", "parse-names" : false, "suffix" : "" }, { "dropping-particle" : "", "family" : "Weinstock", "given" : "D", "non-dropping-particle" : "", "parse-names" : false, "suffix" : "" }, { "dropping-particle" : "", "family" : "Letai", "given" : "A", "non-dropping-particle" : "", "parse-names" : false, "suffix" : "" } ], "container-title" : "Cell death and differentiation", "id" : "ITEM-1", "issued" : { "date-parts" : [ [ "2013", "5", "24" ] ] }, "title" : "p53 regulates a non-apoptotic death induced by ROS.", "type" : "article-journal" }, "uris" : [ "http://www.mendeley.com/documents/?uuid=43d2ffc1-dce2-46d3-bcc5-cc3a13bdd579" ] } ], "mendeley" : { "previouslyFormattedCitation" : "(Montero et al., 2013)" }, "properties" : { "noteIndex" : 0 }, "schema" : "https://github.com/citation-style-language/schema/raw/master/csl-citation.json" }</w:instrText>
      </w:r>
      <w:r w:rsidR="00ED6066">
        <w:rPr>
          <w:lang w:val="uk-UA"/>
        </w:rPr>
        <w:fldChar w:fldCharType="separate"/>
      </w:r>
      <w:r w:rsidR="00ED6066" w:rsidRPr="00ED6066">
        <w:rPr>
          <w:noProof/>
          <w:lang w:val="uk-UA"/>
        </w:rPr>
        <w:t>(Montero et al., 2013)</w:t>
      </w:r>
      <w:r w:rsidR="00ED6066">
        <w:rPr>
          <w:lang w:val="uk-UA"/>
        </w:rPr>
        <w:fldChar w:fldCharType="end"/>
      </w:r>
    </w:p>
    <w:p w:rsidR="006243A1" w:rsidRPr="004F4B6D" w:rsidRDefault="006243A1">
      <w:pPr>
        <w:rPr>
          <w:lang w:val="uk-UA"/>
        </w:rPr>
      </w:pPr>
      <w:r w:rsidRPr="006243A1">
        <w:rPr>
          <w:b/>
          <w:lang w:val="uk-UA"/>
        </w:rPr>
        <w:t>1 автор:</w:t>
      </w:r>
      <w:r>
        <w:rPr>
          <w:lang w:val="uk-UA"/>
        </w:rPr>
        <w:t xml:space="preserve"> </w:t>
      </w:r>
      <w:r>
        <w:rPr>
          <w:lang w:val="en-US"/>
        </w:rPr>
        <w:t>author</w:t>
      </w:r>
      <w:r w:rsidRPr="004F4B6D">
        <w:rPr>
          <w:lang w:val="uk-UA"/>
        </w:rPr>
        <w:t xml:space="preserve"> </w:t>
      </w:r>
      <w:r>
        <w:rPr>
          <w:lang w:val="en-US"/>
        </w:rPr>
        <w:t>ins</w:t>
      </w:r>
      <w:r w:rsidRPr="004F4B6D">
        <w:rPr>
          <w:lang w:val="uk-UA"/>
        </w:rPr>
        <w:t xml:space="preserve"> </w:t>
      </w:r>
      <w:r>
        <w:rPr>
          <w:lang w:val="en-US"/>
        </w:rPr>
        <w:t>title</w:t>
      </w:r>
      <w:r w:rsidRPr="004F4B6D">
        <w:rPr>
          <w:lang w:val="uk-UA"/>
        </w:rPr>
        <w:t xml:space="preserve"> / </w:t>
      </w:r>
      <w:r>
        <w:rPr>
          <w:lang w:val="en-US"/>
        </w:rPr>
        <w:t>ins</w:t>
      </w:r>
      <w:r w:rsidRPr="004F4B6D">
        <w:rPr>
          <w:lang w:val="uk-UA"/>
        </w:rPr>
        <w:t xml:space="preserve"> </w:t>
      </w:r>
      <w:r>
        <w:rPr>
          <w:lang w:val="en-US"/>
        </w:rPr>
        <w:t>author</w:t>
      </w:r>
      <w:r w:rsidRPr="004F4B6D">
        <w:rPr>
          <w:lang w:val="uk-UA"/>
        </w:rPr>
        <w:t xml:space="preserve"> // </w:t>
      </w:r>
      <w:r>
        <w:rPr>
          <w:lang w:val="en-US"/>
        </w:rPr>
        <w:t>journal</w:t>
      </w:r>
      <w:r w:rsidRPr="004F4B6D">
        <w:rPr>
          <w:lang w:val="uk-UA"/>
        </w:rPr>
        <w:t xml:space="preserve">. – </w:t>
      </w:r>
      <w:r>
        <w:rPr>
          <w:lang w:val="en-US"/>
        </w:rPr>
        <w:t>year</w:t>
      </w:r>
      <w:r w:rsidRPr="004F4B6D">
        <w:rPr>
          <w:lang w:val="uk-UA"/>
        </w:rPr>
        <w:t xml:space="preserve">. – </w:t>
      </w:r>
      <w:r>
        <w:rPr>
          <w:lang w:val="en-US"/>
        </w:rPr>
        <w:t>no</w:t>
      </w:r>
      <w:r w:rsidRPr="004F4B6D">
        <w:rPr>
          <w:lang w:val="uk-UA"/>
        </w:rPr>
        <w:t xml:space="preserve">. – </w:t>
      </w:r>
      <w:r>
        <w:rPr>
          <w:lang w:val="en-US"/>
        </w:rPr>
        <w:t>pages</w:t>
      </w:r>
      <w:r w:rsidRPr="004F4B6D">
        <w:rPr>
          <w:lang w:val="uk-UA"/>
        </w:rPr>
        <w:t>.</w:t>
      </w:r>
    </w:p>
    <w:p w:rsidR="006243A1" w:rsidRPr="004F4B6D" w:rsidRDefault="006243A1">
      <w:pPr>
        <w:rPr>
          <w:lang w:val="uk-UA"/>
        </w:rPr>
      </w:pPr>
      <w:r w:rsidRPr="004F4B6D">
        <w:rPr>
          <w:b/>
          <w:lang w:val="uk-UA"/>
        </w:rPr>
        <w:t>2 автори:</w:t>
      </w:r>
      <w:r w:rsidRPr="004F4B6D">
        <w:rPr>
          <w:lang w:val="uk-UA"/>
        </w:rPr>
        <w:t xml:space="preserve"> </w:t>
      </w:r>
      <w:r>
        <w:rPr>
          <w:lang w:val="en-US"/>
        </w:rPr>
        <w:t>author</w:t>
      </w:r>
      <w:r w:rsidRPr="004F4B6D">
        <w:rPr>
          <w:lang w:val="uk-UA"/>
        </w:rPr>
        <w:t xml:space="preserve">1 </w:t>
      </w:r>
      <w:r>
        <w:rPr>
          <w:lang w:val="en-US"/>
        </w:rPr>
        <w:t>ins</w:t>
      </w:r>
      <w:r w:rsidRPr="004F4B6D">
        <w:rPr>
          <w:lang w:val="uk-UA"/>
        </w:rPr>
        <w:t xml:space="preserve">1 </w:t>
      </w:r>
      <w:r>
        <w:rPr>
          <w:lang w:val="en-US"/>
        </w:rPr>
        <w:t>title</w:t>
      </w:r>
      <w:r w:rsidRPr="004F4B6D">
        <w:rPr>
          <w:lang w:val="uk-UA"/>
        </w:rPr>
        <w:t xml:space="preserve"> / </w:t>
      </w:r>
      <w:r>
        <w:rPr>
          <w:lang w:val="en-US"/>
        </w:rPr>
        <w:t>ins</w:t>
      </w:r>
      <w:r w:rsidRPr="004F4B6D">
        <w:rPr>
          <w:lang w:val="uk-UA"/>
        </w:rPr>
        <w:t>1</w:t>
      </w:r>
      <w:r>
        <w:rPr>
          <w:lang w:val="en-US"/>
        </w:rPr>
        <w:t>full</w:t>
      </w:r>
      <w:r w:rsidRPr="004F4B6D">
        <w:rPr>
          <w:lang w:val="uk-UA"/>
        </w:rPr>
        <w:t xml:space="preserve"> </w:t>
      </w:r>
      <w:r>
        <w:rPr>
          <w:lang w:val="en-US"/>
        </w:rPr>
        <w:t>author</w:t>
      </w:r>
      <w:r w:rsidRPr="004F4B6D">
        <w:rPr>
          <w:lang w:val="uk-UA"/>
        </w:rPr>
        <w:t xml:space="preserve">1, </w:t>
      </w:r>
      <w:r>
        <w:rPr>
          <w:lang w:val="en-US"/>
        </w:rPr>
        <w:t>ins</w:t>
      </w:r>
      <w:r w:rsidRPr="004F4B6D">
        <w:rPr>
          <w:lang w:val="uk-UA"/>
        </w:rPr>
        <w:t>2</w:t>
      </w:r>
      <w:r>
        <w:rPr>
          <w:lang w:val="en-US"/>
        </w:rPr>
        <w:t>full</w:t>
      </w:r>
      <w:r w:rsidRPr="004F4B6D">
        <w:rPr>
          <w:lang w:val="uk-UA"/>
        </w:rPr>
        <w:t xml:space="preserve"> </w:t>
      </w:r>
      <w:r>
        <w:rPr>
          <w:lang w:val="en-US"/>
        </w:rPr>
        <w:t>author</w:t>
      </w:r>
      <w:r w:rsidRPr="004F4B6D">
        <w:rPr>
          <w:lang w:val="uk-UA"/>
        </w:rPr>
        <w:t xml:space="preserve">2 // </w:t>
      </w:r>
      <w:r>
        <w:rPr>
          <w:lang w:val="en-US"/>
        </w:rPr>
        <w:t>journal</w:t>
      </w:r>
      <w:r w:rsidRPr="004F4B6D">
        <w:rPr>
          <w:lang w:val="uk-UA"/>
        </w:rPr>
        <w:t xml:space="preserve">. – </w:t>
      </w:r>
      <w:r>
        <w:rPr>
          <w:lang w:val="en-US"/>
        </w:rPr>
        <w:t>year</w:t>
      </w:r>
      <w:r w:rsidRPr="004F4B6D">
        <w:rPr>
          <w:lang w:val="uk-UA"/>
        </w:rPr>
        <w:t xml:space="preserve">. – </w:t>
      </w:r>
      <w:r>
        <w:rPr>
          <w:lang w:val="en-US"/>
        </w:rPr>
        <w:t>no</w:t>
      </w:r>
      <w:r w:rsidRPr="004F4B6D">
        <w:rPr>
          <w:lang w:val="uk-UA"/>
        </w:rPr>
        <w:t xml:space="preserve">. – </w:t>
      </w:r>
      <w:r>
        <w:rPr>
          <w:lang w:val="en-US"/>
        </w:rPr>
        <w:t>pages</w:t>
      </w:r>
      <w:r w:rsidRPr="004F4B6D">
        <w:rPr>
          <w:lang w:val="uk-UA"/>
        </w:rPr>
        <w:t>.</w:t>
      </w:r>
    </w:p>
    <w:p w:rsidR="006243A1" w:rsidRPr="004F4B6D" w:rsidRDefault="006243A1">
      <w:pPr>
        <w:rPr>
          <w:lang w:val="uk-UA"/>
        </w:rPr>
      </w:pPr>
      <w:r w:rsidRPr="004F4B6D">
        <w:rPr>
          <w:b/>
          <w:lang w:val="uk-UA"/>
        </w:rPr>
        <w:t>3 автори:</w:t>
      </w:r>
      <w:r w:rsidRPr="004F4B6D">
        <w:rPr>
          <w:lang w:val="uk-UA"/>
        </w:rPr>
        <w:t xml:space="preserve"> </w:t>
      </w:r>
      <w:r>
        <w:rPr>
          <w:lang w:val="en-US"/>
        </w:rPr>
        <w:t>author</w:t>
      </w:r>
      <w:r w:rsidRPr="004F4B6D">
        <w:rPr>
          <w:lang w:val="uk-UA"/>
        </w:rPr>
        <w:t xml:space="preserve">1 </w:t>
      </w:r>
      <w:r>
        <w:rPr>
          <w:lang w:val="en-US"/>
        </w:rPr>
        <w:t>ins</w:t>
      </w:r>
      <w:r w:rsidRPr="004F4B6D">
        <w:rPr>
          <w:lang w:val="uk-UA"/>
        </w:rPr>
        <w:t xml:space="preserve">1 </w:t>
      </w:r>
      <w:r>
        <w:rPr>
          <w:lang w:val="en-US"/>
        </w:rPr>
        <w:t>title</w:t>
      </w:r>
      <w:r w:rsidRPr="004F4B6D">
        <w:rPr>
          <w:lang w:val="uk-UA"/>
        </w:rPr>
        <w:t xml:space="preserve"> / </w:t>
      </w:r>
      <w:r>
        <w:rPr>
          <w:lang w:val="en-US"/>
        </w:rPr>
        <w:t>ins</w:t>
      </w:r>
      <w:r w:rsidRPr="004F4B6D">
        <w:rPr>
          <w:lang w:val="uk-UA"/>
        </w:rPr>
        <w:t xml:space="preserve">1 </w:t>
      </w:r>
      <w:r>
        <w:rPr>
          <w:lang w:val="en-US"/>
        </w:rPr>
        <w:t>author</w:t>
      </w:r>
      <w:r w:rsidRPr="004F4B6D">
        <w:rPr>
          <w:lang w:val="uk-UA"/>
        </w:rPr>
        <w:t xml:space="preserve">1, </w:t>
      </w:r>
      <w:r>
        <w:rPr>
          <w:lang w:val="en-US"/>
        </w:rPr>
        <w:t>ins</w:t>
      </w:r>
      <w:r w:rsidRPr="004F4B6D">
        <w:rPr>
          <w:lang w:val="uk-UA"/>
        </w:rPr>
        <w:t xml:space="preserve">2 </w:t>
      </w:r>
      <w:r>
        <w:rPr>
          <w:lang w:val="en-US"/>
        </w:rPr>
        <w:t>author</w:t>
      </w:r>
      <w:r w:rsidRPr="004F4B6D">
        <w:rPr>
          <w:lang w:val="uk-UA"/>
        </w:rPr>
        <w:t xml:space="preserve">2, </w:t>
      </w:r>
      <w:r>
        <w:rPr>
          <w:lang w:val="en-US"/>
        </w:rPr>
        <w:t>ins</w:t>
      </w:r>
      <w:r w:rsidRPr="004F4B6D">
        <w:rPr>
          <w:lang w:val="uk-UA"/>
        </w:rPr>
        <w:t xml:space="preserve">3 </w:t>
      </w:r>
      <w:r>
        <w:rPr>
          <w:lang w:val="en-US"/>
        </w:rPr>
        <w:t>author</w:t>
      </w:r>
      <w:r w:rsidRPr="004F4B6D">
        <w:rPr>
          <w:lang w:val="uk-UA"/>
        </w:rPr>
        <w:t xml:space="preserve">3 // </w:t>
      </w:r>
      <w:r>
        <w:rPr>
          <w:lang w:val="en-US"/>
        </w:rPr>
        <w:t>journal</w:t>
      </w:r>
      <w:r w:rsidRPr="004F4B6D">
        <w:rPr>
          <w:lang w:val="uk-UA"/>
        </w:rPr>
        <w:t xml:space="preserve">. – </w:t>
      </w:r>
      <w:r>
        <w:rPr>
          <w:lang w:val="en-US"/>
        </w:rPr>
        <w:t>year</w:t>
      </w:r>
      <w:r w:rsidRPr="004F4B6D">
        <w:rPr>
          <w:lang w:val="uk-UA"/>
        </w:rPr>
        <w:t xml:space="preserve">. – </w:t>
      </w:r>
      <w:r>
        <w:rPr>
          <w:lang w:val="en-US"/>
        </w:rPr>
        <w:t>no</w:t>
      </w:r>
      <w:r w:rsidRPr="004F4B6D">
        <w:rPr>
          <w:lang w:val="uk-UA"/>
        </w:rPr>
        <w:t xml:space="preserve">. – </w:t>
      </w:r>
      <w:r>
        <w:rPr>
          <w:lang w:val="en-US"/>
        </w:rPr>
        <w:t>pages</w:t>
      </w:r>
      <w:r w:rsidRPr="004F4B6D">
        <w:rPr>
          <w:lang w:val="uk-UA"/>
        </w:rPr>
        <w:t>.</w:t>
      </w:r>
    </w:p>
    <w:p w:rsidR="006243A1" w:rsidRPr="004F4B6D" w:rsidRDefault="006243A1">
      <w:pPr>
        <w:rPr>
          <w:lang w:val="uk-UA"/>
        </w:rPr>
      </w:pPr>
      <w:r w:rsidRPr="004F4B6D">
        <w:rPr>
          <w:b/>
          <w:lang w:val="uk-UA"/>
        </w:rPr>
        <w:t>4 автори та б</w:t>
      </w:r>
      <w:r>
        <w:rPr>
          <w:b/>
          <w:lang w:val="uk-UA"/>
        </w:rPr>
        <w:t>ільше</w:t>
      </w:r>
      <w:r w:rsidRPr="004F4B6D">
        <w:rPr>
          <w:b/>
          <w:lang w:val="uk-UA"/>
        </w:rPr>
        <w:t xml:space="preserve">: </w:t>
      </w:r>
      <w:r>
        <w:rPr>
          <w:lang w:val="en-US"/>
        </w:rPr>
        <w:t>title</w:t>
      </w:r>
      <w:r w:rsidRPr="004F4B6D">
        <w:rPr>
          <w:lang w:val="uk-UA"/>
        </w:rPr>
        <w:t xml:space="preserve"> / </w:t>
      </w:r>
      <w:r>
        <w:rPr>
          <w:lang w:val="en-US"/>
        </w:rPr>
        <w:t>ins</w:t>
      </w:r>
      <w:r w:rsidRPr="004F4B6D">
        <w:rPr>
          <w:lang w:val="uk-UA"/>
        </w:rPr>
        <w:t xml:space="preserve">1 </w:t>
      </w:r>
      <w:r>
        <w:rPr>
          <w:lang w:val="en-US"/>
        </w:rPr>
        <w:t>author</w:t>
      </w:r>
      <w:r w:rsidRPr="004F4B6D">
        <w:rPr>
          <w:lang w:val="uk-UA"/>
        </w:rPr>
        <w:t xml:space="preserve">1, </w:t>
      </w:r>
      <w:r>
        <w:rPr>
          <w:lang w:val="en-US"/>
        </w:rPr>
        <w:t>ins</w:t>
      </w:r>
      <w:r w:rsidRPr="004F4B6D">
        <w:rPr>
          <w:lang w:val="uk-UA"/>
        </w:rPr>
        <w:t xml:space="preserve">2 </w:t>
      </w:r>
      <w:r>
        <w:rPr>
          <w:lang w:val="en-US"/>
        </w:rPr>
        <w:t>author</w:t>
      </w:r>
      <w:r w:rsidRPr="004F4B6D">
        <w:rPr>
          <w:lang w:val="uk-UA"/>
        </w:rPr>
        <w:t xml:space="preserve">2, </w:t>
      </w:r>
      <w:r>
        <w:rPr>
          <w:lang w:val="en-US"/>
        </w:rPr>
        <w:t>ins</w:t>
      </w:r>
      <w:r w:rsidRPr="004F4B6D">
        <w:rPr>
          <w:lang w:val="uk-UA"/>
        </w:rPr>
        <w:t xml:space="preserve">3 </w:t>
      </w:r>
      <w:r>
        <w:rPr>
          <w:lang w:val="en-US"/>
        </w:rPr>
        <w:t>author</w:t>
      </w:r>
      <w:r w:rsidRPr="004F4B6D">
        <w:rPr>
          <w:lang w:val="uk-UA"/>
        </w:rPr>
        <w:t>3 [</w:t>
      </w:r>
      <w:r>
        <w:rPr>
          <w:lang w:val="en-US"/>
        </w:rPr>
        <w:t>et</w:t>
      </w:r>
      <w:r w:rsidRPr="004F4B6D">
        <w:rPr>
          <w:lang w:val="uk-UA"/>
        </w:rPr>
        <w:t xml:space="preserve"> </w:t>
      </w:r>
      <w:r>
        <w:rPr>
          <w:lang w:val="en-US"/>
        </w:rPr>
        <w:t>al</w:t>
      </w:r>
      <w:r w:rsidRPr="004F4B6D">
        <w:rPr>
          <w:lang w:val="uk-UA"/>
        </w:rPr>
        <w:t xml:space="preserve">.] // </w:t>
      </w:r>
      <w:r>
        <w:rPr>
          <w:lang w:val="en-US"/>
        </w:rPr>
        <w:t>journal</w:t>
      </w:r>
      <w:r w:rsidRPr="004F4B6D">
        <w:rPr>
          <w:lang w:val="uk-UA"/>
        </w:rPr>
        <w:t xml:space="preserve">. – </w:t>
      </w:r>
      <w:r>
        <w:rPr>
          <w:lang w:val="en-US"/>
        </w:rPr>
        <w:t>year</w:t>
      </w:r>
      <w:r w:rsidRPr="004F4B6D">
        <w:rPr>
          <w:lang w:val="uk-UA"/>
        </w:rPr>
        <w:t xml:space="preserve">. – </w:t>
      </w:r>
      <w:r>
        <w:rPr>
          <w:lang w:val="en-US"/>
        </w:rPr>
        <w:t>no</w:t>
      </w:r>
      <w:r w:rsidRPr="004F4B6D">
        <w:rPr>
          <w:lang w:val="uk-UA"/>
        </w:rPr>
        <w:t xml:space="preserve">. – </w:t>
      </w:r>
      <w:r>
        <w:rPr>
          <w:lang w:val="en-US"/>
        </w:rPr>
        <w:t>pages</w:t>
      </w:r>
      <w:r w:rsidRPr="004F4B6D">
        <w:rPr>
          <w:lang w:val="uk-UA"/>
        </w:rPr>
        <w:t>.</w:t>
      </w:r>
    </w:p>
    <w:p w:rsidR="002B6183" w:rsidRPr="002B6183" w:rsidRDefault="002B6183">
      <w:pPr>
        <w:rPr>
          <w:b/>
          <w:lang w:val="uk-UA"/>
        </w:rPr>
      </w:pPr>
      <w:r w:rsidRPr="002B6183">
        <w:rPr>
          <w:b/>
          <w:lang w:val="uk-UA"/>
        </w:rPr>
        <w:t>Приклад оформлення</w:t>
      </w:r>
    </w:p>
    <w:p w:rsidR="002B6183" w:rsidRPr="004F4B6D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1. Козіна Ж. Л. Теоретичні основи і результати </w:t>
      </w:r>
      <w:r w:rsidRPr="00070EC9">
        <w:rPr>
          <w:rFonts w:ascii="Arial" w:hAnsi="Arial" w:cs="Arial"/>
          <w:sz w:val="20"/>
          <w:szCs w:val="20"/>
          <w:lang w:val="uk-UA"/>
        </w:rPr>
        <w:t>практичного</w:t>
      </w:r>
      <w:r w:rsidRPr="004F4B6D">
        <w:rPr>
          <w:rFonts w:ascii="Arial" w:hAnsi="Arial" w:cs="Arial"/>
          <w:sz w:val="20"/>
          <w:szCs w:val="20"/>
          <w:lang w:val="uk-UA"/>
        </w:rPr>
        <w:t xml:space="preserve"> застосування системного аналізу в наукових дослідженнях в області спортивних ігор / Ж. Л. Козіна // Теорія та методика фізичного виховання. – 2007. – № 6. – С. 15–18, 35–38.</w:t>
      </w:r>
    </w:p>
    <w:p w:rsidR="002B6183" w:rsidRPr="004F4B6D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2. Гранчак Т. Інформаційно-аналітичні структури бібліотек в умовах демократичних перетворень / Тетяна Гранчак, Валерій Горовий // Бібліотечний вісник. – 2006. – № 6. – С. 14–17.</w:t>
      </w:r>
    </w:p>
    <w:p w:rsidR="002B6183" w:rsidRPr="004F4B6D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3. Валькман Ю. Р. Моделирование НЕ-факторов – основа интеллектуализации компьютерных технологий / Ю. Р. Валькман, В. С. Быков, А. Ю. Рыхальский // Системні</w:t>
      </w:r>
      <w:r w:rsidR="006243A1" w:rsidRPr="004F4B6D">
        <w:rPr>
          <w:rFonts w:ascii="Arial" w:hAnsi="Arial" w:cs="Arial"/>
          <w:sz w:val="20"/>
          <w:szCs w:val="20"/>
          <w:lang w:val="uk-UA"/>
        </w:rPr>
        <w:t xml:space="preserve"> </w:t>
      </w:r>
      <w:r w:rsidRPr="004F4B6D">
        <w:rPr>
          <w:rFonts w:ascii="Arial" w:hAnsi="Arial" w:cs="Arial"/>
          <w:sz w:val="20"/>
          <w:szCs w:val="20"/>
          <w:lang w:val="uk-UA"/>
        </w:rPr>
        <w:t>дослідження та інформаційні технології. – 2007. – № 1. – С. 39–61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2B6183" w:rsidRPr="004F4B6D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4. Ма Шуін Проблеми психологічної підготовки в системі </w:t>
      </w:r>
      <w:r w:rsidR="006243A1" w:rsidRPr="004F4B6D">
        <w:rPr>
          <w:rFonts w:ascii="Arial" w:hAnsi="Arial" w:cs="Arial"/>
          <w:sz w:val="20"/>
          <w:szCs w:val="20"/>
          <w:lang w:val="uk-UA"/>
        </w:rPr>
        <w:t>фізкультурної освіти /</w:t>
      </w:r>
      <w:r w:rsidRPr="004F4B6D">
        <w:rPr>
          <w:rFonts w:ascii="Arial" w:hAnsi="Arial" w:cs="Arial"/>
          <w:sz w:val="20"/>
          <w:szCs w:val="20"/>
          <w:lang w:val="uk-UA"/>
        </w:rPr>
        <w:t xml:space="preserve"> Ма Шуін // Теорія та методика фізичного виховання. – 2007. – № 5. – С. 12–14.</w:t>
      </w:r>
    </w:p>
    <w:p w:rsidR="002B6183" w:rsidRPr="004F4B6D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5. Регіональні особливості смертності населення України / Л. А. Чепелевська,                  Р. О. Моісеєнко, Г. І. Баторшина [та ін.] // Вісник соціальної гігієни та організації охорони здоров’я України. – 2007. – № 1. – С. 25–29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2B6183" w:rsidRPr="00070EC9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6. Валова І. Нові принципи угоди Базель ІІ </w:t>
      </w:r>
      <w:r w:rsidRPr="00070EC9">
        <w:rPr>
          <w:rFonts w:ascii="Arial" w:hAnsi="Arial" w:cs="Arial"/>
          <w:sz w:val="20"/>
          <w:szCs w:val="20"/>
        </w:rPr>
        <w:t>/ І. Валова ; пер. з англ. Н. М. Середи // Банки та банківські системи. – 2007. – Т. 2, № 2. – С. 13–20</w:t>
      </w:r>
      <w:r w:rsidRPr="00070EC9">
        <w:rPr>
          <w:rFonts w:ascii="Arial" w:hAnsi="Arial" w:cs="Arial"/>
          <w:bCs/>
          <w:iCs/>
          <w:sz w:val="20"/>
          <w:szCs w:val="20"/>
        </w:rPr>
        <w:t>.</w:t>
      </w:r>
    </w:p>
    <w:p w:rsidR="002B6183" w:rsidRPr="00070EC9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>7. Зеров М. Поетична діяльність Куліша // Українське письменство ХІХ ст. Від Куліша до Винниченка : (нариси з новітнього укр., письменства) : статті / Микола Зеров. – Дрогобич, 2007. – С. 245–291.</w:t>
      </w:r>
    </w:p>
    <w:p w:rsidR="002B6183" w:rsidRPr="00070EC9" w:rsidRDefault="002B6183" w:rsidP="002B6183">
      <w:pPr>
        <w:adjustRightInd w:val="0"/>
        <w:spacing w:line="340" w:lineRule="exact"/>
        <w:jc w:val="both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 xml:space="preserve">8. Третьяк В. В. Возможности использования баз знаний для проектирования технологии взрывной штамповки / В. В. Третьяк, С. А. Стадник, Н. В. Калайтан // Современное состояние использования </w:t>
      </w:r>
      <w:r w:rsidRPr="00070EC9">
        <w:rPr>
          <w:rFonts w:ascii="Arial" w:hAnsi="Arial" w:cs="Arial"/>
          <w:sz w:val="20"/>
          <w:szCs w:val="20"/>
        </w:rPr>
        <w:lastRenderedPageBreak/>
        <w:t>импульсных источников энергии в промышленности : междунар. науч.-техн. конф., 3-5 окт. 2007 г. : тезисы докл. – Х., 2007. – С. 33.</w:t>
      </w:r>
    </w:p>
    <w:p w:rsidR="002B6183" w:rsidRPr="002B6183" w:rsidRDefault="002B6183" w:rsidP="002B6183">
      <w:pPr>
        <w:rPr>
          <w:lang w:val="uk-UA"/>
        </w:rPr>
      </w:pPr>
      <w:r w:rsidRPr="00070EC9">
        <w:rPr>
          <w:rFonts w:ascii="Arial" w:hAnsi="Arial" w:cs="Arial"/>
          <w:sz w:val="20"/>
          <w:szCs w:val="20"/>
          <w:lang w:val="uk-UA"/>
        </w:rPr>
        <w:t>9. Чорний Д. Міське самоврядування: тягарі проблем, принади цивілізації / Д. М. Чорний // По лівий бік Дніпра: проблеми модернізації міст України : (кінець XIX–початок XX ст. / Д. М. Чорний. – Х., 2007. – Розд. 3. – С. 137–202.</w:t>
      </w:r>
    </w:p>
    <w:p w:rsidR="002B6183" w:rsidRPr="002B6183" w:rsidRDefault="002B6183">
      <w:pPr>
        <w:rPr>
          <w:b/>
          <w:lang w:val="uk-UA"/>
        </w:rPr>
      </w:pPr>
      <w:r w:rsidRPr="004F4B6D">
        <w:rPr>
          <w:b/>
          <w:lang w:val="uk-UA"/>
        </w:rPr>
        <w:t>Список використано</w:t>
      </w:r>
      <w:r w:rsidRPr="002B6183">
        <w:rPr>
          <w:b/>
          <w:lang w:val="uk-UA"/>
        </w:rPr>
        <w:t>ї літератури</w:t>
      </w:r>
    </w:p>
    <w:p w:rsidR="00ED6066" w:rsidRPr="00ED6066" w:rsidRDefault="002A0E13">
      <w:pPr>
        <w:pStyle w:val="NormalWeb"/>
        <w:ind w:left="640" w:hanging="640"/>
        <w:divId w:val="1006633043"/>
        <w:rPr>
          <w:noProof/>
        </w:rPr>
      </w:pPr>
      <w:r>
        <w:fldChar w:fldCharType="begin" w:fldLock="1"/>
      </w:r>
      <w:r w:rsidR="00DB1FA4" w:rsidRPr="00650E5E">
        <w:rPr>
          <w:lang w:val="en-US"/>
        </w:rPr>
        <w:instrText xml:space="preserve">ADDIN Mendeley Bibliography CSL_BIBLIOGRAPHY </w:instrText>
      </w:r>
      <w:r>
        <w:fldChar w:fldCharType="separate"/>
      </w:r>
      <w:r w:rsidR="00ED6066" w:rsidRPr="00ED6066">
        <w:rPr>
          <w:noProof/>
        </w:rPr>
        <w:t xml:space="preserve">1. </w:t>
      </w:r>
      <w:r w:rsidR="00ED6066" w:rsidRPr="00ED6066">
        <w:rPr>
          <w:noProof/>
        </w:rPr>
        <w:tab/>
        <w:t>Johansen J.S. Studies on serum YKL-40 as a biomarker in diseases with inflammation, tissue remodelling, fibroses and cancer. / J.S. Johansen. // Danish medical bulletin.– 2006.– Vol. 53, no. 2.– P. 172–209.</w:t>
      </w:r>
    </w:p>
    <w:p w:rsidR="00ED6066" w:rsidRPr="00ED6066" w:rsidRDefault="00ED6066">
      <w:pPr>
        <w:pStyle w:val="NormalWeb"/>
        <w:ind w:left="640" w:hanging="640"/>
        <w:divId w:val="1006633043"/>
        <w:rPr>
          <w:noProof/>
        </w:rPr>
      </w:pPr>
      <w:r w:rsidRPr="00ED6066">
        <w:rPr>
          <w:noProof/>
        </w:rPr>
        <w:t xml:space="preserve">2. </w:t>
      </w:r>
      <w:r w:rsidRPr="00ED6066">
        <w:rPr>
          <w:noProof/>
        </w:rPr>
        <w:tab/>
        <w:t>Grimm S.A. Anaplastic astrocytoma. / S.A. Grimm, T.J. Pfiffner. // Current treatment options in neurology.– 2013.– Vol. 15, no. 3.– P. 302–15.</w:t>
      </w:r>
    </w:p>
    <w:p w:rsidR="00ED6066" w:rsidRPr="00ED6066" w:rsidRDefault="00ED6066">
      <w:pPr>
        <w:pStyle w:val="NormalWeb"/>
        <w:ind w:left="640" w:hanging="640"/>
        <w:divId w:val="1006633043"/>
        <w:rPr>
          <w:noProof/>
        </w:rPr>
      </w:pPr>
      <w:r w:rsidRPr="00ED6066">
        <w:rPr>
          <w:noProof/>
        </w:rPr>
        <w:t xml:space="preserve">3. </w:t>
      </w:r>
      <w:r w:rsidRPr="00ED6066">
        <w:rPr>
          <w:noProof/>
        </w:rPr>
        <w:tab/>
        <w:t>Saharan S. SIRT1 regulates the neurogenic potential of neural precursors in the adult subventricular zone and hippocampus. / S. Saharan, D.J. Jhaveri, P.F. Bartlett. // Journal of neuroscience research.– 2013.– Vol. 91, no. 5.– P. 642–59.</w:t>
      </w:r>
    </w:p>
    <w:p w:rsidR="00ED6066" w:rsidRPr="00ED6066" w:rsidRDefault="00ED6066">
      <w:pPr>
        <w:pStyle w:val="NormalWeb"/>
        <w:ind w:left="640" w:hanging="640"/>
        <w:divId w:val="1006633043"/>
        <w:rPr>
          <w:noProof/>
        </w:rPr>
      </w:pPr>
      <w:r w:rsidRPr="00ED6066">
        <w:rPr>
          <w:noProof/>
        </w:rPr>
        <w:t xml:space="preserve">4. </w:t>
      </w:r>
      <w:r w:rsidRPr="00ED6066">
        <w:rPr>
          <w:noProof/>
        </w:rPr>
        <w:tab/>
        <w:t>MicroRNAs involved in chemo- and radioresistance of high-grade gliomas / Besse A., J. Sana, P. Fadrus [et al.]. 2013.</w:t>
      </w:r>
    </w:p>
    <w:p w:rsidR="00ED6066" w:rsidRPr="00ED6066" w:rsidRDefault="00ED6066">
      <w:pPr>
        <w:pStyle w:val="NormalWeb"/>
        <w:ind w:left="640" w:hanging="640"/>
        <w:divId w:val="1006633043"/>
        <w:rPr>
          <w:noProof/>
        </w:rPr>
      </w:pPr>
      <w:r w:rsidRPr="00ED6066">
        <w:rPr>
          <w:noProof/>
        </w:rPr>
        <w:t xml:space="preserve">5. </w:t>
      </w:r>
      <w:r w:rsidRPr="00ED6066">
        <w:rPr>
          <w:noProof/>
        </w:rPr>
        <w:tab/>
        <w:t>MicroRNA-24 regulates XIAP to reduce the apoptosis threshold in cancer cells. / Xie Y., L.A. Tobin, J. Camps [et al.]. // Oncogene.– 2013.– Vol. 32, no. 19.– P. 2442–51.</w:t>
      </w:r>
    </w:p>
    <w:p w:rsidR="00ED6066" w:rsidRPr="00ED6066" w:rsidRDefault="00ED6066">
      <w:pPr>
        <w:pStyle w:val="NormalWeb"/>
        <w:ind w:left="640" w:hanging="640"/>
        <w:divId w:val="1006633043"/>
        <w:rPr>
          <w:noProof/>
        </w:rPr>
      </w:pPr>
      <w:r w:rsidRPr="00ED6066">
        <w:rPr>
          <w:noProof/>
        </w:rPr>
        <w:t xml:space="preserve">6. </w:t>
      </w:r>
      <w:r w:rsidRPr="00ED6066">
        <w:rPr>
          <w:noProof/>
        </w:rPr>
        <w:tab/>
        <w:t xml:space="preserve">p53 regulates a non-apoptotic death induced by ROS. / Montero J., C. Dutta, D. van Bodegom [et al.]. // Cell death and differentiation.– 2013. </w:t>
      </w:r>
    </w:p>
    <w:p w:rsidR="002B6183" w:rsidRPr="002B6183" w:rsidRDefault="002A0E13" w:rsidP="00ED6066">
      <w:pPr>
        <w:pStyle w:val="NormalWeb"/>
        <w:ind w:left="640" w:hanging="640"/>
        <w:divId w:val="1328705354"/>
      </w:pPr>
      <w:r>
        <w:fldChar w:fldCharType="end"/>
      </w:r>
    </w:p>
    <w:sectPr w:rsidR="002B6183" w:rsidRPr="002B6183" w:rsidSect="0069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B6183"/>
    <w:rsid w:val="00087B33"/>
    <w:rsid w:val="0011283D"/>
    <w:rsid w:val="002438E5"/>
    <w:rsid w:val="002A0E13"/>
    <w:rsid w:val="002B6183"/>
    <w:rsid w:val="004078F5"/>
    <w:rsid w:val="00413AF2"/>
    <w:rsid w:val="004F4B6D"/>
    <w:rsid w:val="006243A1"/>
    <w:rsid w:val="006251CC"/>
    <w:rsid w:val="00650E5E"/>
    <w:rsid w:val="00690088"/>
    <w:rsid w:val="008A1231"/>
    <w:rsid w:val="00905F75"/>
    <w:rsid w:val="009E0099"/>
    <w:rsid w:val="00BE36D3"/>
    <w:rsid w:val="00D913DB"/>
    <w:rsid w:val="00DB1FA4"/>
    <w:rsid w:val="00DE0B95"/>
    <w:rsid w:val="00E238CE"/>
    <w:rsid w:val="00ED6066"/>
    <w:rsid w:val="00F000A9"/>
    <w:rsid w:val="00F053D8"/>
    <w:rsid w:val="00FC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1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37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3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33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2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91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51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74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925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1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657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83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353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67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663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03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365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554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310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550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15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747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2087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5680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67238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772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0600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50084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54955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838765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89016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8344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97678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39357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153504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701178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81478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054753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2623477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01468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3634089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338829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51997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030848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495454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992853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873538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8868377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317754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236311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200856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1152443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0502632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636696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665816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454704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037769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779817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48242756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6338025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781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32881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183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285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11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190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777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702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774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580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8935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643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818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811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6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6945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502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129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95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134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025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49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429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7085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655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922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6672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635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888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017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033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525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460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7997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695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063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12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113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043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853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887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874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14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177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5293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939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1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034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37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545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09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306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356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3824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795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4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56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2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809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8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862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734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355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194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7841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222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08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121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3202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1656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467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230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0432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395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212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493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0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30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9532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217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327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4679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127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552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1886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8418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099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067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741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89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833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6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55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87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4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176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9943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541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240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7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46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854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91041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990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7734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489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10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9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8321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13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171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87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3943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0628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6148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716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290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705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633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0762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24594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21432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120756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948018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986342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9900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0868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284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5965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3836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0220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9692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0894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8507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030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4068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374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034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00993-C214-452F-8A34-1CDF386B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precise</dc:creator>
  <cp:lastModifiedBy>precise</cp:lastModifiedBy>
  <cp:revision>5</cp:revision>
  <dcterms:created xsi:type="dcterms:W3CDTF">2013-06-08T17:35:00Z</dcterms:created>
  <dcterms:modified xsi:type="dcterms:W3CDTF">2013-06-09T18:45:00Z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a.v.ershov@imbg.org.ua@www.mendeley.com</vt:lpwstr>
  </property>
  <property fmtid="{D5CDD505-2E9C-101B-9397-08002B2CF9AE}" pid="4" name="Mendeley Citation Style_1">
    <vt:lpwstr>http://www.zotero.org/styles/gost-ukr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http://www.zotero.org/styles/environmental-conservation</vt:lpwstr>
  </property>
  <property fmtid="{D5CDD505-2E9C-101B-9397-08002B2CF9AE}" pid="14" name="Mendeley Recent Style Name 4_1">
    <vt:lpwstr>Environmental Conservation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http://www.zotero.org/styles/gost-r-7-0-5-2008-numeric</vt:lpwstr>
  </property>
  <property fmtid="{D5CDD505-2E9C-101B-9397-08002B2CF9AE}" pid="22" name="Mendeley Recent Style Name 8_1">
    <vt:lpwstr>Russian GOST R 7.0.5-2008 (numeric)</vt:lpwstr>
  </property>
  <property fmtid="{D5CDD505-2E9C-101B-9397-08002B2CF9AE}" pid="23" name="Mendeley Recent Style Id 9_1">
    <vt:lpwstr>http://www.zotero.org/styles/gost-ukr</vt:lpwstr>
  </property>
  <property fmtid="{D5CDD505-2E9C-101B-9397-08002B2CF9AE}" pid="24" name="Mendeley Recent Style Name 9_1">
    <vt:lpwstr>Ukrainian GOST (numeric)</vt:lpwstr>
  </property>
</Properties>
</file>