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39888" w14:textId="77777777" w:rsidR="005C1176" w:rsidRDefault="005C1176"/>
    <w:p w14:paraId="5F8F79D6" w14:textId="43E2CA7C" w:rsidR="005C1176" w:rsidRDefault="001F1AF5">
      <w:r>
        <w:rPr>
          <w:b/>
          <w:i/>
          <w:sz w:val="24"/>
        </w:rPr>
        <w:t>{</w:t>
      </w:r>
      <w:r w:rsidR="00000000">
        <w:rPr>
          <w:b/>
          <w:i/>
          <w:sz w:val="24"/>
        </w:rPr>
        <w:t>{PROJECT</w:t>
      </w:r>
      <w:r>
        <w:rPr>
          <w:b/>
          <w:i/>
          <w:sz w:val="24"/>
        </w:rPr>
        <w:t>}</w:t>
      </w:r>
      <w:r w:rsidR="00000000">
        <w:rPr>
          <w:b/>
          <w:i/>
          <w:sz w:val="24"/>
        </w:rPr>
        <w:t>} — Easy LCA Report</w:t>
      </w:r>
    </w:p>
    <w:p w14:paraId="1E41FE2E" w14:textId="77777777" w:rsidR="00930689" w:rsidRPr="007D2BB9" w:rsidRDefault="005754C2">
      <w:pPr>
        <w:rPr>
          <w:rFonts w:ascii="Times New Roman" w:eastAsia="Times New Roman" w:hAnsi="Times New Roman" w:cs="Times New Roman"/>
          <w:b/>
          <w:sz w:val="24"/>
          <w:szCs w:val="24"/>
        </w:rPr>
      </w:pPr>
      <w:r w:rsidRPr="007D2BB9">
        <w:rPr>
          <w:rFonts w:ascii="Times New Roman" w:eastAsia="Times New Roman" w:hAnsi="Times New Roman" w:cs="Times New Roman"/>
          <w:b/>
          <w:sz w:val="24"/>
          <w:szCs w:val="24"/>
        </w:rPr>
        <w:t>Introduction</w:t>
      </w:r>
    </w:p>
    <w:p w14:paraId="64C0F2B7" w14:textId="77777777" w:rsidR="002D1649" w:rsidRPr="007D2BB9" w:rsidRDefault="002D1649">
      <w:pPr>
        <w:rPr>
          <w:rFonts w:ascii="Times New Roman" w:eastAsia="Times New Roman" w:hAnsi="Times New Roman" w:cs="Times New Roman"/>
          <w:b/>
          <w:sz w:val="24"/>
          <w:szCs w:val="24"/>
        </w:rPr>
      </w:pPr>
    </w:p>
    <w:p w14:paraId="592C45AC" w14:textId="77777777" w:rsidR="007D2BB9" w:rsidRPr="007D2BB9" w:rsidRDefault="007D2BB9" w:rsidP="007D2BB9">
      <w:pPr>
        <w:pStyle w:val="NormalWeb"/>
      </w:pPr>
      <w:r w:rsidRPr="007D2BB9">
        <w:t xml:space="preserve">At Tchai we </w:t>
      </w:r>
      <w:r w:rsidRPr="007D2BB9">
        <w:rPr>
          <w:rStyle w:val="Emphasis"/>
        </w:rPr>
        <w:t>build different</w:t>
      </w:r>
      <w:r w:rsidRPr="007D2BB9">
        <w:t>: within every brand space we design we try to leave a positive mark on people and planet.</w:t>
      </w:r>
      <w:r w:rsidRPr="007D2BB9">
        <w:br/>
        <w:t>Our Easy LCA tool helps us see the real footprint of a concept before it’s built: materials, transport, end</w:t>
      </w:r>
      <w:r w:rsidRPr="007D2BB9">
        <w:noBreakHyphen/>
        <w:t>of</w:t>
      </w:r>
      <w:r w:rsidRPr="007D2BB9">
        <w:noBreakHyphen/>
        <w:t>life. With those numbers we can adjust, swap, or simplify.</w:t>
      </w:r>
    </w:p>
    <w:p w14:paraId="1279C69B" w14:textId="77777777" w:rsidR="007E618B" w:rsidRPr="007D2BB9" w:rsidRDefault="007D2BB9" w:rsidP="007D2BB9">
      <w:pPr>
        <w:pStyle w:val="NormalWeb"/>
      </w:pPr>
      <w:r>
        <w:t>B</w:t>
      </w:r>
      <w:r w:rsidRPr="007D2BB9">
        <w:t>y 2030 we want every solution we deliver to have a clear, positive influence. Tracking impact now is a practical step toward that goal.</w:t>
      </w:r>
    </w:p>
    <w:p w14:paraId="64C4EA18" w14:textId="77777777" w:rsidR="002D1649" w:rsidRPr="007D2BB9" w:rsidRDefault="002D1649" w:rsidP="002D1649">
      <w:pPr>
        <w:spacing w:before="240" w:after="240"/>
        <w:rPr>
          <w:rFonts w:ascii="Times New Roman" w:eastAsia="Times New Roman" w:hAnsi="Times New Roman" w:cs="Times New Roman"/>
          <w:sz w:val="24"/>
          <w:szCs w:val="24"/>
          <w:lang w:val="en-US"/>
        </w:rPr>
      </w:pPr>
      <w:r w:rsidRPr="007D2BB9">
        <w:rPr>
          <w:rFonts w:ascii="Times New Roman" w:eastAsia="Times New Roman" w:hAnsi="Times New Roman" w:cs="Times New Roman"/>
          <w:b/>
          <w:bCs/>
          <w:sz w:val="24"/>
          <w:szCs w:val="24"/>
          <w:lang w:val="en-US"/>
        </w:rPr>
        <w:t>Different tracks, shared direction: sustainability</w:t>
      </w:r>
      <w:r w:rsidRPr="007D2BB9">
        <w:rPr>
          <w:rFonts w:ascii="Times New Roman" w:eastAsia="Times New Roman" w:hAnsi="Times New Roman" w:cs="Times New Roman"/>
          <w:sz w:val="24"/>
          <w:szCs w:val="24"/>
          <w:lang w:val="en-US"/>
        </w:rPr>
        <w:t>​​​</w:t>
      </w:r>
    </w:p>
    <w:p w14:paraId="715586FD"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Within every design process, we aim to integrate sustainability as early and as broadly as possible. We deliberately take a wide-angle approach: to us, sustainability is the result of a series of choices and trade-offs, not a one-size-fits-all solution.</w:t>
      </w:r>
    </w:p>
    <w:p w14:paraId="792883CE"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For some organizations, the focus lies on CO</w:t>
      </w:r>
      <w:r w:rsidR="00C06728">
        <w:rPr>
          <w:rFonts w:ascii="Times New Roman" w:eastAsia="Times New Roman" w:hAnsi="Times New Roman" w:cs="Times New Roman"/>
          <w:sz w:val="24"/>
          <w:szCs w:val="24"/>
        </w:rPr>
        <w:t>2</w:t>
      </w:r>
      <w:r w:rsidRPr="007D2BB9">
        <w:rPr>
          <w:rFonts w:ascii="Times New Roman" w:eastAsia="Times New Roman" w:hAnsi="Times New Roman" w:cs="Times New Roman"/>
          <w:sz w:val="24"/>
          <w:szCs w:val="24"/>
        </w:rPr>
        <w:t xml:space="preserve">e emissions; for others, it's on circularity, reuse, or social responsibility. We believe that each organization follows its own sustainability journey. </w:t>
      </w:r>
    </w:p>
    <w:p w14:paraId="22556542"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At this conceptual stage, we used a consistent design to evaluate each material’s environmental impact based on the following criteria:</w:t>
      </w:r>
    </w:p>
    <w:p w14:paraId="411A4C59" w14:textId="77777777" w:rsidR="00930689" w:rsidRPr="007D2BB9" w:rsidRDefault="005754C2">
      <w:pPr>
        <w:numPr>
          <w:ilvl w:val="0"/>
          <w:numId w:val="2"/>
        </w:numPr>
        <w:spacing w:before="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CO</w:t>
      </w:r>
      <w:r w:rsidR="00C06728">
        <w:rPr>
          <w:rFonts w:ascii="Times New Roman" w:eastAsia="Times New Roman" w:hAnsi="Times New Roman" w:cs="Times New Roman"/>
          <w:sz w:val="24"/>
          <w:szCs w:val="24"/>
        </w:rPr>
        <w:t>2</w:t>
      </w:r>
      <w:r w:rsidRPr="007D2BB9">
        <w:rPr>
          <w:rFonts w:ascii="Times New Roman" w:eastAsia="Times New Roman" w:hAnsi="Times New Roman" w:cs="Times New Roman"/>
          <w:sz w:val="24"/>
          <w:szCs w:val="24"/>
        </w:rPr>
        <w:t>e emissions per unit (calculated over a -year lifespan)</w:t>
      </w:r>
      <w:r w:rsidRPr="007D2BB9">
        <w:rPr>
          <w:rFonts w:ascii="Times New Roman" w:eastAsia="Times New Roman" w:hAnsi="Times New Roman" w:cs="Times New Roman"/>
          <w:sz w:val="24"/>
          <w:szCs w:val="24"/>
        </w:rPr>
        <w:br/>
      </w:r>
    </w:p>
    <w:p w14:paraId="28EFD517" w14:textId="77777777" w:rsidR="00930689" w:rsidRPr="007D2BB9" w:rsidRDefault="005754C2">
      <w:pPr>
        <w:numPr>
          <w:ilvl w:val="0"/>
          <w:numId w:val="2"/>
        </w:numPr>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Recycled content (% of recycled vs. virgin material)</w:t>
      </w:r>
      <w:r w:rsidRPr="007D2BB9">
        <w:rPr>
          <w:rFonts w:ascii="Times New Roman" w:eastAsia="Times New Roman" w:hAnsi="Times New Roman" w:cs="Times New Roman"/>
          <w:sz w:val="24"/>
          <w:szCs w:val="24"/>
        </w:rPr>
        <w:br/>
      </w:r>
    </w:p>
    <w:p w14:paraId="13CE9645" w14:textId="77777777" w:rsidR="00930689" w:rsidRPr="007D2BB9" w:rsidRDefault="005754C2">
      <w:pPr>
        <w:numPr>
          <w:ilvl w:val="0"/>
          <w:numId w:val="2"/>
        </w:numPr>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Circularity potential (reusability, reparability, modularity)</w:t>
      </w:r>
      <w:r w:rsidRPr="007D2BB9">
        <w:rPr>
          <w:rFonts w:ascii="Times New Roman" w:eastAsia="Times New Roman" w:hAnsi="Times New Roman" w:cs="Times New Roman"/>
          <w:sz w:val="24"/>
          <w:szCs w:val="24"/>
        </w:rPr>
        <w:br/>
      </w:r>
    </w:p>
    <w:p w14:paraId="77679068" w14:textId="77777777" w:rsidR="00930689" w:rsidRPr="007D2BB9" w:rsidRDefault="005754C2">
      <w:pPr>
        <w:numPr>
          <w:ilvl w:val="0"/>
          <w:numId w:val="2"/>
        </w:numPr>
        <w:spacing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End-of-life considerations</w:t>
      </w:r>
    </w:p>
    <w:p w14:paraId="5B1BE096" w14:textId="77777777" w:rsidR="00930689" w:rsidRPr="007D2BB9" w:rsidRDefault="005754C2">
      <w:pPr>
        <w:pStyle w:val="Heading3"/>
        <w:keepNext w:val="0"/>
        <w:keepLines w:val="0"/>
        <w:spacing w:before="280"/>
        <w:rPr>
          <w:rFonts w:ascii="Times New Roman" w:eastAsia="Times New Roman" w:hAnsi="Times New Roman" w:cs="Times New Roman"/>
          <w:b/>
          <w:color w:val="000000"/>
          <w:sz w:val="24"/>
          <w:szCs w:val="24"/>
        </w:rPr>
      </w:pPr>
      <w:bookmarkStart w:id="0" w:name="_u6txsb2r092c" w:colFirst="0" w:colLast="0"/>
      <w:bookmarkEnd w:id="0"/>
      <w:r w:rsidRPr="007D2BB9">
        <w:rPr>
          <w:rFonts w:ascii="Times New Roman" w:eastAsia="Times New Roman" w:hAnsi="Times New Roman" w:cs="Times New Roman"/>
          <w:b/>
          <w:color w:val="000000"/>
          <w:sz w:val="24"/>
          <w:szCs w:val="24"/>
        </w:rPr>
        <w:t xml:space="preserve">Materials Included in the Analysis </w:t>
      </w:r>
    </w:p>
    <w:p w14:paraId="5783CF9B" w14:textId="77777777" w:rsidR="00930689" w:rsidRPr="007D2BB9" w:rsidRDefault="00930689">
      <w:pPr>
        <w:rPr>
          <w:sz w:val="24"/>
          <w:szCs w:val="24"/>
        </w:rPr>
      </w:pPr>
    </w:p>
    <w:p w14:paraId="76C04379" w14:textId="77777777" w:rsidR="00930689" w:rsidRPr="007D2BB9" w:rsidRDefault="005754C2">
      <w:pPr>
        <w:numPr>
          <w:ilvl w:val="0"/>
          <w:numId w:val="1"/>
        </w:numPr>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 xml:space="preserve">List of materials </w:t>
      </w:r>
    </w:p>
    <w:p w14:paraId="48E974D0" w14:textId="77777777" w:rsidR="00930689" w:rsidRPr="007D2BB9" w:rsidRDefault="005754C2">
      <w:pPr>
        <w:pStyle w:val="Heading3"/>
        <w:keepNext w:val="0"/>
        <w:keepLines w:val="0"/>
        <w:spacing w:before="280"/>
        <w:rPr>
          <w:rFonts w:ascii="Times New Roman" w:eastAsia="Times New Roman" w:hAnsi="Times New Roman" w:cs="Times New Roman"/>
          <w:b/>
          <w:color w:val="000000"/>
          <w:sz w:val="24"/>
          <w:szCs w:val="24"/>
        </w:rPr>
      </w:pPr>
      <w:bookmarkStart w:id="1" w:name="_gwrfxq13pi0l" w:colFirst="0" w:colLast="0"/>
      <w:bookmarkEnd w:id="1"/>
      <w:r w:rsidRPr="007D2BB9">
        <w:rPr>
          <w:rFonts w:ascii="Times New Roman" w:eastAsia="Times New Roman" w:hAnsi="Times New Roman" w:cs="Times New Roman"/>
          <w:b/>
          <w:color w:val="000000"/>
          <w:sz w:val="24"/>
          <w:szCs w:val="24"/>
        </w:rPr>
        <w:t>Considerations and Scope</w:t>
      </w:r>
    </w:p>
    <w:p w14:paraId="3F333324"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lastRenderedPageBreak/>
        <w:t>Beyond environmental metrics, material selection was guided by expected lifespan, durability, and resistance to vandalism. While these are not directly reflected in CO</w:t>
      </w:r>
      <w:r w:rsidR="00C06728">
        <w:rPr>
          <w:rFonts w:ascii="Times New Roman" w:eastAsia="Times New Roman" w:hAnsi="Times New Roman" w:cs="Times New Roman"/>
          <w:sz w:val="24"/>
          <w:szCs w:val="24"/>
        </w:rPr>
        <w:t>2</w:t>
      </w:r>
      <w:r w:rsidRPr="007D2BB9">
        <w:rPr>
          <w:rFonts w:ascii="Times New Roman" w:eastAsia="Times New Roman" w:hAnsi="Times New Roman" w:cs="Times New Roman"/>
          <w:sz w:val="24"/>
          <w:szCs w:val="24"/>
        </w:rPr>
        <w:t xml:space="preserve">e calculations, they significantly impact long-term performance and suitability. </w:t>
      </w:r>
    </w:p>
    <w:p w14:paraId="2A3DD547"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Transport emissions were excluded from this stage, as they depend on future decisions such as supplier and production location. Should we be involved in the production phase, these will be included in the final LCA.</w:t>
      </w:r>
    </w:p>
    <w:p w14:paraId="212BDF89"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This comparison is indicative, aiming to generate early insight into the environmental implications of material choices, focusing solely on environmental aspects.</w:t>
      </w:r>
    </w:p>
    <w:p w14:paraId="2B2B3CF9" w14:textId="77777777" w:rsidR="00930689" w:rsidRPr="007D2BB9" w:rsidRDefault="005754C2">
      <w:pPr>
        <w:spacing w:before="240" w:after="240"/>
        <w:ind w:right="60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Social criteria like working conditions and human rights, while not part of this assessment, are essential to our approach. At Tchai, we only collaborate with suppliers who uphold high standards of ethics, transparency, and labor rights.</w:t>
      </w:r>
    </w:p>
    <w:p w14:paraId="34CEEAC2" w14:textId="77777777" w:rsidR="00930689" w:rsidRPr="007D2BB9" w:rsidRDefault="005754C2">
      <w:pPr>
        <w:spacing w:before="240" w:after="240"/>
        <w:rPr>
          <w:rFonts w:ascii="Times New Roman" w:eastAsia="Times New Roman" w:hAnsi="Times New Roman" w:cs="Times New Roman"/>
          <w:b/>
          <w:sz w:val="24"/>
          <w:szCs w:val="24"/>
        </w:rPr>
      </w:pPr>
      <w:r w:rsidRPr="007D2BB9">
        <w:rPr>
          <w:rFonts w:ascii="Times New Roman" w:eastAsia="Times New Roman" w:hAnsi="Times New Roman" w:cs="Times New Roman"/>
          <w:sz w:val="24"/>
          <w:szCs w:val="24"/>
        </w:rPr>
        <w:t>This methodology supports better-informed early decisions and promotes meaningful, well-rounded discussions about sustainability.</w:t>
      </w:r>
    </w:p>
    <w:p w14:paraId="0110E734" w14:textId="77777777" w:rsidR="00930689" w:rsidRDefault="005754C2">
      <w:pPr>
        <w:pStyle w:val="Heading3"/>
        <w:keepNext w:val="0"/>
        <w:keepLines w:val="0"/>
        <w:spacing w:before="280"/>
        <w:rPr>
          <w:rFonts w:ascii="Times New Roman" w:eastAsia="Times New Roman" w:hAnsi="Times New Roman" w:cs="Times New Roman"/>
          <w:b/>
          <w:color w:val="000000"/>
          <w:sz w:val="24"/>
          <w:szCs w:val="24"/>
        </w:rPr>
      </w:pPr>
      <w:bookmarkStart w:id="2" w:name="_5qirtao4lhuf" w:colFirst="0" w:colLast="0"/>
      <w:bookmarkEnd w:id="2"/>
      <w:r w:rsidRPr="007D2BB9">
        <w:rPr>
          <w:rFonts w:ascii="Times New Roman" w:eastAsia="Times New Roman" w:hAnsi="Times New Roman" w:cs="Times New Roman"/>
          <w:b/>
          <w:color w:val="000000"/>
          <w:sz w:val="24"/>
          <w:szCs w:val="24"/>
        </w:rPr>
        <w:t>Material Comparison Overview</w:t>
      </w:r>
    </w:p>
    <w:p w14:paraId="4590BC48" w14:textId="784E7773" w:rsidR="005C6DFE" w:rsidRPr="005C6DFE" w:rsidRDefault="005C6DFE" w:rsidP="005C6DFE"/>
    <w:tbl>
      <w:tblPr>
        <w:tblStyle w:val="TableGrid"/>
        <w:tblW w:w="0" w:type="auto"/>
        <w:tblLook w:val="04A0" w:firstRow="1" w:lastRow="0" w:firstColumn="1" w:lastColumn="0" w:noHBand="0" w:noVBand="1"/>
      </w:tblPr>
      <w:tblGrid>
        <w:gridCol w:w="1366"/>
        <w:gridCol w:w="1388"/>
        <w:gridCol w:w="2154"/>
        <w:gridCol w:w="1591"/>
        <w:gridCol w:w="960"/>
        <w:gridCol w:w="1891"/>
      </w:tblGrid>
      <w:tr w:rsidR="00246CBB" w14:paraId="3DE1A724" w14:textId="00AF2A15" w:rsidTr="0096488A">
        <w:tc>
          <w:tcPr>
            <w:tcW w:w="1899" w:type="dxa"/>
          </w:tcPr>
          <w:p w14:paraId="695DB743" w14:textId="69ECE9A2" w:rsidR="0096488A" w:rsidRDefault="0096488A" w:rsidP="0082118B">
            <w:r>
              <w:t>Material</w:t>
            </w:r>
          </w:p>
        </w:tc>
        <w:tc>
          <w:tcPr>
            <w:tcW w:w="1898" w:type="dxa"/>
          </w:tcPr>
          <w:p w14:paraId="4B4C798E" w14:textId="1E5B6AE6" w:rsidR="0096488A" w:rsidRDefault="0096488A" w:rsidP="00606EBE">
            <w:r w:rsidRPr="007D2BB9">
              <w:rPr>
                <w:rFonts w:ascii="Times New Roman" w:eastAsia="Times New Roman" w:hAnsi="Times New Roman" w:cs="Times New Roman"/>
                <w:b/>
                <w:sz w:val="24"/>
                <w:szCs w:val="24"/>
                <w:lang w:val="it-IT"/>
              </w:rPr>
              <w:t>CO</w:t>
            </w:r>
            <w:r>
              <w:rPr>
                <w:rFonts w:ascii="Times New Roman" w:eastAsia="Times New Roman" w:hAnsi="Times New Roman" w:cs="Times New Roman"/>
                <w:b/>
                <w:sz w:val="24"/>
                <w:szCs w:val="24"/>
                <w:lang w:val="it-IT"/>
              </w:rPr>
              <w:t>2</w:t>
            </w:r>
            <w:r w:rsidRPr="007D2BB9">
              <w:rPr>
                <w:rFonts w:ascii="Times New Roman" w:eastAsia="Times New Roman" w:hAnsi="Times New Roman" w:cs="Times New Roman"/>
                <w:b/>
                <w:sz w:val="24"/>
                <w:szCs w:val="24"/>
                <w:lang w:val="it-IT"/>
              </w:rPr>
              <w:t>e</w:t>
            </w:r>
            <w:r>
              <w:rPr>
                <w:rFonts w:ascii="Times New Roman" w:eastAsia="Times New Roman" w:hAnsi="Times New Roman" w:cs="Times New Roman"/>
                <w:b/>
                <w:sz w:val="24"/>
                <w:szCs w:val="24"/>
                <w:lang w:val="it-IT"/>
              </w:rPr>
              <w:t xml:space="preserve"> </w:t>
            </w:r>
            <w:r w:rsidRPr="007D2BB9">
              <w:rPr>
                <w:rFonts w:ascii="Times New Roman" w:eastAsia="Times New Roman" w:hAnsi="Times New Roman" w:cs="Times New Roman"/>
                <w:b/>
                <w:sz w:val="24"/>
                <w:szCs w:val="24"/>
                <w:lang w:val="it-IT"/>
              </w:rPr>
              <w:t>per Unit (kg CO</w:t>
            </w:r>
            <w:r>
              <w:rPr>
                <w:rFonts w:ascii="Times New Roman" w:eastAsia="Times New Roman" w:hAnsi="Times New Roman" w:cs="Times New Roman"/>
                <w:b/>
                <w:sz w:val="24"/>
                <w:szCs w:val="24"/>
                <w:lang w:val="it-IT"/>
              </w:rPr>
              <w:t>2</w:t>
            </w:r>
            <w:r w:rsidRPr="007D2BB9">
              <w:rPr>
                <w:rFonts w:ascii="Times New Roman" w:eastAsia="Times New Roman" w:hAnsi="Times New Roman" w:cs="Times New Roman"/>
                <w:b/>
                <w:sz w:val="24"/>
                <w:szCs w:val="24"/>
                <w:lang w:val="it-IT"/>
              </w:rPr>
              <w:t>e)</w:t>
            </w:r>
          </w:p>
        </w:tc>
        <w:tc>
          <w:tcPr>
            <w:tcW w:w="1448" w:type="dxa"/>
          </w:tcPr>
          <w:p w14:paraId="4FE00BDC" w14:textId="519063DA" w:rsidR="0096488A" w:rsidRDefault="0096488A" w:rsidP="00606EBE">
            <w:r w:rsidRPr="007D2BB9">
              <w:rPr>
                <w:rFonts w:ascii="Times New Roman" w:eastAsia="Times New Roman" w:hAnsi="Times New Roman" w:cs="Times New Roman"/>
                <w:b/>
                <w:sz w:val="24"/>
                <w:szCs w:val="24"/>
              </w:rPr>
              <w:t>Avg. Recycled Content</w:t>
            </w:r>
          </w:p>
        </w:tc>
        <w:tc>
          <w:tcPr>
            <w:tcW w:w="1986" w:type="dxa"/>
          </w:tcPr>
          <w:p w14:paraId="6133D781" w14:textId="6979FFF2" w:rsidR="0096488A" w:rsidRDefault="0096488A" w:rsidP="00606EBE">
            <w:r w:rsidRPr="007D2BB9">
              <w:rPr>
                <w:rFonts w:ascii="Times New Roman" w:eastAsia="Times New Roman" w:hAnsi="Times New Roman" w:cs="Times New Roman"/>
                <w:b/>
                <w:sz w:val="24"/>
                <w:szCs w:val="24"/>
              </w:rPr>
              <w:t>Circularity</w:t>
            </w:r>
          </w:p>
        </w:tc>
        <w:tc>
          <w:tcPr>
            <w:tcW w:w="1898" w:type="dxa"/>
          </w:tcPr>
          <w:p w14:paraId="1CDF4EE0" w14:textId="2C8C9360" w:rsidR="0096488A" w:rsidRDefault="0096488A" w:rsidP="00606EBE">
            <w:r w:rsidRPr="007D2BB9">
              <w:rPr>
                <w:rFonts w:ascii="Times New Roman" w:eastAsia="Times New Roman" w:hAnsi="Times New Roman" w:cs="Times New Roman"/>
                <w:b/>
                <w:sz w:val="24"/>
                <w:szCs w:val="24"/>
              </w:rPr>
              <w:t>End-of-Life</w:t>
            </w:r>
          </w:p>
        </w:tc>
        <w:tc>
          <w:tcPr>
            <w:tcW w:w="221" w:type="dxa"/>
          </w:tcPr>
          <w:p w14:paraId="5AEE0599" w14:textId="6E35BF1B" w:rsidR="0096488A" w:rsidRPr="007D2BB9" w:rsidRDefault="0096488A" w:rsidP="00606EBE">
            <w:pPr>
              <w:rPr>
                <w:rFonts w:ascii="Times New Roman" w:eastAsia="Times New Roman" w:hAnsi="Times New Roman" w:cs="Times New Roman"/>
                <w:b/>
                <w:sz w:val="24"/>
                <w:szCs w:val="24"/>
              </w:rPr>
            </w:pPr>
            <w:r w:rsidRPr="007D2BB9">
              <w:rPr>
                <w:rFonts w:ascii="Times New Roman" w:eastAsia="Times New Roman" w:hAnsi="Times New Roman" w:cs="Times New Roman"/>
                <w:b/>
                <w:sz w:val="24"/>
                <w:szCs w:val="24"/>
              </w:rPr>
              <w:t>Tree Equivalent*</w:t>
            </w:r>
          </w:p>
        </w:tc>
      </w:tr>
      <w:tr w:rsidR="00246CBB" w14:paraId="550AC73C" w14:textId="0C6BBD3A" w:rsidTr="0096488A">
        <w:tc>
          <w:tcPr>
            <w:tcW w:w="1899" w:type="dxa"/>
          </w:tcPr>
          <w:p w14:paraId="41C7AF6C" w14:textId="5818B4D2" w:rsidR="0096488A" w:rsidRPr="005C6DFE" w:rsidRDefault="0096488A" w:rsidP="0082118B">
            <w:r>
              <w:t xml:space="preserve">{%tr </w:t>
            </w:r>
            <w:r>
              <w:t xml:space="preserve">for item in </w:t>
            </w:r>
            <w:r>
              <w:t>materials %}</w:t>
            </w:r>
          </w:p>
          <w:p w14:paraId="7A516CE8" w14:textId="77777777" w:rsidR="0096488A" w:rsidRDefault="0096488A" w:rsidP="00606EBE"/>
        </w:tc>
        <w:tc>
          <w:tcPr>
            <w:tcW w:w="1898" w:type="dxa"/>
          </w:tcPr>
          <w:p w14:paraId="20CBF8FE" w14:textId="77777777" w:rsidR="0096488A" w:rsidRDefault="0096488A" w:rsidP="00606EBE"/>
        </w:tc>
        <w:tc>
          <w:tcPr>
            <w:tcW w:w="1448" w:type="dxa"/>
          </w:tcPr>
          <w:p w14:paraId="4C1BF3BA" w14:textId="77777777" w:rsidR="0096488A" w:rsidRDefault="0096488A" w:rsidP="00606EBE"/>
        </w:tc>
        <w:tc>
          <w:tcPr>
            <w:tcW w:w="1986" w:type="dxa"/>
          </w:tcPr>
          <w:p w14:paraId="6761FD09" w14:textId="77777777" w:rsidR="0096488A" w:rsidRDefault="0096488A" w:rsidP="00606EBE"/>
        </w:tc>
        <w:tc>
          <w:tcPr>
            <w:tcW w:w="1898" w:type="dxa"/>
          </w:tcPr>
          <w:p w14:paraId="353533A3" w14:textId="77777777" w:rsidR="0096488A" w:rsidRDefault="0096488A" w:rsidP="00606EBE"/>
        </w:tc>
        <w:tc>
          <w:tcPr>
            <w:tcW w:w="221" w:type="dxa"/>
          </w:tcPr>
          <w:p w14:paraId="1C4702FC" w14:textId="77777777" w:rsidR="0096488A" w:rsidRDefault="0096488A" w:rsidP="00606EBE"/>
        </w:tc>
      </w:tr>
      <w:tr w:rsidR="00246CBB" w14:paraId="533C61EE" w14:textId="4F81B2BE" w:rsidTr="0096488A">
        <w:tc>
          <w:tcPr>
            <w:tcW w:w="1899" w:type="dxa"/>
          </w:tcPr>
          <w:p w14:paraId="69A118F9" w14:textId="1E138165" w:rsidR="0096488A" w:rsidRDefault="0096488A" w:rsidP="00606EBE">
            <w:r>
              <w:t>{{</w:t>
            </w:r>
            <w:r>
              <w:t>item.</w:t>
            </w:r>
            <w:r>
              <w:t>MATERIAL}}</w:t>
            </w:r>
          </w:p>
        </w:tc>
        <w:tc>
          <w:tcPr>
            <w:tcW w:w="1898" w:type="dxa"/>
          </w:tcPr>
          <w:p w14:paraId="6447E631" w14:textId="3F712DBA" w:rsidR="0096488A" w:rsidRDefault="0096488A" w:rsidP="00606EBE">
            <w:r>
              <w:t>{{</w:t>
            </w:r>
            <w:r>
              <w:t>item.</w:t>
            </w:r>
            <w:r w:rsidR="005E7CEA">
              <w:t>CO2</w:t>
            </w:r>
            <w:r w:rsidR="00A16429">
              <w:t>_TOTAL</w:t>
            </w:r>
            <w:r w:rsidR="005E7CEA">
              <w:t xml:space="preserve"> </w:t>
            </w:r>
            <w:r>
              <w:t>}}</w:t>
            </w:r>
          </w:p>
        </w:tc>
        <w:tc>
          <w:tcPr>
            <w:tcW w:w="1448" w:type="dxa"/>
          </w:tcPr>
          <w:p w14:paraId="3556C88F" w14:textId="6E2E59AF" w:rsidR="0096488A" w:rsidRDefault="0096488A" w:rsidP="00606EBE">
            <w:r>
              <w:t>{{</w:t>
            </w:r>
            <w:r>
              <w:t>item.</w:t>
            </w:r>
            <w:r w:rsidR="00A16429">
              <w:t>RECYCLED_CONTENT</w:t>
            </w:r>
            <w:r>
              <w:t>}}</w:t>
            </w:r>
          </w:p>
        </w:tc>
        <w:tc>
          <w:tcPr>
            <w:tcW w:w="1986" w:type="dxa"/>
          </w:tcPr>
          <w:p w14:paraId="5D58D8DC" w14:textId="635BB781" w:rsidR="0096488A" w:rsidRDefault="0096488A" w:rsidP="00606EBE">
            <w:r>
              <w:t>{{</w:t>
            </w:r>
            <w:r>
              <w:t>item.</w:t>
            </w:r>
            <w:r w:rsidR="00246CBB">
              <w:t>CIRCULARITY</w:t>
            </w:r>
            <w:r>
              <w:t>}}</w:t>
            </w:r>
          </w:p>
        </w:tc>
        <w:tc>
          <w:tcPr>
            <w:tcW w:w="1898" w:type="dxa"/>
          </w:tcPr>
          <w:p w14:paraId="348451A1" w14:textId="3EF56E2D" w:rsidR="0096488A" w:rsidRDefault="0096488A" w:rsidP="00606EBE">
            <w:r>
              <w:t>{{</w:t>
            </w:r>
            <w:r>
              <w:t>item</w:t>
            </w:r>
            <w:r w:rsidR="00246CBB">
              <w:t>.EOL</w:t>
            </w:r>
            <w:r>
              <w:t>}}</w:t>
            </w:r>
          </w:p>
        </w:tc>
        <w:tc>
          <w:tcPr>
            <w:tcW w:w="221" w:type="dxa"/>
          </w:tcPr>
          <w:p w14:paraId="3DB312F7" w14:textId="6B51DFF4" w:rsidR="0096488A" w:rsidRDefault="00246CBB" w:rsidP="00606EBE">
            <w:r>
              <w:t>{{item.TREES_MATERIAL}}</w:t>
            </w:r>
          </w:p>
        </w:tc>
      </w:tr>
      <w:tr w:rsidR="00246CBB" w14:paraId="039B8865" w14:textId="73503FBB" w:rsidTr="0096488A">
        <w:tc>
          <w:tcPr>
            <w:tcW w:w="1899" w:type="dxa"/>
          </w:tcPr>
          <w:p w14:paraId="386EABCA" w14:textId="164D0F01" w:rsidR="0096488A" w:rsidRDefault="0096488A" w:rsidP="00606EBE">
            <w:r>
              <w:t>{%</w:t>
            </w:r>
            <w:r>
              <w:t xml:space="preserve">tr </w:t>
            </w:r>
            <w:r>
              <w:t>end</w:t>
            </w:r>
            <w:r>
              <w:t>for</w:t>
            </w:r>
            <w:r>
              <w:t xml:space="preserve"> %}</w:t>
            </w:r>
          </w:p>
        </w:tc>
        <w:tc>
          <w:tcPr>
            <w:tcW w:w="1898" w:type="dxa"/>
          </w:tcPr>
          <w:p w14:paraId="08C13AA1" w14:textId="77777777" w:rsidR="0096488A" w:rsidRDefault="0096488A" w:rsidP="00606EBE"/>
        </w:tc>
        <w:tc>
          <w:tcPr>
            <w:tcW w:w="1448" w:type="dxa"/>
          </w:tcPr>
          <w:p w14:paraId="77F2E895" w14:textId="77777777" w:rsidR="0096488A" w:rsidRDefault="0096488A" w:rsidP="00606EBE"/>
        </w:tc>
        <w:tc>
          <w:tcPr>
            <w:tcW w:w="1986" w:type="dxa"/>
          </w:tcPr>
          <w:p w14:paraId="3CD1A1E0" w14:textId="77777777" w:rsidR="0096488A" w:rsidRDefault="0096488A" w:rsidP="00606EBE"/>
        </w:tc>
        <w:tc>
          <w:tcPr>
            <w:tcW w:w="1898" w:type="dxa"/>
          </w:tcPr>
          <w:p w14:paraId="513BF10E" w14:textId="77777777" w:rsidR="0096488A" w:rsidRDefault="0096488A" w:rsidP="00606EBE"/>
        </w:tc>
        <w:tc>
          <w:tcPr>
            <w:tcW w:w="221" w:type="dxa"/>
          </w:tcPr>
          <w:p w14:paraId="68A9D80D" w14:textId="77777777" w:rsidR="0096488A" w:rsidRDefault="0096488A" w:rsidP="00606EBE"/>
        </w:tc>
      </w:tr>
    </w:tbl>
    <w:p w14:paraId="5E2FFF74" w14:textId="3845B49A" w:rsidR="00606EBE" w:rsidRPr="00606EBE" w:rsidRDefault="00606EBE" w:rsidP="00606EBE"/>
    <w:tbl>
      <w:tblPr>
        <w:tblStyle w:val="TableNormal0"/>
        <w:tblpPr w:leftFromText="180" w:rightFromText="180" w:horzAnchor="margin" w:tblpY="375"/>
        <w:tblW w:w="10435" w:type="dxa"/>
        <w:tblInd w:w="0" w:type="dxa"/>
        <w:tblLook w:val="04A0" w:firstRow="1" w:lastRow="0" w:firstColumn="1" w:lastColumn="0" w:noHBand="0" w:noVBand="1"/>
      </w:tblPr>
      <w:tblGrid>
        <w:gridCol w:w="1569"/>
        <w:gridCol w:w="1634"/>
        <w:gridCol w:w="1677"/>
        <w:gridCol w:w="1904"/>
        <w:gridCol w:w="1810"/>
        <w:gridCol w:w="1841"/>
      </w:tblGrid>
      <w:tr w:rsidR="001F1AF5" w14:paraId="50B6A176" w14:textId="77777777" w:rsidTr="001F1AF5">
        <w:tc>
          <w:tcPr>
            <w:tcW w:w="1569" w:type="dxa"/>
          </w:tcPr>
          <w:p w14:paraId="37FD17BB" w14:textId="77777777" w:rsidR="001F1AF5" w:rsidRDefault="001F1AF5" w:rsidP="001F1AF5">
            <w:pPr>
              <w:spacing w:before="240" w:after="240"/>
              <w:ind w:right="600"/>
              <w:rPr>
                <w:rFonts w:ascii="Times New Roman" w:eastAsia="Times New Roman" w:hAnsi="Times New Roman" w:cs="Times New Roman"/>
                <w:sz w:val="24"/>
                <w:szCs w:val="24"/>
              </w:rPr>
            </w:pPr>
          </w:p>
        </w:tc>
        <w:tc>
          <w:tcPr>
            <w:tcW w:w="1634" w:type="dxa"/>
          </w:tcPr>
          <w:p w14:paraId="03842F9D" w14:textId="77777777" w:rsidR="001F1AF5" w:rsidRDefault="001F1AF5" w:rsidP="001F1AF5">
            <w:pPr>
              <w:spacing w:before="240" w:after="240"/>
              <w:ind w:right="600"/>
              <w:rPr>
                <w:rFonts w:ascii="Times New Roman" w:eastAsia="Times New Roman" w:hAnsi="Times New Roman" w:cs="Times New Roman"/>
                <w:sz w:val="24"/>
                <w:szCs w:val="24"/>
              </w:rPr>
            </w:pPr>
          </w:p>
        </w:tc>
        <w:tc>
          <w:tcPr>
            <w:tcW w:w="1677" w:type="dxa"/>
          </w:tcPr>
          <w:p w14:paraId="012342E0" w14:textId="77777777" w:rsidR="001F1AF5" w:rsidRDefault="001F1AF5" w:rsidP="001F1AF5">
            <w:pPr>
              <w:spacing w:before="240" w:after="240"/>
              <w:ind w:right="600"/>
              <w:rPr>
                <w:rFonts w:ascii="Times New Roman" w:eastAsia="Times New Roman" w:hAnsi="Times New Roman" w:cs="Times New Roman"/>
                <w:sz w:val="24"/>
                <w:szCs w:val="24"/>
              </w:rPr>
            </w:pPr>
          </w:p>
        </w:tc>
        <w:tc>
          <w:tcPr>
            <w:tcW w:w="1904" w:type="dxa"/>
          </w:tcPr>
          <w:p w14:paraId="40C93EA0" w14:textId="77777777" w:rsidR="001F1AF5" w:rsidRDefault="001F1AF5" w:rsidP="001F1AF5">
            <w:pPr>
              <w:spacing w:before="240" w:after="240"/>
              <w:ind w:right="600"/>
              <w:rPr>
                <w:rFonts w:ascii="Times New Roman" w:eastAsia="Times New Roman" w:hAnsi="Times New Roman" w:cs="Times New Roman"/>
                <w:sz w:val="24"/>
                <w:szCs w:val="24"/>
              </w:rPr>
            </w:pPr>
          </w:p>
        </w:tc>
        <w:tc>
          <w:tcPr>
            <w:tcW w:w="1810" w:type="dxa"/>
          </w:tcPr>
          <w:p w14:paraId="03746343" w14:textId="77777777" w:rsidR="001F1AF5" w:rsidRDefault="001F1AF5" w:rsidP="001F1AF5">
            <w:pPr>
              <w:spacing w:before="240" w:after="240"/>
              <w:ind w:right="600"/>
              <w:rPr>
                <w:rFonts w:ascii="Times New Roman" w:eastAsia="Times New Roman" w:hAnsi="Times New Roman" w:cs="Times New Roman"/>
                <w:sz w:val="24"/>
                <w:szCs w:val="24"/>
              </w:rPr>
            </w:pPr>
          </w:p>
        </w:tc>
        <w:tc>
          <w:tcPr>
            <w:tcW w:w="1841" w:type="dxa"/>
          </w:tcPr>
          <w:p w14:paraId="2310A5D5" w14:textId="77777777" w:rsidR="001F1AF5" w:rsidRDefault="001F1AF5" w:rsidP="001F1AF5">
            <w:pPr>
              <w:spacing w:before="240" w:after="240"/>
              <w:ind w:right="600"/>
              <w:rPr>
                <w:rFonts w:ascii="Times New Roman" w:eastAsia="Times New Roman" w:hAnsi="Times New Roman" w:cs="Times New Roman"/>
                <w:sz w:val="24"/>
                <w:szCs w:val="24"/>
              </w:rPr>
            </w:pPr>
          </w:p>
        </w:tc>
      </w:tr>
    </w:tbl>
    <w:p w14:paraId="2E35BC65" w14:textId="77777777" w:rsidR="00930689" w:rsidRPr="007D2BB9" w:rsidRDefault="005754C2" w:rsidP="005379D3">
      <w:pPr>
        <w:spacing w:before="240" w:after="240"/>
        <w:ind w:right="600"/>
        <w:rPr>
          <w:rFonts w:ascii="Times New Roman" w:eastAsia="Times New Roman" w:hAnsi="Times New Roman" w:cs="Times New Roman"/>
          <w:b/>
          <w:sz w:val="24"/>
          <w:szCs w:val="24"/>
        </w:rPr>
      </w:pPr>
      <w:r w:rsidRPr="007D2BB9">
        <w:rPr>
          <w:rFonts w:ascii="Times New Roman" w:eastAsia="Times New Roman" w:hAnsi="Times New Roman" w:cs="Times New Roman"/>
          <w:sz w:val="24"/>
          <w:szCs w:val="24"/>
        </w:rPr>
        <w:t>*Tree Equivalent: Estimated number of trees required to sequester the CO</w:t>
      </w:r>
      <w:r w:rsidR="00C06728">
        <w:rPr>
          <w:rFonts w:ascii="Times New Roman" w:eastAsia="Times New Roman" w:hAnsi="Times New Roman" w:cs="Times New Roman"/>
          <w:sz w:val="24"/>
          <w:szCs w:val="24"/>
        </w:rPr>
        <w:t>2</w:t>
      </w:r>
      <w:r w:rsidRPr="007D2BB9">
        <w:rPr>
          <w:rFonts w:ascii="Times New Roman" w:eastAsia="Times New Roman" w:hAnsi="Times New Roman" w:cs="Times New Roman"/>
          <w:sz w:val="24"/>
          <w:szCs w:val="24"/>
        </w:rPr>
        <w:t>e emissions from one unit over X years.</w:t>
      </w:r>
    </w:p>
    <w:p w14:paraId="5E893A11" w14:textId="77777777" w:rsidR="00930689" w:rsidRPr="007D2BB9" w:rsidRDefault="005754C2">
      <w:pPr>
        <w:pStyle w:val="Heading3"/>
        <w:keepNext w:val="0"/>
        <w:keepLines w:val="0"/>
        <w:spacing w:before="280"/>
        <w:rPr>
          <w:rFonts w:ascii="Times New Roman" w:eastAsia="Times New Roman" w:hAnsi="Times New Roman" w:cs="Times New Roman"/>
          <w:b/>
          <w:color w:val="000000"/>
          <w:sz w:val="24"/>
          <w:szCs w:val="24"/>
        </w:rPr>
      </w:pPr>
      <w:bookmarkStart w:id="3" w:name="_ur9r28dnz0ok" w:colFirst="0" w:colLast="0"/>
      <w:bookmarkEnd w:id="3"/>
      <w:r w:rsidRPr="007D2BB9">
        <w:rPr>
          <w:rFonts w:ascii="Times New Roman" w:eastAsia="Times New Roman" w:hAnsi="Times New Roman" w:cs="Times New Roman"/>
          <w:b/>
          <w:color w:val="000000"/>
          <w:sz w:val="24"/>
          <w:szCs w:val="24"/>
        </w:rPr>
        <w:t>Conclusion: Sustainability That Goes Beyond the Numbers</w:t>
      </w:r>
    </w:p>
    <w:p w14:paraId="5185940A"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lastRenderedPageBreak/>
        <w:t>Not every improvement appears in a CO</w:t>
      </w:r>
      <w:r w:rsidR="00C06728">
        <w:rPr>
          <w:rFonts w:ascii="Times New Roman" w:eastAsia="Times New Roman" w:hAnsi="Times New Roman" w:cs="Times New Roman"/>
          <w:sz w:val="24"/>
          <w:szCs w:val="24"/>
        </w:rPr>
        <w:t>2</w:t>
      </w:r>
      <w:r w:rsidRPr="007D2BB9">
        <w:rPr>
          <w:rFonts w:ascii="Times New Roman" w:eastAsia="Times New Roman" w:hAnsi="Times New Roman" w:cs="Times New Roman"/>
          <w:sz w:val="24"/>
          <w:szCs w:val="24"/>
        </w:rPr>
        <w:t>e score, but that doesn’t make it less important.</w:t>
      </w:r>
    </w:p>
    <w:p w14:paraId="0C8D12C3"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This comparison doesn’t point to a single perfect material, and that’s the point. Each option presents distinct strengths and trade-offs. The real opportunity lies in combining these insights to shape a smarter, more sustainable design.</w:t>
      </w:r>
    </w:p>
    <w:p w14:paraId="1B156F20"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 xml:space="preserve">The final </w:t>
      </w:r>
      <w:r w:rsidR="00F4089E" w:rsidRPr="007D2BB9">
        <w:rPr>
          <w:rFonts w:ascii="Times New Roman" w:eastAsia="Times New Roman" w:hAnsi="Times New Roman" w:cs="Times New Roman"/>
          <w:sz w:val="24"/>
          <w:szCs w:val="24"/>
        </w:rPr>
        <w:t xml:space="preserve">design </w:t>
      </w:r>
      <w:r w:rsidRPr="007D2BB9">
        <w:rPr>
          <w:rFonts w:ascii="Times New Roman" w:eastAsia="Times New Roman" w:hAnsi="Times New Roman" w:cs="Times New Roman"/>
          <w:sz w:val="24"/>
          <w:szCs w:val="24"/>
        </w:rPr>
        <w:t>will likely use a mix of materials, balancing functionality, durability, and environmental impact. This analysis provides the foundation for that design process.</w:t>
      </w:r>
    </w:p>
    <w:p w14:paraId="2054DF84" w14:textId="77777777" w:rsidR="00930689" w:rsidRPr="007D2BB9" w:rsidRDefault="005754C2">
      <w:pPr>
        <w:spacing w:before="240" w:after="240"/>
        <w:rPr>
          <w:rFonts w:ascii="Times New Roman" w:eastAsia="Times New Roman" w:hAnsi="Times New Roman" w:cs="Times New Roman"/>
          <w:sz w:val="24"/>
          <w:szCs w:val="24"/>
        </w:rPr>
      </w:pPr>
      <w:r w:rsidRPr="007D2BB9">
        <w:rPr>
          <w:rFonts w:ascii="Times New Roman" w:eastAsia="Times New Roman" w:hAnsi="Times New Roman" w:cs="Times New Roman"/>
          <w:sz w:val="24"/>
          <w:szCs w:val="24"/>
        </w:rPr>
        <w:t>Ultimately, the goal isn’t just to reduce numbers, but to pursue meaningful sustainability: selecting materials that perform well both environmentally and practically over time. These are not just optimizations for today, but decisions made with long-term responsibility in mind.</w:t>
      </w:r>
    </w:p>
    <w:p w14:paraId="730F89F7" w14:textId="77777777" w:rsidR="00930689" w:rsidRPr="007D2BB9" w:rsidRDefault="00930689">
      <w:pPr>
        <w:rPr>
          <w:rFonts w:ascii="Times New Roman" w:eastAsia="Times New Roman" w:hAnsi="Times New Roman" w:cs="Times New Roman"/>
          <w:b/>
          <w:sz w:val="24"/>
          <w:szCs w:val="24"/>
        </w:rPr>
      </w:pPr>
    </w:p>
    <w:p w14:paraId="362CBFB8" w14:textId="77777777" w:rsidR="005C1176" w:rsidRDefault="00000000">
      <w:pPr>
        <w:pStyle w:val="Heading1"/>
      </w:pPr>
      <w:r>
        <w:t>Key Metrics</w:t>
      </w:r>
    </w:p>
    <w:p w14:paraId="6DC3BA67" w14:textId="6C7EA8F1" w:rsidR="005C1176" w:rsidRDefault="00000000">
      <w:r>
        <w:rPr>
          <w:b/>
          <w:i/>
          <w:sz w:val="24"/>
        </w:rPr>
        <w:t xml:space="preserve">Lifetime: </w:t>
      </w:r>
      <w:r w:rsidR="001F1AF5">
        <w:rPr>
          <w:b/>
          <w:i/>
          <w:sz w:val="24"/>
        </w:rPr>
        <w:t>{</w:t>
      </w:r>
      <w:r>
        <w:rPr>
          <w:b/>
          <w:i/>
          <w:sz w:val="24"/>
        </w:rPr>
        <w:t>{LIFETIME_YEARS}</w:t>
      </w:r>
      <w:r w:rsidR="001F1AF5">
        <w:rPr>
          <w:b/>
          <w:i/>
          <w:sz w:val="24"/>
        </w:rPr>
        <w:t>}</w:t>
      </w:r>
      <w:r>
        <w:rPr>
          <w:b/>
          <w:i/>
          <w:sz w:val="24"/>
        </w:rPr>
        <w:t xml:space="preserve"> years (</w:t>
      </w:r>
      <w:r w:rsidR="001F1AF5">
        <w:rPr>
          <w:b/>
          <w:i/>
          <w:sz w:val="24"/>
        </w:rPr>
        <w:t>{</w:t>
      </w:r>
      <w:r>
        <w:rPr>
          <w:b/>
          <w:i/>
          <w:sz w:val="24"/>
        </w:rPr>
        <w:t>{LIFETIME_WEEKS}</w:t>
      </w:r>
      <w:r w:rsidR="001F1AF5">
        <w:rPr>
          <w:b/>
          <w:i/>
          <w:sz w:val="24"/>
        </w:rPr>
        <w:t>}</w:t>
      </w:r>
      <w:r>
        <w:rPr>
          <w:b/>
          <w:i/>
          <w:sz w:val="24"/>
        </w:rPr>
        <w:t xml:space="preserve"> weeks)</w:t>
      </w:r>
    </w:p>
    <w:p w14:paraId="08D2E2FA" w14:textId="60030A02" w:rsidR="005C1176" w:rsidRDefault="00000000">
      <w:r>
        <w:rPr>
          <w:b/>
          <w:i/>
          <w:sz w:val="24"/>
        </w:rPr>
        <w:t xml:space="preserve">Total CO₂e: </w:t>
      </w:r>
      <w:r w:rsidR="001F1AF5">
        <w:rPr>
          <w:b/>
          <w:i/>
          <w:sz w:val="24"/>
        </w:rPr>
        <w:t>{</w:t>
      </w:r>
      <w:r>
        <w:rPr>
          <w:b/>
          <w:i/>
          <w:sz w:val="24"/>
        </w:rPr>
        <w:t>{TOTAL_CO2}</w:t>
      </w:r>
      <w:r w:rsidR="001F1AF5">
        <w:rPr>
          <w:b/>
          <w:i/>
          <w:sz w:val="24"/>
        </w:rPr>
        <w:t>}</w:t>
      </w:r>
      <w:r>
        <w:rPr>
          <w:b/>
          <w:i/>
          <w:sz w:val="24"/>
        </w:rPr>
        <w:t xml:space="preserve"> kg</w:t>
      </w:r>
    </w:p>
    <w:p w14:paraId="1D5A577B" w14:textId="7C20D403" w:rsidR="005C1176" w:rsidRDefault="00000000">
      <w:r>
        <w:rPr>
          <w:b/>
          <w:i/>
          <w:sz w:val="24"/>
        </w:rPr>
        <w:t xml:space="preserve">Weighted recycled content: </w:t>
      </w:r>
      <w:r w:rsidR="001F1AF5">
        <w:rPr>
          <w:b/>
          <w:i/>
          <w:sz w:val="24"/>
        </w:rPr>
        <w:t>{</w:t>
      </w:r>
      <w:r>
        <w:rPr>
          <w:b/>
          <w:i/>
          <w:sz w:val="24"/>
        </w:rPr>
        <w:t>{WEIGHTED_RECYCLED}</w:t>
      </w:r>
      <w:r w:rsidR="001F1AF5">
        <w:rPr>
          <w:b/>
          <w:i/>
          <w:sz w:val="24"/>
        </w:rPr>
        <w:t>}</w:t>
      </w:r>
    </w:p>
    <w:p w14:paraId="2DDAC82D" w14:textId="44F8DFBE" w:rsidR="005C1176" w:rsidRDefault="00000000">
      <w:r>
        <w:rPr>
          <w:b/>
          <w:i/>
          <w:sz w:val="24"/>
        </w:rPr>
        <w:t xml:space="preserve">Trees/year: </w:t>
      </w:r>
      <w:r w:rsidR="001F1AF5">
        <w:rPr>
          <w:b/>
          <w:i/>
          <w:sz w:val="24"/>
        </w:rPr>
        <w:t>{</w:t>
      </w:r>
      <w:r>
        <w:rPr>
          <w:b/>
          <w:i/>
          <w:sz w:val="24"/>
        </w:rPr>
        <w:t>{TREES_YEAR}</w:t>
      </w:r>
      <w:r w:rsidR="001F1AF5">
        <w:rPr>
          <w:b/>
          <w:i/>
          <w:sz w:val="24"/>
        </w:rPr>
        <w:t>}</w:t>
      </w:r>
      <w:r>
        <w:rPr>
          <w:b/>
          <w:i/>
          <w:sz w:val="24"/>
        </w:rPr>
        <w:t xml:space="preserve"> · Total trees: </w:t>
      </w:r>
      <w:r w:rsidR="001F1AF5">
        <w:rPr>
          <w:b/>
          <w:i/>
          <w:sz w:val="24"/>
        </w:rPr>
        <w:t>{</w:t>
      </w:r>
      <w:r>
        <w:rPr>
          <w:b/>
          <w:i/>
          <w:sz w:val="24"/>
        </w:rPr>
        <w:t>{TREES_TOTAL}</w:t>
      </w:r>
      <w:r w:rsidR="001F1AF5">
        <w:rPr>
          <w:b/>
          <w:i/>
          <w:sz w:val="24"/>
        </w:rPr>
        <w:t>}</w:t>
      </w:r>
    </w:p>
    <w:p w14:paraId="3D3E2C8E" w14:textId="77777777" w:rsidR="005C1176" w:rsidRDefault="00000000">
      <w:pPr>
        <w:pStyle w:val="Heading1"/>
      </w:pPr>
      <w:r>
        <w:t>Executive Notes</w:t>
      </w:r>
    </w:p>
    <w:p w14:paraId="154024FF" w14:textId="62B41672" w:rsidR="005C1176" w:rsidRDefault="001F1AF5">
      <w:r>
        <w:rPr>
          <w:b/>
          <w:i/>
          <w:sz w:val="24"/>
        </w:rPr>
        <w:t>{</w:t>
      </w:r>
      <w:r w:rsidR="00000000">
        <w:rPr>
          <w:b/>
          <w:i/>
          <w:sz w:val="24"/>
        </w:rPr>
        <w:t>{EXEC_NOTES}</w:t>
      </w:r>
      <w:r>
        <w:rPr>
          <w:b/>
          <w:i/>
          <w:sz w:val="24"/>
        </w:rPr>
        <w:t>}</w:t>
      </w:r>
    </w:p>
    <w:sectPr w:rsidR="005C1176">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8A5D0" w14:textId="77777777" w:rsidR="00E7514C" w:rsidRDefault="00E7514C">
      <w:pPr>
        <w:spacing w:line="240" w:lineRule="auto"/>
      </w:pPr>
      <w:r>
        <w:separator/>
      </w:r>
    </w:p>
  </w:endnote>
  <w:endnote w:type="continuationSeparator" w:id="0">
    <w:p w14:paraId="4E1F9E1C" w14:textId="77777777" w:rsidR="00E7514C" w:rsidRDefault="00E75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9FBB3" w14:textId="77777777" w:rsidR="005C1176" w:rsidRDefault="00000000">
    <w:pPr>
      <w:jc w:val="center"/>
    </w:pPr>
    <w:r>
      <w:fldChar w:fldCharType="begin"/>
    </w:r>
    <w:r>
      <w:instrText>PAGE</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E57785" w14:textId="77777777" w:rsidR="00E7514C" w:rsidRDefault="00E7514C">
      <w:pPr>
        <w:spacing w:line="240" w:lineRule="auto"/>
      </w:pPr>
      <w:r>
        <w:separator/>
      </w:r>
    </w:p>
  </w:footnote>
  <w:footnote w:type="continuationSeparator" w:id="0">
    <w:p w14:paraId="7A13A7DD" w14:textId="77777777" w:rsidR="00E7514C" w:rsidRDefault="00E751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E4025" w14:textId="77777777" w:rsidR="005C1176" w:rsidRDefault="00000000">
    <w:r>
      <w:rPr>
        <w:noProof/>
      </w:rPr>
      <w:drawing>
        <wp:inline distT="0" distB="0" distL="0" distR="0" wp14:anchorId="6629770B" wp14:editId="5FC8CA6B">
          <wp:extent cx="1371600" cy="1371600"/>
          <wp:effectExtent l="0" t="0" r="0" b="0"/>
          <wp:docPr id="1518998502" name="Picture 1518998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
                  <a:stretch>
                    <a:fillRect/>
                  </a:stretch>
                </pic:blipFill>
                <pic:spPr>
                  <a:xfrm>
                    <a:off x="0" y="0"/>
                    <a:ext cx="1371600" cy="1371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A3951"/>
    <w:multiLevelType w:val="multilevel"/>
    <w:tmpl w:val="4D82E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F24CBE"/>
    <w:multiLevelType w:val="multilevel"/>
    <w:tmpl w:val="B120A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90734837">
    <w:abstractNumId w:val="0"/>
  </w:num>
  <w:num w:numId="2" w16cid:durableId="1335960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AF5"/>
    <w:rsid w:val="00031386"/>
    <w:rsid w:val="000378F8"/>
    <w:rsid w:val="00125F60"/>
    <w:rsid w:val="0019075F"/>
    <w:rsid w:val="001F1AF5"/>
    <w:rsid w:val="00246CBB"/>
    <w:rsid w:val="00280205"/>
    <w:rsid w:val="002D1649"/>
    <w:rsid w:val="00384570"/>
    <w:rsid w:val="00486732"/>
    <w:rsid w:val="0051530C"/>
    <w:rsid w:val="00531735"/>
    <w:rsid w:val="005379D3"/>
    <w:rsid w:val="005456B2"/>
    <w:rsid w:val="005754C2"/>
    <w:rsid w:val="005B3C59"/>
    <w:rsid w:val="005B6C9E"/>
    <w:rsid w:val="005C1176"/>
    <w:rsid w:val="005C6DFE"/>
    <w:rsid w:val="005E7CEA"/>
    <w:rsid w:val="00606EBE"/>
    <w:rsid w:val="006A339C"/>
    <w:rsid w:val="007A3442"/>
    <w:rsid w:val="007D2BB9"/>
    <w:rsid w:val="007D63D5"/>
    <w:rsid w:val="007E618B"/>
    <w:rsid w:val="0082118B"/>
    <w:rsid w:val="008417A3"/>
    <w:rsid w:val="00844235"/>
    <w:rsid w:val="008B0F22"/>
    <w:rsid w:val="00930689"/>
    <w:rsid w:val="0096488A"/>
    <w:rsid w:val="00A00ADE"/>
    <w:rsid w:val="00A16429"/>
    <w:rsid w:val="00B37223"/>
    <w:rsid w:val="00BE0DB8"/>
    <w:rsid w:val="00C06728"/>
    <w:rsid w:val="00C44579"/>
    <w:rsid w:val="00CA4C78"/>
    <w:rsid w:val="00CE28B5"/>
    <w:rsid w:val="00D232AA"/>
    <w:rsid w:val="00D84D8E"/>
    <w:rsid w:val="00E17891"/>
    <w:rsid w:val="00E7514C"/>
    <w:rsid w:val="00E752CB"/>
    <w:rsid w:val="00E94904"/>
    <w:rsid w:val="00EE35B6"/>
    <w:rsid w:val="00F27035"/>
    <w:rsid w:val="00F4089E"/>
    <w:rsid w:val="00FA0192"/>
    <w:rsid w:val="00FF626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3F4627"/>
  <w15:docId w15:val="{30F2BCDB-B808-47C5-9FC0-3AAB1204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DF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7D2BB9"/>
    <w:rPr>
      <w:i/>
      <w:iCs/>
    </w:rPr>
  </w:style>
  <w:style w:type="paragraph" w:styleId="NormalWeb">
    <w:name w:val="Normal (Web)"/>
    <w:basedOn w:val="Normal"/>
    <w:uiPriority w:val="99"/>
    <w:unhideWhenUsed/>
    <w:rsid w:val="007D2BB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1F1A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F1AF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ghtList">
    <w:name w:val="Light List"/>
    <w:basedOn w:val="TableNormal"/>
    <w:uiPriority w:val="61"/>
    <w:rsid w:val="00F27035"/>
    <w:pPr>
      <w:spacing w:line="240" w:lineRule="auto"/>
    </w:pPr>
    <w:rPr>
      <w:rFonts w:asciiTheme="minorHAnsi" w:eastAsiaTheme="minorEastAsia" w:hAnsiTheme="minorHAnsi" w:cstheme="minorBid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FF6265"/>
    <w:pPr>
      <w:tabs>
        <w:tab w:val="center" w:pos="4680"/>
        <w:tab w:val="right" w:pos="9360"/>
      </w:tabs>
      <w:spacing w:line="240" w:lineRule="auto"/>
    </w:pPr>
  </w:style>
  <w:style w:type="character" w:customStyle="1" w:styleId="HeaderChar">
    <w:name w:val="Header Char"/>
    <w:basedOn w:val="DefaultParagraphFont"/>
    <w:link w:val="Header"/>
    <w:uiPriority w:val="99"/>
    <w:rsid w:val="00FF6265"/>
  </w:style>
  <w:style w:type="paragraph" w:styleId="Footer">
    <w:name w:val="footer"/>
    <w:basedOn w:val="Normal"/>
    <w:link w:val="FooterChar"/>
    <w:uiPriority w:val="99"/>
    <w:unhideWhenUsed/>
    <w:rsid w:val="00FF6265"/>
    <w:pPr>
      <w:tabs>
        <w:tab w:val="center" w:pos="4680"/>
        <w:tab w:val="right" w:pos="9360"/>
      </w:tabs>
      <w:spacing w:line="240" w:lineRule="auto"/>
    </w:pPr>
  </w:style>
  <w:style w:type="character" w:customStyle="1" w:styleId="FooterChar">
    <w:name w:val="Footer Char"/>
    <w:basedOn w:val="DefaultParagraphFont"/>
    <w:link w:val="Footer"/>
    <w:uiPriority w:val="99"/>
    <w:rsid w:val="00FF6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572335">
      <w:bodyDiv w:val="1"/>
      <w:marLeft w:val="0"/>
      <w:marRight w:val="0"/>
      <w:marTop w:val="0"/>
      <w:marBottom w:val="0"/>
      <w:divBdr>
        <w:top w:val="none" w:sz="0" w:space="0" w:color="auto"/>
        <w:left w:val="none" w:sz="0" w:space="0" w:color="auto"/>
        <w:bottom w:val="none" w:sz="0" w:space="0" w:color="auto"/>
        <w:right w:val="none" w:sz="0" w:space="0" w:color="auto"/>
      </w:divBdr>
      <w:divsChild>
        <w:div w:id="248583389">
          <w:marLeft w:val="0"/>
          <w:marRight w:val="0"/>
          <w:marTop w:val="0"/>
          <w:marBottom w:val="0"/>
          <w:divBdr>
            <w:top w:val="none" w:sz="0" w:space="0" w:color="auto"/>
            <w:left w:val="none" w:sz="0" w:space="0" w:color="auto"/>
            <w:bottom w:val="none" w:sz="0" w:space="0" w:color="auto"/>
            <w:right w:val="none" w:sz="0" w:space="0" w:color="auto"/>
          </w:divBdr>
        </w:div>
        <w:div w:id="2002074425">
          <w:marLeft w:val="0"/>
          <w:marRight w:val="0"/>
          <w:marTop w:val="0"/>
          <w:marBottom w:val="0"/>
          <w:divBdr>
            <w:top w:val="none" w:sz="0" w:space="0" w:color="auto"/>
            <w:left w:val="none" w:sz="0" w:space="0" w:color="auto"/>
            <w:bottom w:val="none" w:sz="0" w:space="0" w:color="auto"/>
            <w:right w:val="none" w:sz="0" w:space="0" w:color="auto"/>
          </w:divBdr>
        </w:div>
      </w:divsChild>
    </w:div>
    <w:div w:id="587034934">
      <w:bodyDiv w:val="1"/>
      <w:marLeft w:val="0"/>
      <w:marRight w:val="0"/>
      <w:marTop w:val="0"/>
      <w:marBottom w:val="0"/>
      <w:divBdr>
        <w:top w:val="none" w:sz="0" w:space="0" w:color="auto"/>
        <w:left w:val="none" w:sz="0" w:space="0" w:color="auto"/>
        <w:bottom w:val="none" w:sz="0" w:space="0" w:color="auto"/>
        <w:right w:val="none" w:sz="0" w:space="0" w:color="auto"/>
      </w:divBdr>
    </w:div>
    <w:div w:id="620111818">
      <w:bodyDiv w:val="1"/>
      <w:marLeft w:val="0"/>
      <w:marRight w:val="0"/>
      <w:marTop w:val="0"/>
      <w:marBottom w:val="0"/>
      <w:divBdr>
        <w:top w:val="none" w:sz="0" w:space="0" w:color="auto"/>
        <w:left w:val="none" w:sz="0" w:space="0" w:color="auto"/>
        <w:bottom w:val="none" w:sz="0" w:space="0" w:color="auto"/>
        <w:right w:val="none" w:sz="0" w:space="0" w:color="auto"/>
      </w:divBdr>
      <w:divsChild>
        <w:div w:id="553736482">
          <w:marLeft w:val="0"/>
          <w:marRight w:val="0"/>
          <w:marTop w:val="0"/>
          <w:marBottom w:val="0"/>
          <w:divBdr>
            <w:top w:val="none" w:sz="0" w:space="0" w:color="auto"/>
            <w:left w:val="none" w:sz="0" w:space="0" w:color="auto"/>
            <w:bottom w:val="none" w:sz="0" w:space="0" w:color="auto"/>
            <w:right w:val="none" w:sz="0" w:space="0" w:color="auto"/>
          </w:divBdr>
        </w:div>
        <w:div w:id="582567441">
          <w:marLeft w:val="0"/>
          <w:marRight w:val="0"/>
          <w:marTop w:val="0"/>
          <w:marBottom w:val="0"/>
          <w:divBdr>
            <w:top w:val="none" w:sz="0" w:space="0" w:color="auto"/>
            <w:left w:val="none" w:sz="0" w:space="0" w:color="auto"/>
            <w:bottom w:val="none" w:sz="0" w:space="0" w:color="auto"/>
            <w:right w:val="none" w:sz="0" w:space="0" w:color="auto"/>
          </w:divBdr>
        </w:div>
      </w:divsChild>
    </w:div>
    <w:div w:id="653484644">
      <w:bodyDiv w:val="1"/>
      <w:marLeft w:val="0"/>
      <w:marRight w:val="0"/>
      <w:marTop w:val="0"/>
      <w:marBottom w:val="0"/>
      <w:divBdr>
        <w:top w:val="none" w:sz="0" w:space="0" w:color="auto"/>
        <w:left w:val="none" w:sz="0" w:space="0" w:color="auto"/>
        <w:bottom w:val="none" w:sz="0" w:space="0" w:color="auto"/>
        <w:right w:val="none" w:sz="0" w:space="0" w:color="auto"/>
      </w:divBdr>
      <w:divsChild>
        <w:div w:id="1339961349">
          <w:marLeft w:val="0"/>
          <w:marRight w:val="0"/>
          <w:marTop w:val="0"/>
          <w:marBottom w:val="0"/>
          <w:divBdr>
            <w:top w:val="none" w:sz="0" w:space="0" w:color="auto"/>
            <w:left w:val="none" w:sz="0" w:space="0" w:color="auto"/>
            <w:bottom w:val="none" w:sz="0" w:space="0" w:color="auto"/>
            <w:right w:val="none" w:sz="0" w:space="0" w:color="auto"/>
          </w:divBdr>
        </w:div>
        <w:div w:id="1195776830">
          <w:marLeft w:val="0"/>
          <w:marRight w:val="0"/>
          <w:marTop w:val="0"/>
          <w:marBottom w:val="0"/>
          <w:divBdr>
            <w:top w:val="none" w:sz="0" w:space="0" w:color="auto"/>
            <w:left w:val="none" w:sz="0" w:space="0" w:color="auto"/>
            <w:bottom w:val="none" w:sz="0" w:space="0" w:color="auto"/>
            <w:right w:val="none" w:sz="0" w:space="0" w:color="auto"/>
          </w:divBdr>
        </w:div>
      </w:divsChild>
    </w:div>
    <w:div w:id="755974803">
      <w:bodyDiv w:val="1"/>
      <w:marLeft w:val="0"/>
      <w:marRight w:val="0"/>
      <w:marTop w:val="0"/>
      <w:marBottom w:val="0"/>
      <w:divBdr>
        <w:top w:val="none" w:sz="0" w:space="0" w:color="auto"/>
        <w:left w:val="none" w:sz="0" w:space="0" w:color="auto"/>
        <w:bottom w:val="none" w:sz="0" w:space="0" w:color="auto"/>
        <w:right w:val="none" w:sz="0" w:space="0" w:color="auto"/>
      </w:divBdr>
      <w:divsChild>
        <w:div w:id="2055497406">
          <w:marLeft w:val="0"/>
          <w:marRight w:val="0"/>
          <w:marTop w:val="0"/>
          <w:marBottom w:val="0"/>
          <w:divBdr>
            <w:top w:val="none" w:sz="0" w:space="0" w:color="auto"/>
            <w:left w:val="none" w:sz="0" w:space="0" w:color="auto"/>
            <w:bottom w:val="none" w:sz="0" w:space="0" w:color="auto"/>
            <w:right w:val="none" w:sz="0" w:space="0" w:color="auto"/>
          </w:divBdr>
        </w:div>
        <w:div w:id="503933810">
          <w:marLeft w:val="0"/>
          <w:marRight w:val="0"/>
          <w:marTop w:val="0"/>
          <w:marBottom w:val="0"/>
          <w:divBdr>
            <w:top w:val="none" w:sz="0" w:space="0" w:color="auto"/>
            <w:left w:val="none" w:sz="0" w:space="0" w:color="auto"/>
            <w:bottom w:val="none" w:sz="0" w:space="0" w:color="auto"/>
            <w:right w:val="none" w:sz="0" w:space="0" w:color="auto"/>
          </w:divBdr>
        </w:div>
      </w:divsChild>
    </w:div>
    <w:div w:id="770394324">
      <w:bodyDiv w:val="1"/>
      <w:marLeft w:val="0"/>
      <w:marRight w:val="0"/>
      <w:marTop w:val="0"/>
      <w:marBottom w:val="0"/>
      <w:divBdr>
        <w:top w:val="none" w:sz="0" w:space="0" w:color="auto"/>
        <w:left w:val="none" w:sz="0" w:space="0" w:color="auto"/>
        <w:bottom w:val="none" w:sz="0" w:space="0" w:color="auto"/>
        <w:right w:val="none" w:sz="0" w:space="0" w:color="auto"/>
      </w:divBdr>
      <w:divsChild>
        <w:div w:id="456797135">
          <w:marLeft w:val="0"/>
          <w:marRight w:val="0"/>
          <w:marTop w:val="0"/>
          <w:marBottom w:val="0"/>
          <w:divBdr>
            <w:top w:val="none" w:sz="0" w:space="0" w:color="auto"/>
            <w:left w:val="none" w:sz="0" w:space="0" w:color="auto"/>
            <w:bottom w:val="none" w:sz="0" w:space="0" w:color="auto"/>
            <w:right w:val="none" w:sz="0" w:space="0" w:color="auto"/>
          </w:divBdr>
        </w:div>
        <w:div w:id="1127044647">
          <w:marLeft w:val="0"/>
          <w:marRight w:val="0"/>
          <w:marTop w:val="0"/>
          <w:marBottom w:val="0"/>
          <w:divBdr>
            <w:top w:val="none" w:sz="0" w:space="0" w:color="auto"/>
            <w:left w:val="none" w:sz="0" w:space="0" w:color="auto"/>
            <w:bottom w:val="none" w:sz="0" w:space="0" w:color="auto"/>
            <w:right w:val="none" w:sz="0" w:space="0" w:color="auto"/>
          </w:divBdr>
        </w:div>
      </w:divsChild>
    </w:div>
    <w:div w:id="806707515">
      <w:bodyDiv w:val="1"/>
      <w:marLeft w:val="0"/>
      <w:marRight w:val="0"/>
      <w:marTop w:val="0"/>
      <w:marBottom w:val="0"/>
      <w:divBdr>
        <w:top w:val="none" w:sz="0" w:space="0" w:color="auto"/>
        <w:left w:val="none" w:sz="0" w:space="0" w:color="auto"/>
        <w:bottom w:val="none" w:sz="0" w:space="0" w:color="auto"/>
        <w:right w:val="none" w:sz="0" w:space="0" w:color="auto"/>
      </w:divBdr>
      <w:divsChild>
        <w:div w:id="1882399877">
          <w:marLeft w:val="0"/>
          <w:marRight w:val="0"/>
          <w:marTop w:val="0"/>
          <w:marBottom w:val="0"/>
          <w:divBdr>
            <w:top w:val="none" w:sz="0" w:space="0" w:color="auto"/>
            <w:left w:val="none" w:sz="0" w:space="0" w:color="auto"/>
            <w:bottom w:val="none" w:sz="0" w:space="0" w:color="auto"/>
            <w:right w:val="none" w:sz="0" w:space="0" w:color="auto"/>
          </w:divBdr>
        </w:div>
        <w:div w:id="326908253">
          <w:marLeft w:val="0"/>
          <w:marRight w:val="0"/>
          <w:marTop w:val="0"/>
          <w:marBottom w:val="0"/>
          <w:divBdr>
            <w:top w:val="none" w:sz="0" w:space="0" w:color="auto"/>
            <w:left w:val="none" w:sz="0" w:space="0" w:color="auto"/>
            <w:bottom w:val="none" w:sz="0" w:space="0" w:color="auto"/>
            <w:right w:val="none" w:sz="0" w:space="0" w:color="auto"/>
          </w:divBdr>
        </w:div>
      </w:divsChild>
    </w:div>
    <w:div w:id="850264982">
      <w:bodyDiv w:val="1"/>
      <w:marLeft w:val="0"/>
      <w:marRight w:val="0"/>
      <w:marTop w:val="0"/>
      <w:marBottom w:val="0"/>
      <w:divBdr>
        <w:top w:val="none" w:sz="0" w:space="0" w:color="auto"/>
        <w:left w:val="none" w:sz="0" w:space="0" w:color="auto"/>
        <w:bottom w:val="none" w:sz="0" w:space="0" w:color="auto"/>
        <w:right w:val="none" w:sz="0" w:space="0" w:color="auto"/>
      </w:divBdr>
      <w:divsChild>
        <w:div w:id="1753771788">
          <w:marLeft w:val="0"/>
          <w:marRight w:val="0"/>
          <w:marTop w:val="0"/>
          <w:marBottom w:val="0"/>
          <w:divBdr>
            <w:top w:val="none" w:sz="0" w:space="0" w:color="auto"/>
            <w:left w:val="none" w:sz="0" w:space="0" w:color="auto"/>
            <w:bottom w:val="none" w:sz="0" w:space="0" w:color="auto"/>
            <w:right w:val="none" w:sz="0" w:space="0" w:color="auto"/>
          </w:divBdr>
        </w:div>
        <w:div w:id="1331253315">
          <w:marLeft w:val="0"/>
          <w:marRight w:val="0"/>
          <w:marTop w:val="0"/>
          <w:marBottom w:val="0"/>
          <w:divBdr>
            <w:top w:val="none" w:sz="0" w:space="0" w:color="auto"/>
            <w:left w:val="none" w:sz="0" w:space="0" w:color="auto"/>
            <w:bottom w:val="none" w:sz="0" w:space="0" w:color="auto"/>
            <w:right w:val="none" w:sz="0" w:space="0" w:color="auto"/>
          </w:divBdr>
        </w:div>
      </w:divsChild>
    </w:div>
    <w:div w:id="1663436748">
      <w:bodyDiv w:val="1"/>
      <w:marLeft w:val="0"/>
      <w:marRight w:val="0"/>
      <w:marTop w:val="0"/>
      <w:marBottom w:val="0"/>
      <w:divBdr>
        <w:top w:val="none" w:sz="0" w:space="0" w:color="auto"/>
        <w:left w:val="none" w:sz="0" w:space="0" w:color="auto"/>
        <w:bottom w:val="none" w:sz="0" w:space="0" w:color="auto"/>
        <w:right w:val="none" w:sz="0" w:space="0" w:color="auto"/>
      </w:divBdr>
      <w:divsChild>
        <w:div w:id="1477066822">
          <w:marLeft w:val="0"/>
          <w:marRight w:val="0"/>
          <w:marTop w:val="0"/>
          <w:marBottom w:val="0"/>
          <w:divBdr>
            <w:top w:val="none" w:sz="0" w:space="0" w:color="auto"/>
            <w:left w:val="none" w:sz="0" w:space="0" w:color="auto"/>
            <w:bottom w:val="none" w:sz="0" w:space="0" w:color="auto"/>
            <w:right w:val="none" w:sz="0" w:space="0" w:color="auto"/>
          </w:divBdr>
        </w:div>
        <w:div w:id="1199583918">
          <w:marLeft w:val="0"/>
          <w:marRight w:val="0"/>
          <w:marTop w:val="0"/>
          <w:marBottom w:val="0"/>
          <w:divBdr>
            <w:top w:val="none" w:sz="0" w:space="0" w:color="auto"/>
            <w:left w:val="none" w:sz="0" w:space="0" w:color="auto"/>
            <w:bottom w:val="none" w:sz="0" w:space="0" w:color="auto"/>
            <w:right w:val="none" w:sz="0" w:space="0" w:color="auto"/>
          </w:divBdr>
        </w:div>
      </w:divsChild>
    </w:div>
    <w:div w:id="1952086730">
      <w:bodyDiv w:val="1"/>
      <w:marLeft w:val="0"/>
      <w:marRight w:val="0"/>
      <w:marTop w:val="0"/>
      <w:marBottom w:val="0"/>
      <w:divBdr>
        <w:top w:val="none" w:sz="0" w:space="0" w:color="auto"/>
        <w:left w:val="none" w:sz="0" w:space="0" w:color="auto"/>
        <w:bottom w:val="none" w:sz="0" w:space="0" w:color="auto"/>
        <w:right w:val="none" w:sz="0" w:space="0" w:color="auto"/>
      </w:divBdr>
      <w:divsChild>
        <w:div w:id="946349942">
          <w:marLeft w:val="0"/>
          <w:marRight w:val="0"/>
          <w:marTop w:val="0"/>
          <w:marBottom w:val="0"/>
          <w:divBdr>
            <w:top w:val="none" w:sz="0" w:space="0" w:color="auto"/>
            <w:left w:val="none" w:sz="0" w:space="0" w:color="auto"/>
            <w:bottom w:val="none" w:sz="0" w:space="0" w:color="auto"/>
            <w:right w:val="none" w:sz="0" w:space="0" w:color="auto"/>
          </w:divBdr>
        </w:div>
        <w:div w:id="2110735625">
          <w:marLeft w:val="0"/>
          <w:marRight w:val="0"/>
          <w:marTop w:val="0"/>
          <w:marBottom w:val="0"/>
          <w:divBdr>
            <w:top w:val="none" w:sz="0" w:space="0" w:color="auto"/>
            <w:left w:val="none" w:sz="0" w:space="0" w:color="auto"/>
            <w:bottom w:val="none" w:sz="0" w:space="0" w:color="auto"/>
            <w:right w:val="none" w:sz="0" w:space="0" w:color="auto"/>
          </w:divBdr>
        </w:div>
      </w:divsChild>
    </w:div>
    <w:div w:id="1965651158">
      <w:bodyDiv w:val="1"/>
      <w:marLeft w:val="0"/>
      <w:marRight w:val="0"/>
      <w:marTop w:val="0"/>
      <w:marBottom w:val="0"/>
      <w:divBdr>
        <w:top w:val="none" w:sz="0" w:space="0" w:color="auto"/>
        <w:left w:val="none" w:sz="0" w:space="0" w:color="auto"/>
        <w:bottom w:val="none" w:sz="0" w:space="0" w:color="auto"/>
        <w:right w:val="none" w:sz="0" w:space="0" w:color="auto"/>
      </w:divBdr>
    </w:div>
    <w:div w:id="2087650850">
      <w:bodyDiv w:val="1"/>
      <w:marLeft w:val="0"/>
      <w:marRight w:val="0"/>
      <w:marTop w:val="0"/>
      <w:marBottom w:val="0"/>
      <w:divBdr>
        <w:top w:val="none" w:sz="0" w:space="0" w:color="auto"/>
        <w:left w:val="none" w:sz="0" w:space="0" w:color="auto"/>
        <w:bottom w:val="none" w:sz="0" w:space="0" w:color="auto"/>
        <w:right w:val="none" w:sz="0" w:space="0" w:color="auto"/>
      </w:divBdr>
      <w:divsChild>
        <w:div w:id="738984477">
          <w:marLeft w:val="0"/>
          <w:marRight w:val="0"/>
          <w:marTop w:val="0"/>
          <w:marBottom w:val="0"/>
          <w:divBdr>
            <w:top w:val="none" w:sz="0" w:space="0" w:color="auto"/>
            <w:left w:val="none" w:sz="0" w:space="0" w:color="auto"/>
            <w:bottom w:val="none" w:sz="0" w:space="0" w:color="auto"/>
            <w:right w:val="none" w:sz="0" w:space="0" w:color="auto"/>
          </w:divBdr>
        </w:div>
        <w:div w:id="3484166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Windows\INetCache\IE\IEJUUJG9\report_template_cleaned%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report_template_cleaned[1].dotx</Template>
  <TotalTime>114</TotalTime>
  <Pages>3</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William Chidiac</cp:lastModifiedBy>
  <cp:revision>25</cp:revision>
  <dcterms:created xsi:type="dcterms:W3CDTF">2025-09-18T04:20:00Z</dcterms:created>
  <dcterms:modified xsi:type="dcterms:W3CDTF">2025-09-18T06:15:00Z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b61facc2-495d-4839-8f23-0ff97b189720</vt:lpwstr>
  </property>
</Properties>
</file>