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[MagikStock]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[10/10/2024]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="36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Magikoffee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MagikStock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Jorge Tapia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Jorge Tapia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Catary Rodriguez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Revisión inicial y continua de potenciales riesgos que puedan afectar el proyecto, considerando todas las áreas y fases del mismo.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Cualitativo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Evaluación de probabilidad e impacto de los riesgos identificados, usando una escala previamente definida para clasificar cada riesgo.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Cuantitativo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Para aquellos riesgos críticos, se utilizarán técnicas cuantitativas que permitan proyectar el impacto potencial en términos de costos, tiempo y calidad.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 a los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Definición de estrategias de respuesta para mitigar, transferir, aceptar o evitar cada riesgo, dependiendo de su clasificación.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Seguimiento y Control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Monitoreo continuo de los riesgos a lo largo del proyecto, ajustando las respuestas según sea necesario y reportando regularmente a los interesados.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Documentación y Comunicación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Registro detallado de cada riesgo y sus respuestas en el registro de riesgos, asegurando la comunicación constante con los stakeholders sobre el estado de los riesgos.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Proyecto (Catary Rodriguez)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Responsable de supervisar todo el proceso de gestión de riesgos.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que los riesgos se identifiquen, evalúen y gestionen correctamente.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Facilita las revisiones y la comunicación de riesgos con el cliente y patrocinador.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 la implementación de las respuestas a los riesgos en colaboración con el equipo.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Patrocinador Principal (Jorge Tapia)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Proporciona apoyo y respaldo para las estrategias de respuesta a riesgos.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Evalúa los riesgos críticos y aprueba las decisiones clave para mitigar o aceptar ciertos riesgos.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que se disponga del presupuesto y recursos necesarios para las acciones de mitigación.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Analista de Riesgos (Nicolás Moreno)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Realiza el análisis cualitativo y cuantitativo de los riesgos.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Documenta los riesgos en el registro de riesgos y actualiza la información según el progreso del proyecto.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Colabora con el equipo para desarrollar estrategias de mitigación y contingencia.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Desarrollo (Cristian Núñez y otros miembros del equipo)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Informa al gerente de proyecto sobre cualquier riesgo detectado durante el desarrollo.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Participa en las revisiones de riesgo y contribuye a la planificación de respuestas.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Implementa las acciones necesarias para mitigar riesgos bajo la supervisión del gerente de proyecto.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Stakeholders Clave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Proporcionan retroalimentación sobre la tolerancia y percepción de riesgos.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Participan en revisiones de riesgo y aportan información relevante para ajustar la estrategia de gestión de riesgos.</w:t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 ha asignado un total de 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$71,000 CLP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para la gestión de riesgos en el proyecto MagikStock. Este presupuesto cubrirá las siguientes actividades: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y Análisis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Recursos destinados a las actividades de identificación y análisis de riesgos.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Presupuesto Estimado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$20,000 CLP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Mitigación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Fondos para implementar acciones de mitigación, como ajustes de cronograma o costos adicionales.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Presupuesto Estimado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$30,000 CLP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Reserva de Contingencia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Fondo reservado para abordar riesgos imprevistos.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Presupuesto Estimado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$15,000 CLP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Recursos para el seguimiento y la revisión de riesgos.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Presupuesto Estimado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$6,000 CLP</w:t>
            </w:r>
          </w:p>
          <w:p w:rsidR="00000000" w:rsidDel="00000000" w:rsidP="00000000" w:rsidRDefault="00000000" w:rsidRPr="00000000" w14:paraId="00000065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Total del Presupuesto para la Gestión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$71,000 CLP</w:t>
            </w:r>
          </w:p>
          <w:p w:rsidR="00000000" w:rsidDel="00000000" w:rsidP="00000000" w:rsidRDefault="00000000" w:rsidRPr="00000000" w14:paraId="00000066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Calendario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 semana.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15/08/2024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21/08/2024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Cualitativo y Cuantitativo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2 semanas.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0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22/08/2024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0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04/09/2024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 a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 semana.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05/09/2024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11/09/2024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 Medidas de Mitigación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A lo largo del proyecto según las necesidades.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12/09/2024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31/12/2024 (fecha final del proyecto)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Duración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Continuo durante todo el proyecto.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15/08/2024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31/12/2024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Revisión y Actualización del Registro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4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Mensual o tras cada evento significativo.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4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Primera Revisión Programada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12/09/2024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yk818bhdlb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wr7ethqgg7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el proyecto MagikStock, se han identificado las siguientes categorías de riesgo: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Comercial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relacionados con la aceptación del producto en el mercado, competencia, cambios en las preferencias del cliente y factores que </w:t>
            </w:r>
            <w:r w:rsidDel="00000000" w:rsidR="00000000" w:rsidRPr="00000000">
              <w:rPr>
                <w:rtl w:val="0"/>
              </w:rPr>
              <w:t xml:space="preserve">afectan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la demanda.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Económica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Incluye riesgos asociados con las condiciones económicas que puedan afectar el financiamiento, como inflación, devaluación o cambios en los tipos de interés.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Financiera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8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relacionados con problemas de presupuesto, falta de fondos y fluctuaciones en los costos de recursos.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Gestión de Proyecto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derivados de la planificación, control y coordinación del proyecto, como asignación ineficaz de recursos o fallas en la comunicación.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Infraestructura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asociados con la disponibilidad y adecuación de las instalaciones físicas y los recursos de infraestructura necesarios para el proyecto.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Legal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vinculados a posibles problemas legales, como incumplimiento de normativas, cambios en la legislación o problemas contractuales.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Logística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0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Incluye riesgos relacionados con la cadena de suministro, distribución de materiales y tiempos de entrega que puedan afectar el cronograma.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Operativa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derivados de problemas en las operaciones diarias, incluyendo errores en los procesos y fallos operativos.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Organizacional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relacionados con la estructura interna de la organización, cambios en la cultura organizacional o problemas de coordinación entre equipos.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Seguridad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Riesgos asociados a la seguridad de la información, protección de datos y medidas de seguridad para evitar intrusiones o pérdidas de datos.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Técnica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8">
            <w:pPr>
              <w:numPr>
                <w:ilvl w:val="1"/>
                <w:numId w:val="15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Incluye riesgos relacionados con problemas tecnológicos, fallos en sistemas y herramientas, y la necesidad de actualizaciones técnicas.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m1bxgesvee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d1aaycyll5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b7w9i3cu3kk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p672zpz4tr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53s6fkwjsk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atv3nyrhxe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drawing>
                <wp:inline distB="0" distT="0" distL="114300" distR="114300">
                  <wp:extent cx="5607685" cy="2344420"/>
                  <wp:effectExtent b="0" l="0" r="0" t="0"/>
                  <wp:docPr id="103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685" cy="2344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4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ocurrencia del riesgo es muy probable (más del 70% de probabilidad).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6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ocurrencia del riesgo es probable (entre el 50% y el 70% de probabilidad).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8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ocurrencia del riesgo es moderadamente probable (entre el 30% y el 50% de probabilidad).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A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ocurrencia del riesgo es poco probable, pero posible (entre el 10% y el 30% de probabilidad).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C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ocurrencia del riesgo es muy poco probable (menos del 10% de probabilidad).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Impacto</w:t>
      </w:r>
    </w:p>
    <w:tbl>
      <w:tblPr>
        <w:tblStyle w:val="Table9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82"/>
        <w:gridCol w:w="1390"/>
        <w:gridCol w:w="1422"/>
        <w:gridCol w:w="1603"/>
        <w:gridCol w:w="1603"/>
        <w:gridCol w:w="1646"/>
        <w:tblGridChange w:id="0">
          <w:tblGrid>
            <w:gridCol w:w="1282"/>
            <w:gridCol w:w="1390"/>
            <w:gridCol w:w="1422"/>
            <w:gridCol w:w="1603"/>
            <w:gridCol w:w="1603"/>
            <w:gridCol w:w="164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Objetivo de Proyecto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 (0,05)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 </w:t>
            </w:r>
          </w:p>
          <w:p w:rsidR="00000000" w:rsidDel="00000000" w:rsidP="00000000" w:rsidRDefault="00000000" w:rsidRPr="00000000" w14:paraId="000000B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(0,10)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 (0,20)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 </w:t>
            </w:r>
          </w:p>
          <w:p w:rsidR="00000000" w:rsidDel="00000000" w:rsidP="00000000" w:rsidRDefault="00000000" w:rsidRPr="00000000" w14:paraId="000000B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(0,40)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 (0,80)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 mínimo en los entregables. No afecta los objetivos del proyecto.</w:t>
            </w:r>
          </w:p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Pequeña desviación en los entregables, sin impacto crítico en el alcance.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Ajustes moderados en los entregables o funcionalidades.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Reducción significativa en los entregables o funcionalidades.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Compromiso total de los objetivos de alcance; entrega incompleta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Cronograma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Retraso menor de menos de una semana.</w:t>
            </w:r>
          </w:p>
          <w:p w:rsidR="00000000" w:rsidDel="00000000" w:rsidP="00000000" w:rsidRDefault="00000000" w:rsidRPr="00000000" w14:paraId="000000C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Retraso leve (1-2 semanas) en tareas no críticas.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moderado (2-4 semanas) que afecta el cronograma general.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Retraso significativo (más de 1 mes) que impacta las fases clave del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Retraso extremo, comprometiendo la fecha de entrega final y los plazos del cliente.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Costo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Aumento mínimo en los costos (menor al 1% del presupuesto).</w:t>
            </w:r>
          </w:p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Incremento leve en el presupuesto (1-5%).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Incremento moderado en el presupuesto (5-10%).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Incremento significativo en el presupuesto (10-20%).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Incremento crítico en el presupuesto (más del 20%), comprometiendo viabilidad.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Desviación mínima que no afecta la calidad percibida.</w:t>
            </w:r>
          </w:p>
          <w:p w:rsidR="00000000" w:rsidDel="00000000" w:rsidP="00000000" w:rsidRDefault="00000000" w:rsidRPr="00000000" w14:paraId="000000D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Desviación leve en algunos componentes, sin impacto notable en la calidad.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Afectación moderada que requiere corrección en algunos entregables.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Compromiso considerable de la calidad en áreas clave, requiere retrabajo extenso.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Pérdida total de calidad en el proyecto, resultando en rechazo por parte del cliente.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10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0D8">
            <w:pPr>
              <w:spacing w:after="0" w:line="36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0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11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4"/>
        <w:gridCol w:w="1365"/>
        <w:gridCol w:w="1364"/>
        <w:gridCol w:w="1364"/>
        <w:gridCol w:w="1364"/>
        <w:tblGridChange w:id="0">
          <w:tblGrid>
            <w:gridCol w:w="1317"/>
            <w:gridCol w:w="808"/>
            <w:gridCol w:w="1364"/>
            <w:gridCol w:w="1365"/>
            <w:gridCol w:w="1364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10C">
            <w:pPr>
              <w:spacing w:after="0" w:line="36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10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3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0,80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1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0,90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0,70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0,40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8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Muy 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after="0" w:line="36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0,08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Revisión de la tolerancia de los interesados (Stakeholders)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interesados en el proyecto MagikStock han expresado sus niveles de tolerancia ante los riesgos, lo cual guiará las decisiones sobre cuáles riesgos deben ser mitigados agresivamente y cuáles pueden ser aceptados con una respuesta mínima.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Cliente (Jorge Tapia)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5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financieros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Baja. Prioriza el control de costos y espera que se minimicen los sobrecostos.</w:t>
            </w:r>
          </w:p>
          <w:p w:rsidR="00000000" w:rsidDel="00000000" w:rsidP="00000000" w:rsidRDefault="00000000" w:rsidRPr="00000000" w14:paraId="00000146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en el cronograma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Media. Acepta algunos retrasos menores siempre que se garantice la calidad final del producto.</w:t>
            </w:r>
          </w:p>
          <w:p w:rsidR="00000000" w:rsidDel="00000000" w:rsidP="00000000" w:rsidRDefault="00000000" w:rsidRPr="00000000" w14:paraId="00000147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técnicos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Alta. Confía en el equipo de desarrollo y permite cierta flexibilidad en esta área, siempre que no comprometa la funcionalidad esencial del sistema.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Patrocinador Principal (Jorge Tapia)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9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de calidad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Muy baja. Considera que la calidad es crítica para la reputación de la empresa y no aceptará desviaciones que afecten el producto final.</w:t>
            </w:r>
          </w:p>
          <w:p w:rsidR="00000000" w:rsidDel="00000000" w:rsidP="00000000" w:rsidRDefault="00000000" w:rsidRPr="00000000" w14:paraId="0000014A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operativos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Media. Está dispuesto a aceptar algunos problemas operativos menores, siempre que no afecten los objetivos principales.</w:t>
            </w:r>
          </w:p>
          <w:p w:rsidR="00000000" w:rsidDel="00000000" w:rsidP="00000000" w:rsidRDefault="00000000" w:rsidRPr="00000000" w14:paraId="0000014B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organizacionales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Alta. Permite flexibilidad en la estructura organizativa y en la asignación de personal, mientras se mantenga la productividad.</w:t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Proyecto (Catary Rodriguez, Nicolás Moreno y Cristian Núñez)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de gestión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Baja. Prefieren mantener una comunicación constante y una planificación sólida para evitar problemas en la coordinación.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de infraestructura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Media. Aceptan cierta flexibilidad en el uso de instalaciones y recursos físicos, siempre que no cause demoras.</w:t>
            </w:r>
          </w:p>
          <w:p w:rsidR="00000000" w:rsidDel="00000000" w:rsidP="00000000" w:rsidRDefault="00000000" w:rsidRPr="00000000" w14:paraId="0000014F">
            <w:pPr>
              <w:numPr>
                <w:ilvl w:val="1"/>
                <w:numId w:val="16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 los riesgos de seguridad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Muy baja. Están comprometidos con la protección de los datos y la información, y no aceptarán riesgos que comprometan la seguridad del proyecto.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Formatos de los Informes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Para mantener una comunicación efectiva y organizada sobre el estado de los riesgos en el proyecto MagikStock, se utilizarán los siguientes formatos de informes:</w:t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1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Informe de Estado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5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Semanal</w:t>
            </w:r>
          </w:p>
          <w:p w:rsidR="00000000" w:rsidDel="00000000" w:rsidP="00000000" w:rsidRDefault="00000000" w:rsidRPr="00000000" w14:paraId="00000156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7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 de los riesgos actuales.</w:t>
            </w:r>
          </w:p>
          <w:p w:rsidR="00000000" w:rsidDel="00000000" w:rsidP="00000000" w:rsidRDefault="00000000" w:rsidRPr="00000000" w14:paraId="00000158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Nuevos riesgos identificados.</w:t>
            </w:r>
          </w:p>
          <w:p w:rsidR="00000000" w:rsidDel="00000000" w:rsidP="00000000" w:rsidRDefault="00000000" w:rsidRPr="00000000" w14:paraId="00000159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Actualización de la probabilidad e impacto de los riesgos en curso.</w:t>
            </w:r>
          </w:p>
          <w:p w:rsidR="00000000" w:rsidDel="00000000" w:rsidP="00000000" w:rsidRDefault="00000000" w:rsidRPr="00000000" w14:paraId="0000015A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Acciones de mitigación implementadas durante la semana.</w:t>
            </w:r>
          </w:p>
          <w:p w:rsidR="00000000" w:rsidDel="00000000" w:rsidP="00000000" w:rsidRDefault="00000000" w:rsidRPr="00000000" w14:paraId="0000015B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Equipo del proyecto, Cliente (Jorge Tapia) y Patrocinador.</w:t>
            </w:r>
          </w:p>
          <w:p w:rsidR="00000000" w:rsidDel="00000000" w:rsidP="00000000" w:rsidRDefault="00000000" w:rsidRPr="00000000" w14:paraId="0000015C">
            <w:pPr>
              <w:numPr>
                <w:ilvl w:val="0"/>
                <w:numId w:val="1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Informe de Riesgos Críticos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D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Mensual, o cuando se identifique un riesgo crítico.</w:t>
            </w:r>
          </w:p>
          <w:p w:rsidR="00000000" w:rsidDel="00000000" w:rsidP="00000000" w:rsidRDefault="00000000" w:rsidRPr="00000000" w14:paraId="0000015E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F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Detalle de riesgos que tienen un impacto y probabilidad altos.</w:t>
            </w:r>
          </w:p>
          <w:p w:rsidR="00000000" w:rsidDel="00000000" w:rsidP="00000000" w:rsidRDefault="00000000" w:rsidRPr="00000000" w14:paraId="00000160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Estrategias de mitigación y contingencia para los riesgos críticos.</w:t>
            </w:r>
          </w:p>
          <w:p w:rsidR="00000000" w:rsidDel="00000000" w:rsidP="00000000" w:rsidRDefault="00000000" w:rsidRPr="00000000" w14:paraId="00000161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Recomendaciones y decisiones pendientes sobre los riesgos críticos.</w:t>
            </w:r>
          </w:p>
          <w:p w:rsidR="00000000" w:rsidDel="00000000" w:rsidP="00000000" w:rsidRDefault="00000000" w:rsidRPr="00000000" w14:paraId="00000162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Gerente de Proyecto, Patrocinador Principal y Stakeholders clave.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Resumen Ejecutivo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4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Trimestral</w:t>
            </w:r>
          </w:p>
          <w:p w:rsidR="00000000" w:rsidDel="00000000" w:rsidP="00000000" w:rsidRDefault="00000000" w:rsidRPr="00000000" w14:paraId="00000165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6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Análisis general de los riesgos gestionados en el trimestre.</w:t>
            </w:r>
          </w:p>
          <w:p w:rsidR="00000000" w:rsidDel="00000000" w:rsidP="00000000" w:rsidRDefault="00000000" w:rsidRPr="00000000" w14:paraId="00000167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Tendencias observadas en el desarrollo de los riesgos.</w:t>
            </w:r>
          </w:p>
          <w:p w:rsidR="00000000" w:rsidDel="00000000" w:rsidP="00000000" w:rsidRDefault="00000000" w:rsidRPr="00000000" w14:paraId="00000168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Impacto financiero y en el cronograma del proyecto debido a los riesgos.</w:t>
            </w:r>
          </w:p>
          <w:p w:rsidR="00000000" w:rsidDel="00000000" w:rsidP="00000000" w:rsidRDefault="00000000" w:rsidRPr="00000000" w14:paraId="00000169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Evaluación de la efectividad de las estrategias de mitigación aplicadas.</w:t>
            </w:r>
          </w:p>
          <w:p w:rsidR="00000000" w:rsidDel="00000000" w:rsidP="00000000" w:rsidRDefault="00000000" w:rsidRPr="00000000" w14:paraId="0000016A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Patrocinador Principal y Stakeholders Ejecutivos.</w:t>
            </w:r>
          </w:p>
          <w:p w:rsidR="00000000" w:rsidDel="00000000" w:rsidP="00000000" w:rsidRDefault="00000000" w:rsidRPr="00000000" w14:paraId="0000016B">
            <w:pPr>
              <w:numPr>
                <w:ilvl w:val="0"/>
                <w:numId w:val="17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Informe de Cierre de Gestión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C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Al final del proyecto</w:t>
            </w:r>
          </w:p>
          <w:p w:rsidR="00000000" w:rsidDel="00000000" w:rsidP="00000000" w:rsidRDefault="00000000" w:rsidRPr="00000000" w14:paraId="0000016D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E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Resumen de todos los riesgos gestionados durante el proyecto.</w:t>
            </w:r>
          </w:p>
          <w:p w:rsidR="00000000" w:rsidDel="00000000" w:rsidP="00000000" w:rsidRDefault="00000000" w:rsidRPr="00000000" w14:paraId="0000016F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Evaluación final de los impactos y del éxito de las estrategias de mitigación.</w:t>
            </w:r>
          </w:p>
          <w:p w:rsidR="00000000" w:rsidDel="00000000" w:rsidP="00000000" w:rsidRDefault="00000000" w:rsidRPr="00000000" w14:paraId="00000170">
            <w:pPr>
              <w:numPr>
                <w:ilvl w:val="2"/>
                <w:numId w:val="17"/>
              </w:numPr>
              <w:spacing w:after="0" w:line="360" w:lineRule="auto"/>
              <w:ind w:left="216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Lecciones aprendidas en la gestión de riesgos.</w:t>
            </w:r>
          </w:p>
          <w:p w:rsidR="00000000" w:rsidDel="00000000" w:rsidP="00000000" w:rsidRDefault="00000000" w:rsidRPr="00000000" w14:paraId="00000171">
            <w:pPr>
              <w:numPr>
                <w:ilvl w:val="1"/>
                <w:numId w:val="17"/>
              </w:numPr>
              <w:spacing w:after="0" w:line="360" w:lineRule="auto"/>
              <w:ind w:left="144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Destinatarios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Todo el equipo del proyecto, Cliente y Patrocinador.</w:t>
            </w:r>
          </w:p>
        </w:tc>
      </w:tr>
    </w:tbl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Revisión Periódica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Se llevará a cabo semanalmente para riesgos generales y diariamente para riesgos críticos.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1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El Gerente de Proyecto (Catary Rodriguez) es responsable de organizar y liderar las revisiones, con la participación de miembros clave del equipo según sea necesario.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19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Identificar cambios en la probabilidad e impacto de los riesgos actuales, actualizar el registro de riesgos y evaluar la necesidad de nuevas estrategias de mitigación o contingencia.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Actualización del Registro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2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Cada vez que se identifique un cambio significativo en un riesgo o se descubran nuevos riesgos.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2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El Analista de Riesgos (Nicolás Moreno) se encargará de registrar y actualizar toda la información relevante en el registro de riesgos.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21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Cambios en la probabilidad, impacto, estado de las estrategias de respuesta y cualquier decisión tomada respecto al riesgo.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de las Estrategias de Respuesta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2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En función de los plazos establecidos para cada estrategia de mitigación.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2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El equipo de proyecto, bajo la supervisión del Gerente de Proyecto, es responsable de implementar y monitorear las estrategias de respuesta.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22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Verificar la efectividad de las estrategias implementadas y realizar ajustes si es necesario para reducir el impacto o probabilidad del riesgo.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18"/>
              </w:numPr>
              <w:spacing w:after="0" w:line="360" w:lineRule="auto"/>
              <w:ind w:left="72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Revisión de la Eficacia del Plan de Gestión de Riesgos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2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Mensualmente, para evaluar el éxito de la gestión de riesgos en términos de reducción de impactos y cumplimiento de objetivos.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El Gerente de Proyecto y el Patrocinador Principal (Jorge Tapia).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3"/>
              </w:numPr>
              <w:spacing w:after="0" w:line="360" w:lineRule="auto"/>
              <w:ind w:left="1080" w:hanging="36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: Evaluación de la eficacia de las estrategias de mitigación, recomendaciones para mejorar el plan y lecciones aprendidas.</w:t>
            </w:r>
          </w:p>
        </w:tc>
      </w:tr>
    </w:tbl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360" w:lineRule="auto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 Tapia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771650" cy="1638300"/>
                  <wp:effectExtent b="0" l="0" r="0" t="0"/>
                  <wp:docPr id="10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102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9snWq5Vd6HDLKcS15gJeOi936w==">CgMxLjAyCGguZ2pkZ3hzMgloLjMwajB6bGwyCWguMWZvYjl0ZTIJaC4zem55c2g3MgloLjJldDkycDAyDmguZHlrODE4YmhkbGJyMg5oLmJ3cjdldGhxZ2c3ajIIaC50eWpjd3QyDmguNG0xYnhnZXN2ZWVsMg5oLmdkMWFheWN5bGw1NzIOaC5iN3c5aTNjdTNrazUyDmgucnA2NzJ6cHo0dHI3Mg5oLnI1M3M2Zmt3anNreTIOaC5zYXR2M255cmh4ZTgyCWguM2R5NnZrbTIJaC4xdDNoNXNmMgloLjRkMzRvZzgyCWguMnM4ZXlvMTIJaC4xN2RwOHZ1MgloLjNyZGNyam4yCWguMjZpbjFyZzIIaC5sbnhiejkyCWguMzVua3VuMjIJaC4xa3N2NHV2OAByITE3czQ1VEtWQW11QURWRmtmWnl0amFTMVZHMjBnSHBS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