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target-oriented collision-free robot grasping in dense-clutter scenarios has made significant progress. However, the prior studies primarily focus on the complex problem brought about by an increase in object quantity. Actually, the various scenarios will also result in the challenge. That means skill models will inevitably start to obtain bloat, as more subtasks appear. Our previous study presents a multi-teacher distillation strategy, thereby effectively avoiding bloat. Unfortunately, it still has trouble in execution capability when the scenarios have more subtasks and highly similar subtasks. The root cause is attributed to the inadequate capability of distilled student in subtask identification. It is naive to develop the subtask classifier based on the traditional data-driven way when human experience fails to work. Therefore, we propose a dataset-free classifier by migrating the classification capability of teachers to the student. Then, we further propose a task-attendance teachers-student knowledge distillation strategy to afford the various scenarios involving more and highly similar subtasks, thus significantly enhancing the performance of grasping. And we also leverage the language instruction to ensure the mask map of target object through LLM, improving the intuitiveness of human-robot cooperation. Extensive comparative experiment verifies the advantage of our framework. We measure the capability of teachers-student distillation, and value of dataset-free classifier in our framework. Importantly, the performance of segmentation strategy is tested under ambiguous instruction, visual occlusion, and color conflict. Furthermore, the excellent generalization and robustness are exhibited according to the real-world experiments involving unseen object, unseen task modality, and disturbance existing. © 2025 Elsevier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