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Vision Language Action (VLA) models represent a new frontier in robotics by unifying perception, reasoning, and control within a single multimodal learning framework. By integrating visual, linguistic, and action modalities, they enable multimodal fusion systems designed for instruction-driven manipulation and generalist autonomy. This systematic review synthesizes the state of the art in VLA research with an emphasis on architectures, algorithms, and applications relevant to robotic manipulation. We examine 102 models, 26 foundational datasets, and 12 simulation platforms, categorizing them according to their fusion strategies and integration mechanisms. Foundational datasets are evaluated using a novel criterion based on task complexity, modality richness, and dataset scale, allowing a comparative analysis of their suitability for generalist policy learning. We further introduce a structured taxonomy of fusion hierarchies and encoder-decoder families, together with a two-dimensional dataset characterization framework and a meta-analytic benchmarking protocol that quantitatively links design variables to empirical performance across benchmarks. Our analysis shows that hierarchical and late fusion architectures achieve the highest manipulation success and generalization, confirming the benefit of multi-level cross-modal integration. Diffusion-based decoders demonstrate superior cross-domain transfer and robustness compared to autoregressive heads. Dataset analysis highlights a persistent lack of benchmarks that combine high-complexity, multimodal, and long-horizon tasks, while existing simulators offer limited multimodal synchronization and real-to-sim consistency. To address these gaps, we propose the VLA Fusion Evaluation Benchmark to quantify fusion efficiency and alignment. Drawing on both academic and industrial advances, the review outlines future research directions in adaptive and modular fusion architectures, computational resource optimization, and the deployment of interpretable, resource-efficient robotic systems. We further propose a forward-looking agentic VLA paradigm where LLM planners integrate VLA skills as verifiable tools within a closed feedback loop for adaptive and self-improving robotic control. This work provides both a conceptual foundation and a quantitative roadmap for advancing embodied intelligence through multimodal information fusion across robotic domains. A public repository summarizing models, datasets, and simulators is available at: https://muhayyuddin.github.io/VLAs/ . © 2025 The Author(s).</w:t>
      </w:r>
    </w:p>
    <w:p>
      <w:pPr>
        <w:pStyle w:val="Heading1"/>
      </w:pPr>
      <w:r>
        <w:t>Entities / Events / Relations</w:t>
      </w:r>
    </w:p>
    <w:p>
      <w:r>
        <w:rPr>
          <w:b/>
        </w:rPr>
        <w:t>Entities:</w:t>
      </w:r>
      <w:r>
        <w:br/>
      </w:r>
      <w:r>
        <w:rPr>
          <w:b/>
        </w:rPr>
        <w:t>Models:</w:t>
      </w:r>
      <w:r>
        <w:t xml:space="preserve"> Vision Language Action (VLA) models, hierarchical fusion architectures, late fusion architectures, diffusion-based decoders, autoregressive heads, encoder-decoder families, LLM planners, agentic VLA paradigm</w:t>
        <w:br/>
      </w:r>
      <w:r>
        <w:rPr>
          <w:b/>
        </w:rPr>
        <w:t>Datasets:</w:t>
      </w:r>
      <w:r>
        <w:t xml:space="preserve"> foundational datasets, VLA Fusion Evaluation Benchmark</w:t>
        <w:br/>
      </w:r>
      <w:r>
        <w:rPr>
          <w:b/>
        </w:rPr>
        <w:t>Methods:</w:t>
      </w:r>
      <w:r>
        <w:t xml:space="preserve"> multimodal fusion systems, fusion strategies, integration mechanisms, structured taxonomy of fusion hierarchies, two-dimensional dataset characterization framework, meta-analytic benchmarking protocol, multi-level cross-modal integration, adaptive and modular fusion architectures, computational resource optimization, deployment of interpretable, resource-efficient robotic systems, closed feedback loop for adaptive and self-improving robotic control</w:t>
        <w:br/>
      </w:r>
      <w:r>
        <w:rPr>
          <w:b/>
        </w:rPr>
        <w:t>Metrics:</w:t>
      </w:r>
      <w:r>
        <w:t xml:space="preserve"> manipulation success, generalization, cross-domain transfer, robustness, fusion efficiency, alignment, task complexity, modality richness, dataset scale, empirical performance</w:t>
        <w:br/>
      </w:r>
      <w:r>
        <w:rPr>
          <w:b/>
        </w:rPr>
        <w:t>Domains:</w:t>
      </w:r>
      <w:r>
        <w:t xml:space="preserve"> robotic manipulation, robotics, embodied intelligence, robotic domains</w:t>
        <w:br/>
      </w:r>
      <w:r>
        <w:rPr>
          <w:b/>
        </w:rPr>
        <w:t>Simulation platforms:</w:t>
      </w:r>
      <w:r>
        <w:t xml:space="preserve"> simulation platforms, simulators</w:t>
        <w:br/>
      </w:r>
      <w:r>
        <w:br/>
      </w:r>
      <w:r>
        <w:rPr>
          <w:b/>
        </w:rPr>
        <w:t>Events:</w:t>
      </w:r>
      <w:r>
        <w:br/>
      </w:r>
      <w:r>
        <w:t>[examination] Examine 102 models, 26 foundational datasets, and 12 simulation platforms, categorizing them by fusion strategies and integration mechanisms.</w:t>
        <w:br/>
      </w:r>
      <w:r>
        <w:t>[evaluation] Foundational datasets are evaluated using a novel criterion based on task complexity, modality richness, and dataset scale.</w:t>
        <w:br/>
      </w:r>
      <w:r>
        <w:t>[comparison] Comparative analysis of dataset suitability for generalist policy learning.</w:t>
        <w:br/>
      </w:r>
      <w:r>
        <w:t>[introduction] Introduce a structured taxonomy of fusion hierarchies and encoder-decoder families.</w:t>
        <w:br/>
      </w:r>
      <w:r>
        <w:t>[introduction] Introduce a two-dimensional dataset characterization framework and a meta-analytic benchmarking protocol.</w:t>
        <w:br/>
      </w:r>
      <w:r>
        <w:t>[analysis] Analysis shows hierarchical and late fusion architectures achieve highest manipulation success and generalization.</w:t>
        <w:br/>
      </w:r>
      <w:r>
        <w:t>[comparison] Diffusion-based decoders demonstrate superior cross-domain transfer and robustness compared to autoregressive heads.</w:t>
        <w:br/>
      </w:r>
      <w:r>
        <w:t>[analysis] Dataset analysis highlights lack of benchmarks combining high-complexity, multimodal, and long-horizon tasks.</w:t>
        <w:br/>
      </w:r>
      <w:r>
        <w:t>[analysis] Existing simulators offer limited multimodal synchronization and real-to-sim consistency.</w:t>
        <w:br/>
      </w:r>
      <w:r>
        <w:t>[proposal] Propose the VLA Fusion Evaluation Benchmark to quantify fusion efficiency and alignment.</w:t>
        <w:br/>
      </w:r>
      <w:r>
        <w:t>[proposal] Propose a forward-looking agentic VLA paradigm where LLM planners integrate VLA skills as verifiable tools within a closed feedback loop for adaptive and self-improving robotic control.</w:t>
        <w:br/>
      </w:r>
      <w:r>
        <w:br/>
      </w:r>
      <w:r>
        <w:rPr>
          <w:b/>
        </w:rPr>
        <w:t>Relations:</w:t>
      </w:r>
      <w:r>
        <w:br/>
      </w:r>
      <w:r>
        <w:rPr>
          <w:b/>
        </w:rPr>
        <w:t>Cause:</w:t>
      </w:r>
      <w:r>
        <w:t xml:space="preserve"> hierarchical and late fusion architectures</w:t>
        <w:br/>
      </w:r>
      <w:r>
        <w:rPr>
          <w:b/>
        </w:rPr>
        <w:t>Effect:</w:t>
      </w:r>
      <w:r>
        <w:t xml:space="preserve"> highest manipulation success and generalization</w:t>
        <w:br/>
      </w:r>
      <w:r>
        <w:br/>
      </w:r>
      <w:r>
        <w:rPr>
          <w:b/>
        </w:rPr>
        <w:t>Cause:</w:t>
      </w:r>
      <w:r>
        <w:t xml:space="preserve"> multi-level cross-modal integration</w:t>
        <w:br/>
      </w:r>
      <w:r>
        <w:rPr>
          <w:b/>
        </w:rPr>
        <w:t>Effect:</w:t>
      </w:r>
      <w:r>
        <w:t xml:space="preserve"> benefit (improved manipulation success and generalization)</w:t>
        <w:br/>
      </w:r>
      <w:r>
        <w:br/>
      </w:r>
      <w:r>
        <w:rPr>
          <w:b/>
        </w:rPr>
        <w:t>Cause:</w:t>
      </w:r>
      <w:r>
        <w:t xml:space="preserve"> diffusion-based decoders</w:t>
        <w:br/>
      </w:r>
      <w:r>
        <w:rPr>
          <w:b/>
        </w:rPr>
        <w:t>Effect:</w:t>
      </w:r>
      <w:r>
        <w:t xml:space="preserve"> superior cross-domain transfer and robustness compared to autoregressive heads</w:t>
        <w:br/>
      </w:r>
      <w:r>
        <w:br/>
      </w:r>
      <w:r>
        <w:rPr>
          <w:b/>
        </w:rPr>
        <w:t>Cause:</w:t>
      </w:r>
      <w:r>
        <w:t xml:space="preserve"> lack of benchmarks combining high-complexity, multimodal, and long-horizon tasks</w:t>
        <w:br/>
      </w:r>
      <w:r>
        <w:rPr>
          <w:b/>
        </w:rPr>
        <w:t>Effect:</w:t>
      </w:r>
      <w:r>
        <w:t xml:space="preserve"> persistent gap in dataset analysis</w:t>
        <w:br/>
      </w:r>
      <w:r>
        <w:br/>
      </w:r>
      <w:r>
        <w:rPr>
          <w:b/>
        </w:rPr>
        <w:t>Cause:</w:t>
      </w:r>
      <w:r>
        <w:t xml:space="preserve"> limited multimodal synchronization and real-to-sim consistency in simulators</w:t>
        <w:br/>
      </w:r>
      <w:r>
        <w:rPr>
          <w:b/>
        </w:rPr>
        <w:t>Effect:</w:t>
      </w:r>
      <w:r>
        <w:t xml:space="preserve"> limitation in simulation platforms</w:t>
        <w:br/>
      </w:r>
      <w:r>
        <w:br/>
      </w:r>
      <w:r>
        <w:rPr>
          <w:b/>
        </w:rPr>
        <w:t>Cause:</w:t>
      </w:r>
      <w:r>
        <w:t xml:space="preserve"> LLM planners integrating VLA skills as verifiable tools within a closed feedback loop</w:t>
        <w:br/>
      </w:r>
      <w:r>
        <w:rPr>
          <w:b/>
        </w:rPr>
        <w:t>Effect:</w:t>
      </w:r>
      <w:r>
        <w:t xml:space="preserve"> adaptive and self-improving robotic control</w:t>
        <w:br/>
      </w:r>
    </w:p>
    <w:p>
      <w:pPr>
        <w:pStyle w:val="Heading1"/>
      </w:pPr>
      <w:r>
        <w:t>QA Counterfactual</w:t>
      </w:r>
    </w:p>
    <w:p>
      <w:r>
        <w:rPr>
          <w:b/>
        </w:rPr>
        <w:t>Q1. Original Question:</w:t>
      </w:r>
      <w:r>
        <w:t xml:space="preserve"> What are Vision Language Action (VLA) models designed to unify in robotics?</w:t>
      </w:r>
    </w:p>
    <w:p>
      <w:r>
        <w:rPr>
          <w:b/>
        </w:rPr>
        <w:t>Counterfactual Question:</w:t>
      </w:r>
      <w:r>
        <w:t xml:space="preserve"> What would Vision Language Action (VLA) models be designed to unify in robotics if they did not include reasoning as a component?</w:t>
      </w:r>
    </w:p>
    <w:p>
      <w:r>
        <w:rPr>
          <w:b/>
        </w:rPr>
        <w:t>Original Answer:</w:t>
      </w:r>
      <w:r>
        <w:t xml:space="preserve"> VLA models are designed to unify perception, reasoning, and control within a single multimodal learning framework.</w:t>
      </w:r>
    </w:p>
    <w:p>
      <w:r>
        <w:rPr>
          <w:b/>
        </w:rPr>
        <w:t>Counterfactual Answer:</w:t>
      </w:r>
      <w:r>
        <w:t xml:space="preserve"> VLA models would be designed to unify perception and control within a single multimodal learning framework, without explicitly integrating reasoning.</w:t>
      </w:r>
    </w:p>
    <w:p>
      <w:r>
        <w:rPr>
          <w:b/>
        </w:rPr>
        <w:t>Intervention:</w:t>
      </w:r>
      <w:r>
        <w:t xml:space="preserve"> {'variable': 'fusion_architecture', 'action': 'Set the fusion architecture to exclude reasoning as an integrated modality.'}</w:t>
      </w:r>
    </w:p>
    <w:p/>
    <w:p>
      <w:r>
        <w:rPr>
          <w:b/>
        </w:rPr>
        <w:t>Q2. Original Question:</w:t>
      </w:r>
      <w:r>
        <w:t xml:space="preserve"> How many models, foundational datasets, and simulation platforms does the review examine?</w:t>
      </w:r>
    </w:p>
    <w:p>
      <w:r>
        <w:rPr>
          <w:b/>
        </w:rPr>
        <w:t>Counterfactual Question:</w:t>
      </w:r>
      <w:r>
        <w:t xml:space="preserve"> How many models, foundational datasets, and simulation platforms would the review examine if the dataset characteristics were limited to low-complexity, unimodal, and small-scale datasets?</w:t>
      </w:r>
    </w:p>
    <w:p>
      <w:r>
        <w:rPr>
          <w:b/>
        </w:rPr>
        <w:t>Original Answer:</w:t>
      </w:r>
      <w:r>
        <w:t xml:space="preserve"> The review examines 102 models, 26 foundational datasets, and 12 simulation platforms.</w:t>
      </w:r>
    </w:p>
    <w:p>
      <w:r>
        <w:rPr>
          <w:b/>
        </w:rPr>
        <w:t>Counterfactual Answer:</w:t>
      </w:r>
      <w:r>
        <w:t xml:space="preserve"> The review would examine fewer models, foundational datasets, and simulation platforms—likely focusing on a subset relevant to low-complexity, unimodal, and small-scale datasets.</w:t>
      </w:r>
    </w:p>
    <w:p>
      <w:r>
        <w:rPr>
          <w:b/>
        </w:rPr>
        <w:t>Intervention:</w:t>
      </w:r>
      <w:r>
        <w:t xml:space="preserve"> {'variable': 'dataset_characteristics', 'action': 'Restrict dataset characteristics to low-complexity, unimodal, and small-scale.'}</w:t>
      </w:r>
    </w:p>
    <w:p/>
    <w:p>
      <w:r>
        <w:rPr>
          <w:b/>
        </w:rPr>
        <w:t>Q3. Original Question:</w:t>
      </w:r>
      <w:r>
        <w:t xml:space="preserve"> Which fusion architectures are shown to achieve the highest manipulation success and generalization?</w:t>
      </w:r>
    </w:p>
    <w:p>
      <w:r>
        <w:rPr>
          <w:b/>
        </w:rPr>
        <w:t>Counterfactual Question:</w:t>
      </w:r>
      <w:r>
        <w:t xml:space="preserve"> Which fusion architectures would achieve the highest manipulation success and generalization if only early fusion architectures were used?</w:t>
      </w:r>
    </w:p>
    <w:p>
      <w:r>
        <w:rPr>
          <w:b/>
        </w:rPr>
        <w:t>Original Answer:</w:t>
      </w:r>
      <w:r>
        <w:t xml:space="preserve"> Hierarchical and late fusion architectures achieve the highest manipulation success and generalization.</w:t>
      </w:r>
    </w:p>
    <w:p>
      <w:r>
        <w:rPr>
          <w:b/>
        </w:rPr>
        <w:t>Counterfactual Answer:</w:t>
      </w:r>
      <w:r>
        <w:t xml:space="preserve"> If only early fusion architectures were used, they would achieve lower manipulation success and generalization compared to hierarchical and late fusion architectures.</w:t>
      </w:r>
    </w:p>
    <w:p>
      <w:r>
        <w:rPr>
          <w:b/>
        </w:rPr>
        <w:t>Intervention:</w:t>
      </w:r>
      <w:r>
        <w:t xml:space="preserve"> {'variable': 'fusion_architecture', 'action': 'Restrict fusion architecture to early fusion only.'}</w:t>
      </w:r>
    </w:p>
    <w:p/>
    <w:p>
      <w:r>
        <w:rPr>
          <w:b/>
        </w:rPr>
        <w:t>Q4. Original Question:</w:t>
      </w:r>
      <w:r>
        <w:t xml:space="preserve"> What persistent gap is highlighted in the analysis of datasets?</w:t>
      </w:r>
    </w:p>
    <w:p>
      <w:r>
        <w:rPr>
          <w:b/>
        </w:rPr>
        <w:t>Counterfactual Question:</w:t>
      </w:r>
      <w:r>
        <w:t xml:space="preserve"> What persistent gap would be highlighted in the analysis of datasets if benchmark availability included comprehensive high-complexity, multimodal, and long-horizon tasks?</w:t>
      </w:r>
    </w:p>
    <w:p>
      <w:r>
        <w:rPr>
          <w:b/>
        </w:rPr>
        <w:t>Original Answer:</w:t>
      </w:r>
      <w:r>
        <w:t xml:space="preserve"> There is a persistent lack of benchmarks that combine high-complexity, multimodal, and long-horizon tasks.</w:t>
      </w:r>
    </w:p>
    <w:p>
      <w:r>
        <w:rPr>
          <w:b/>
        </w:rPr>
        <w:t>Counterfactual Answer:</w:t>
      </w:r>
      <w:r>
        <w:t xml:space="preserve"> If such benchmarks were available, the analysis would not highlight a gap in benchmarks combining high-complexity, multimodal, and long-horizon tasks.</w:t>
      </w:r>
    </w:p>
    <w:p>
      <w:r>
        <w:rPr>
          <w:b/>
        </w:rPr>
        <w:t>Intervention:</w:t>
      </w:r>
      <w:r>
        <w:t xml:space="preserve"> {'variable': 'benchmark_availability', 'action': 'Set benchmark availability to include high-complexity, multimodal, and long-horizon tasks.'}</w:t>
      </w:r>
    </w:p>
    <w:p/>
    <w:p>
      <w:r>
        <w:rPr>
          <w:b/>
        </w:rPr>
        <w:t>Q5. Original Question:</w:t>
      </w:r>
      <w:r>
        <w:t xml:space="preserve"> What new benchmark do the authors propose to address gaps in fusion efficiency and alignment evaluation?</w:t>
      </w:r>
    </w:p>
    <w:p>
      <w:r>
        <w:rPr>
          <w:b/>
        </w:rPr>
        <w:t>Counterfactual Question:</w:t>
      </w:r>
      <w:r>
        <w:t xml:space="preserve"> What new benchmark would the authors propose if simulation platform quality already ensured perfect multimodal synchronization and real-to-sim consistency?</w:t>
      </w:r>
    </w:p>
    <w:p>
      <w:r>
        <w:rPr>
          <w:b/>
        </w:rPr>
        <w:t>Original Answer:</w:t>
      </w:r>
      <w:r>
        <w:t xml:space="preserve"> The authors propose the VLA Fusion Evaluation Benchmark to quantify fusion efficiency and alignment.</w:t>
      </w:r>
    </w:p>
    <w:p>
      <w:r>
        <w:rPr>
          <w:b/>
        </w:rPr>
        <w:t>Counterfactual Answer:</w:t>
      </w:r>
      <w:r>
        <w:t xml:space="preserve"> If simulation platform quality already ensured perfect multimodal synchronization and real-to-sim consistency, the authors might propose a benchmark focused on other aspects, such as real-world deployment or robustness, rather than fusion efficiency and alignment.</w:t>
      </w:r>
    </w:p>
    <w:p>
      <w:r>
        <w:rPr>
          <w:b/>
        </w:rPr>
        <w:t>Intervention:</w:t>
      </w:r>
      <w:r>
        <w:t xml:space="preserve"> {'variable': 'simulation_platform_quality', 'action': 'Set simulation platform quality to perfect multimodal synchronization and real-to-sim consistency.'}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