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90051" w14:textId="697154C4" w:rsidR="00267DBF" w:rsidRPr="00267DBF" w:rsidRDefault="00267DBF" w:rsidP="00267DBF">
      <w:pPr>
        <w:pStyle w:val="a3"/>
        <w:rPr>
          <w:lang w:val="en-US"/>
        </w:rPr>
      </w:pPr>
      <w:r>
        <w:rPr>
          <w:rFonts w:hAnsi="Symbol"/>
        </w:rPr>
        <w:t></w:t>
      </w:r>
      <w:r w:rsidRPr="00267DBF">
        <w:rPr>
          <w:lang w:val="en-US"/>
        </w:rPr>
        <w:t xml:space="preserve">  </w:t>
      </w:r>
      <w:r w:rsidRPr="00020CF5">
        <w:rPr>
          <w:rStyle w:val="a4"/>
          <w:highlight w:val="yellow"/>
          <w:lang w:val="en-US"/>
        </w:rPr>
        <w:t>Figure 1 Color Scheme</w:t>
      </w:r>
      <w:r w:rsidRPr="00020CF5">
        <w:rPr>
          <w:highlight w:val="yellow"/>
          <w:lang w:val="en-US"/>
        </w:rPr>
        <w:t>:</w:t>
      </w:r>
      <w:r w:rsidRPr="00267DBF">
        <w:rPr>
          <w:lang w:val="en-US"/>
        </w:rPr>
        <w:br/>
      </w:r>
      <w:r w:rsidRPr="00267DBF">
        <w:rPr>
          <w:rStyle w:val="a4"/>
          <w:lang w:val="en-US"/>
        </w:rPr>
        <w:t>comment:</w:t>
      </w:r>
      <w:r w:rsidRPr="00267DBF">
        <w:rPr>
          <w:lang w:val="en-US"/>
        </w:rPr>
        <w:t xml:space="preserve"> The colors for the risk levels do not match common perception. Blue and Green typically represent low risks.</w:t>
      </w:r>
      <w:r w:rsidRPr="00267DBF">
        <w:rPr>
          <w:lang w:val="en-US"/>
        </w:rPr>
        <w:br/>
      </w:r>
      <w:r w:rsidRPr="00267DBF">
        <w:rPr>
          <w:rStyle w:val="a4"/>
          <w:lang w:val="en-US"/>
        </w:rPr>
        <w:t>reply:</w:t>
      </w:r>
      <w:r w:rsidRPr="00267DBF">
        <w:rPr>
          <w:lang w:val="en-US"/>
        </w:rPr>
        <w:t xml:space="preserve"> We have updated the color scheme in Figure 1 to align with common perceptions of risk levels, ensuring that blue and green represent low risks.</w:t>
      </w:r>
      <w:r w:rsidR="005D5BF7" w:rsidRPr="005D5BF7">
        <w:rPr>
          <w:color w:val="FF0000"/>
          <w:lang w:val="en-US"/>
        </w:rPr>
        <w:t>(see figure 1)</w:t>
      </w:r>
    </w:p>
    <w:p w14:paraId="3AFE04AF" w14:textId="77777777" w:rsidR="00267DBF" w:rsidRPr="00267DBF" w:rsidRDefault="00267DBF" w:rsidP="00267DBF">
      <w:pPr>
        <w:pStyle w:val="a3"/>
        <w:rPr>
          <w:lang w:val="en-US"/>
        </w:rPr>
      </w:pPr>
      <w:r w:rsidRPr="00020CF5">
        <w:rPr>
          <w:rFonts w:hAnsi="Symbol"/>
          <w:highlight w:val="yellow"/>
        </w:rPr>
        <w:t></w:t>
      </w:r>
      <w:r w:rsidRPr="00020CF5">
        <w:rPr>
          <w:highlight w:val="yellow"/>
          <w:lang w:val="en-US"/>
        </w:rPr>
        <w:t xml:space="preserve">  </w:t>
      </w:r>
      <w:r w:rsidRPr="00020CF5">
        <w:rPr>
          <w:rStyle w:val="a4"/>
          <w:highlight w:val="yellow"/>
          <w:lang w:val="en-US"/>
        </w:rPr>
        <w:t>Figure 2 Source of Data</w:t>
      </w:r>
      <w:r w:rsidRPr="00020CF5">
        <w:rPr>
          <w:highlight w:val="yellow"/>
          <w:lang w:val="en-US"/>
        </w:rPr>
        <w:t>:</w:t>
      </w:r>
      <w:r w:rsidRPr="00267DBF">
        <w:rPr>
          <w:lang w:val="en-US"/>
        </w:rPr>
        <w:br/>
      </w:r>
      <w:r w:rsidRPr="00267DBF">
        <w:rPr>
          <w:rStyle w:val="a4"/>
          <w:lang w:val="en-US"/>
        </w:rPr>
        <w:t>comment:</w:t>
      </w:r>
      <w:r w:rsidRPr="00267DBF">
        <w:rPr>
          <w:lang w:val="en-US"/>
        </w:rPr>
        <w:t xml:space="preserve"> What is the source of flood susceptibility used in this figure?</w:t>
      </w:r>
      <w:r w:rsidRPr="00267DBF">
        <w:rPr>
          <w:lang w:val="en-US"/>
        </w:rPr>
        <w:br/>
      </w:r>
      <w:r w:rsidRPr="00267DBF">
        <w:rPr>
          <w:rStyle w:val="a4"/>
          <w:lang w:val="en-US"/>
        </w:rPr>
        <w:t>reply:</w:t>
      </w:r>
      <w:r w:rsidRPr="00267DBF">
        <w:rPr>
          <w:lang w:val="en-US"/>
        </w:rPr>
        <w:t xml:space="preserve"> We have added a detailed description of the source of flood susceptibility data used in Figure 2 in the revised manuscript.</w:t>
      </w:r>
    </w:p>
    <w:p w14:paraId="3E067E92" w14:textId="71047A49" w:rsidR="00267DBF" w:rsidRPr="00267DBF" w:rsidRDefault="00267DBF" w:rsidP="00267DBF">
      <w:pPr>
        <w:pStyle w:val="a3"/>
        <w:rPr>
          <w:lang w:val="en-US"/>
        </w:rPr>
      </w:pPr>
      <w:r w:rsidRPr="00020CF5">
        <w:rPr>
          <w:rFonts w:hAnsi="Symbol"/>
          <w:highlight w:val="yellow"/>
        </w:rPr>
        <w:t></w:t>
      </w:r>
      <w:r w:rsidRPr="00020CF5">
        <w:rPr>
          <w:highlight w:val="yellow"/>
          <w:lang w:val="en-US"/>
        </w:rPr>
        <w:t xml:space="preserve">  </w:t>
      </w:r>
      <w:r w:rsidRPr="00020CF5">
        <w:rPr>
          <w:rStyle w:val="a4"/>
          <w:highlight w:val="yellow"/>
          <w:lang w:val="en-US"/>
        </w:rPr>
        <w:t>Figure 5 Caption</w:t>
      </w:r>
      <w:r w:rsidRPr="00020CF5">
        <w:rPr>
          <w:highlight w:val="yellow"/>
          <w:lang w:val="en-US"/>
        </w:rPr>
        <w:t>:</w:t>
      </w:r>
      <w:r w:rsidRPr="00267DBF">
        <w:rPr>
          <w:lang w:val="en-US"/>
        </w:rPr>
        <w:br/>
      </w:r>
      <w:r w:rsidRPr="00267DBF">
        <w:rPr>
          <w:rStyle w:val="a4"/>
          <w:lang w:val="en-US"/>
        </w:rPr>
        <w:t>comment:</w:t>
      </w:r>
      <w:r w:rsidRPr="00267DBF">
        <w:rPr>
          <w:lang w:val="en-US"/>
        </w:rPr>
        <w:t xml:space="preserve"> The caption is invisible.</w:t>
      </w:r>
      <w:r w:rsidRPr="00267DBF">
        <w:rPr>
          <w:lang w:val="en-US"/>
        </w:rPr>
        <w:br/>
      </w:r>
      <w:r w:rsidRPr="00267DBF">
        <w:rPr>
          <w:rStyle w:val="a4"/>
          <w:lang w:val="en-US"/>
        </w:rPr>
        <w:t>reply:</w:t>
      </w:r>
      <w:r w:rsidRPr="00267DBF">
        <w:rPr>
          <w:lang w:val="en-US"/>
        </w:rPr>
        <w:t xml:space="preserve"> We have corrected the caption for Figure 5 to ensure it is visible and clearly describes the content of the figure</w:t>
      </w:r>
      <w:r w:rsidRPr="005D5BF7">
        <w:rPr>
          <w:color w:val="FF0000"/>
          <w:lang w:val="en-US"/>
        </w:rPr>
        <w:t>.</w:t>
      </w:r>
      <w:r w:rsidR="005D5BF7" w:rsidRPr="005D5BF7">
        <w:rPr>
          <w:color w:val="FF0000"/>
          <w:lang w:val="en-US"/>
        </w:rPr>
        <w:t>(see figure 5)</w:t>
      </w:r>
    </w:p>
    <w:p w14:paraId="1A328E71" w14:textId="58AC2959" w:rsidR="00267DBF" w:rsidRPr="00267DBF" w:rsidRDefault="00267DBF" w:rsidP="00267DBF">
      <w:pPr>
        <w:pStyle w:val="a3"/>
        <w:rPr>
          <w:lang w:val="en-US"/>
        </w:rPr>
      </w:pPr>
      <w:r w:rsidRPr="00664A6F">
        <w:rPr>
          <w:rFonts w:hAnsi="Symbol"/>
          <w:highlight w:val="yellow"/>
        </w:rPr>
        <w:t></w:t>
      </w:r>
      <w:r w:rsidRPr="00664A6F">
        <w:rPr>
          <w:highlight w:val="yellow"/>
          <w:lang w:val="en-US"/>
        </w:rPr>
        <w:t xml:space="preserve">  </w:t>
      </w:r>
      <w:r w:rsidRPr="00664A6F">
        <w:rPr>
          <w:rStyle w:val="a4"/>
          <w:highlight w:val="yellow"/>
          <w:lang w:val="en-US"/>
        </w:rPr>
        <w:t>Comparison of Cases</w:t>
      </w:r>
      <w:r w:rsidRPr="00664A6F">
        <w:rPr>
          <w:highlight w:val="yellow"/>
          <w:lang w:val="en-US"/>
        </w:rPr>
        <w:t>:</w:t>
      </w:r>
      <w:r w:rsidRPr="00267DBF">
        <w:rPr>
          <w:lang w:val="en-US"/>
        </w:rPr>
        <w:br/>
      </w:r>
      <w:r w:rsidRPr="00267DBF">
        <w:rPr>
          <w:rStyle w:val="a4"/>
          <w:lang w:val="en-US"/>
        </w:rPr>
        <w:t>comment:</w:t>
      </w:r>
      <w:r w:rsidRPr="00267DBF">
        <w:rPr>
          <w:lang w:val="en-US"/>
        </w:rPr>
        <w:t xml:space="preserve"> Two cases in this study cannot be compared. The flood map in Figure 1 exhibits a dendritic pattern like river networks, which looks like the results of fluvial floods rather than pluvial floods. The second case in Manila has a more reasonable spatial pattern on historical flood events.</w:t>
      </w:r>
      <w:r w:rsidRPr="00267DBF">
        <w:rPr>
          <w:lang w:val="en-US"/>
        </w:rPr>
        <w:br/>
      </w:r>
      <w:r w:rsidRPr="00267DBF">
        <w:rPr>
          <w:rStyle w:val="a4"/>
          <w:lang w:val="en-US"/>
        </w:rPr>
        <w:t>reply:</w:t>
      </w:r>
      <w:r w:rsidRPr="00267DBF">
        <w:rPr>
          <w:lang w:val="en-US"/>
        </w:rPr>
        <w:t xml:space="preserve"> We have revised the analysis to address the issue of comparing the two cases. We have clarified the differences in flood patterns and ensured that the comparison is appropriate and relevant to the study’s focus on pluvial floods.</w:t>
      </w:r>
      <w:r w:rsidR="005D5BF7">
        <w:rPr>
          <w:lang w:val="en-US"/>
        </w:rPr>
        <w:t xml:space="preserve"> (</w:t>
      </w:r>
      <w:r w:rsidR="005D5BF7" w:rsidRPr="005D5BF7">
        <w:rPr>
          <w:color w:val="FF0000"/>
          <w:lang w:val="en-US"/>
        </w:rPr>
        <w:t>see Discussion)</w:t>
      </w:r>
    </w:p>
    <w:p w14:paraId="208F5201" w14:textId="24D94CA4" w:rsidR="00267DBF" w:rsidRPr="00267DBF" w:rsidRDefault="00267DBF" w:rsidP="00267DBF">
      <w:pPr>
        <w:pStyle w:val="a3"/>
        <w:rPr>
          <w:lang w:val="en-US"/>
        </w:rPr>
      </w:pPr>
      <w:r w:rsidRPr="00664A6F">
        <w:rPr>
          <w:rFonts w:hAnsi="Symbol"/>
          <w:highlight w:val="yellow"/>
        </w:rPr>
        <w:t></w:t>
      </w:r>
      <w:r w:rsidRPr="00664A6F">
        <w:rPr>
          <w:highlight w:val="yellow"/>
          <w:lang w:val="en-US"/>
        </w:rPr>
        <w:t xml:space="preserve">  </w:t>
      </w:r>
      <w:r w:rsidRPr="00664A6F">
        <w:rPr>
          <w:rStyle w:val="a4"/>
          <w:highlight w:val="yellow"/>
          <w:lang w:val="en-US"/>
        </w:rPr>
        <w:t>Impact of Number of Classes on Model Performance</w:t>
      </w:r>
      <w:r w:rsidRPr="00664A6F">
        <w:rPr>
          <w:highlight w:val="yellow"/>
          <w:lang w:val="en-US"/>
        </w:rPr>
        <w:t>:</w:t>
      </w:r>
      <w:r w:rsidRPr="00267DBF">
        <w:rPr>
          <w:lang w:val="en-US"/>
        </w:rPr>
        <w:br/>
      </w:r>
      <w:r w:rsidRPr="00267DBF">
        <w:rPr>
          <w:rStyle w:val="a4"/>
          <w:lang w:val="en-US"/>
        </w:rPr>
        <w:t>comment:</w:t>
      </w:r>
      <w:r w:rsidRPr="00267DBF">
        <w:rPr>
          <w:lang w:val="en-US"/>
        </w:rPr>
        <w:t xml:space="preserve"> Does the number of classes in the target variable impact the model performance? What if the flood height in the Manila dataset was reclassified into five classes?</w:t>
      </w:r>
      <w:r w:rsidRPr="00267DBF">
        <w:rPr>
          <w:lang w:val="en-US"/>
        </w:rPr>
        <w:br/>
      </w:r>
      <w:r w:rsidRPr="00267DBF">
        <w:rPr>
          <w:rStyle w:val="a4"/>
          <w:lang w:val="en-US"/>
        </w:rPr>
        <w:t>reply:</w:t>
      </w:r>
      <w:r w:rsidRPr="00267DBF">
        <w:rPr>
          <w:lang w:val="en-US"/>
        </w:rPr>
        <w:t xml:space="preserve"> We have included an analysis of how the number of classes in the target variable impacts model performance. Additionally, we have examined the effect of reclassifying flood height in the Manila dataset into five classes and included these findings in the revised manuscript.</w:t>
      </w:r>
      <w:r w:rsidR="005D5BF7">
        <w:rPr>
          <w:lang w:val="en-US"/>
        </w:rPr>
        <w:t xml:space="preserve"> </w:t>
      </w:r>
      <w:bookmarkStart w:id="0" w:name="_GoBack"/>
      <w:r w:rsidR="005D5BF7" w:rsidRPr="005D5BF7">
        <w:rPr>
          <w:color w:val="FF0000"/>
          <w:lang w:val="en-US"/>
        </w:rPr>
        <w:t>(section 3.2)</w:t>
      </w:r>
      <w:bookmarkEnd w:id="0"/>
    </w:p>
    <w:p w14:paraId="3549B8BF" w14:textId="344B8999" w:rsidR="00267DBF" w:rsidRPr="00267DBF" w:rsidRDefault="00267DBF" w:rsidP="00267DBF">
      <w:pPr>
        <w:pStyle w:val="a3"/>
        <w:rPr>
          <w:lang w:val="en-US"/>
        </w:rPr>
      </w:pPr>
      <w:r w:rsidRPr="008B29CA">
        <w:rPr>
          <w:rFonts w:hAnsi="Symbol"/>
          <w:highlight w:val="yellow"/>
        </w:rPr>
        <w:t></w:t>
      </w:r>
      <w:r w:rsidRPr="008B29CA">
        <w:rPr>
          <w:highlight w:val="yellow"/>
          <w:lang w:val="en-US"/>
        </w:rPr>
        <w:t xml:space="preserve">  </w:t>
      </w:r>
      <w:r w:rsidRPr="008B29CA">
        <w:rPr>
          <w:rStyle w:val="a4"/>
          <w:highlight w:val="yellow"/>
          <w:lang w:val="en-US"/>
        </w:rPr>
        <w:t>Support for Conclusion</w:t>
      </w:r>
      <w:r w:rsidRPr="008B29CA">
        <w:rPr>
          <w:highlight w:val="yellow"/>
          <w:lang w:val="en-US"/>
        </w:rPr>
        <w:t>:</w:t>
      </w:r>
      <w:r w:rsidRPr="00267DBF">
        <w:rPr>
          <w:lang w:val="en-US"/>
        </w:rPr>
        <w:br/>
      </w:r>
      <w:r w:rsidRPr="00267DBF">
        <w:rPr>
          <w:rStyle w:val="a4"/>
          <w:lang w:val="en-US"/>
        </w:rPr>
        <w:t>comment:</w:t>
      </w:r>
      <w:r w:rsidRPr="00267DBF">
        <w:rPr>
          <w:lang w:val="en-US"/>
        </w:rPr>
        <w:t xml:space="preserve"> Conclusion: Which part of the analysis supports this point?</w:t>
      </w:r>
      <w:r w:rsidRPr="00267DBF">
        <w:rPr>
          <w:lang w:val="en-US"/>
        </w:rPr>
        <w:br/>
      </w:r>
      <w:r w:rsidRPr="00267DBF">
        <w:rPr>
          <w:rStyle w:val="a4"/>
          <w:lang w:val="en-US"/>
        </w:rPr>
        <w:t>reply:</w:t>
      </w:r>
      <w:r w:rsidRPr="00267DBF">
        <w:rPr>
          <w:lang w:val="en-US"/>
        </w:rPr>
        <w:t xml:space="preserve"> We have revised the </w:t>
      </w:r>
      <w:r w:rsidR="00664A6F">
        <w:rPr>
          <w:lang w:val="en-US"/>
        </w:rPr>
        <w:t>manuscript</w:t>
      </w:r>
      <w:r w:rsidRPr="00267DBF">
        <w:rPr>
          <w:lang w:val="en-US"/>
        </w:rPr>
        <w:t xml:space="preserve"> to clearly reference the specific parts of the analysis that support the conclusions drawn. </w:t>
      </w:r>
    </w:p>
    <w:p w14:paraId="68413CB1" w14:textId="77777777" w:rsidR="002437C1" w:rsidRPr="00267DBF" w:rsidRDefault="005D5BF7">
      <w:pPr>
        <w:rPr>
          <w:lang w:val="en-US"/>
        </w:rPr>
      </w:pPr>
    </w:p>
    <w:sectPr w:rsidR="002437C1" w:rsidRPr="00267D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BF"/>
    <w:rsid w:val="00020CF5"/>
    <w:rsid w:val="00077784"/>
    <w:rsid w:val="00267DBF"/>
    <w:rsid w:val="00415973"/>
    <w:rsid w:val="005D5BF7"/>
    <w:rsid w:val="00664A6F"/>
    <w:rsid w:val="008B29CA"/>
    <w:rsid w:val="00A07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CF60"/>
  <w15:chartTrackingRefBased/>
  <w15:docId w15:val="{6050F715-FE03-467F-8A04-F924E8A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7D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67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2024-08-02T07:43:00Z</dcterms:created>
  <dcterms:modified xsi:type="dcterms:W3CDTF">2024-08-04T03:39:00Z</dcterms:modified>
</cp:coreProperties>
</file>