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NAM</w:t>
      </w:r>
    </w:p>
    <w:p>
      <w:pPr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29/01/2015</w:t>
      </w:r>
    </w:p>
    <w:p>
      <w:pPr>
        <w:tabs>
          <w:tab w:val="center" w:pos="7920" w:leader="none"/>
        </w:tabs>
        <w:spacing w:before="240" w:after="0" w:line="240"/>
        <w:ind w:right="-15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BIÊN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ẢN HỌP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ÓM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Nhóm TEXAS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ời gian,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ểm,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ần tham gia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gian: từ 13h30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16h30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ngày 29/01/2015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501 tòa nhà C1T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ĐHQGHN.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ông/bà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Duy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Minh Trang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Mạnh Duy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(Đi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ộn)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ội dung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nhất nội dung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sprint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triển khai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nhất lịch họp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kế logo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ết</w:t>
      </w:r>
    </w:p>
    <w:p>
      <w:pPr>
        <w:numPr>
          <w:ilvl w:val="0"/>
          <w:numId w:val="12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ống nhất nội dung dự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án: EasiLendar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tắt của “Easy Calendar”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ản: Phần mềm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bộ với ứng dụng lịch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nhân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ữ.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các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share lịch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cho nhau.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nhân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dựa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hẹn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ửi “request”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nhận,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 phản hồi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nhận.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âng cao: coming soon…</w:t>
      </w:r>
    </w:p>
    <w:p>
      <w:pPr>
        <w:numPr>
          <w:ilvl w:val="0"/>
          <w:numId w:val="14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 sprint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ần triển khai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bao gồm 5 sprints: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Sprint 1: Demo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giao diện phải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ỉnh.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Sprint 2: Tích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Google Calendar, viết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ứng dụng lịch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êng,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Sprint 3: Tích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è.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Sprint 4: Tích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cho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mạng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 hẹn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ò, lên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họp.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Sprint 5: 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phần mềm. Public bản close beta.</w:t>
      </w:r>
    </w:p>
    <w:p>
      <w:pPr>
        <w:numPr>
          <w:ilvl w:val="0"/>
          <w:numId w:val="16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ống nhất lịch họp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họp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thống nhất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sau: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thứ 5 13h30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16h30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501 C1T: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việc cần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trong sprint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ới;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cáo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làm và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quả.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chủ nhật 13h30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16h30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theo tuần: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ạc 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ắc mắc,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sinh;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tiến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giao; demo phần mềm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khi demo trực tiếp tại lớp.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Chú ý: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gian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theo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ảnh.</w:t>
      </w:r>
    </w:p>
    <w:p>
      <w:pPr>
        <w:numPr>
          <w:ilvl w:val="0"/>
          <w:numId w:val="18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kế logo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Giddyup Std" w:hAnsi="Giddyup Std" w:cs="Giddyup Std" w:eastAsia="Giddyup Std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“EasiLendar” font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Giddyup Std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sau: </w:t>
      </w:r>
      <w:r>
        <w:rPr>
          <w:rFonts w:ascii="Giddyup Std" w:hAnsi="Giddyup Std" w:cs="Giddyup Std" w:eastAsia="Giddyup Std"/>
          <w:color w:val="auto"/>
          <w:spacing w:val="0"/>
          <w:position w:val="0"/>
          <w:sz w:val="52"/>
          <w:shd w:fill="auto" w:val="clear"/>
        </w:rPr>
        <w:t xml:space="preserve">EasiLendar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ởng: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cà phê, tách trên có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ói, tách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ói.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Màu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center" w:pos="7920" w:leader="none"/>
        </w:tabs>
        <w:spacing w:before="0" w:after="0" w:line="240"/>
        <w:ind w:right="-150" w:left="108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Mã màu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#33CCCC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RGB 51 204 204</w:t>
      </w:r>
    </w:p>
    <w:p>
      <w:pPr>
        <w:tabs>
          <w:tab w:val="center" w:pos="7920" w:leader="none"/>
        </w:tabs>
        <w:spacing w:before="0" w:after="0" w:line="240"/>
        <w:ind w:right="-150" w:left="108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Mã màu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ậm #419696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RGB 65 150 150</w:t>
      </w:r>
    </w:p>
    <w:p>
      <w:pPr>
        <w:tabs>
          <w:tab w:val="center" w:pos="7920" w:leader="none"/>
        </w:tabs>
        <w:spacing w:before="0" w:after="0" w:line="240"/>
        <w:ind w:right="-150" w:left="108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Màu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#FFFFFF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255 255 255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Mô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ỏng: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522" w:dyaOrig="3543">
          <v:rect xmlns:o="urn:schemas-microsoft-com:office:office" xmlns:v="urn:schemas-microsoft-com:vml" id="rectole0000000000" style="width:176.100000pt;height:17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2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ệc cần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àm</w:t>
      </w:r>
    </w:p>
    <w:p>
      <w:pPr>
        <w:tabs>
          <w:tab w:val="center" w:pos="7920" w:leader="none"/>
        </w:tabs>
        <w:spacing w:before="0" w:after="0" w:line="240"/>
        <w:ind w:right="-15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trong vòng 1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bao gồm: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HTML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thể HTML3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CSS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thể CSS3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Javascript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Angular.JS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Ionic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sẽ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theo.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Chú ý: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dung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bàn có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thay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ổi khi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 khi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5/5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viên. Không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 thuộc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 nhóm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ởng.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óm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chỉ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trách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ốc, nhắc nhở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viên nhóm mình, và có quy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ền lợi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đương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thành viên.</w:t>
      </w:r>
    </w:p>
    <w:p>
      <w:pPr>
        <w:tabs>
          <w:tab w:val="center" w:pos="792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center" w:pos="792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29/01/2015</w:t>
      </w: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Các thành viên</w:t>
      </w: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ã ký)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