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A1A1A"/>
        </w:rPr>
        <w:t>QFix Widget</w:t>
      </w:r>
    </w:p>
    <w:p>
      <w:r>
        <w:t>Add Reparera, Måttanpassa and Skötsel buttons to your product pages.</w:t>
        <w:br/>
        <w:br/>
        <w:t>When a customer clicks a button, they go directly to the QFix booking page for that product and service.</w:t>
      </w:r>
    </w:p>
    <w:p>
      <w:r>
        <w:t xml:space="preserve">Live example: </w:t>
      </w:r>
      <w:r>
        <w:rPr>
          <w:color w:val="0057A8"/>
        </w:rPr>
        <w:t>https://qfix.fly.dev/demo/example/</w:t>
      </w:r>
    </w:p>
    <w:p>
      <w:pPr>
        <w:pStyle w:val="Heading2"/>
      </w:pPr>
      <w:r>
        <w:rPr>
          <w:color w:val="1A1A1A"/>
        </w:rPr>
        <w:t>Add to your page</w:t>
      </w:r>
    </w:p>
    <w:p>
      <w:r>
        <w:t>Place this HTML where you want the buttons:</w:t>
      </w:r>
    </w:p>
    <w:p>
      <w:pPr>
        <w:spacing w:before="120" w:after="120"/>
        <w:ind w:left="432"/>
      </w:pPr>
      <w:r>
        <w:rPr>
          <w:rFonts w:ascii="Courier New" w:hAnsi="Courier New"/>
          <w:color w:val="333333"/>
          <w:sz w:val="18"/>
        </w:rPr>
        <w:t>&lt;!-- Place where you want the buttons --&gt;</w:t>
        <w:br/>
        <w:t>&lt;div data-qfix data-product-id="YOUR_PRODUCT_ID" data-brand="YOUR_BRAND"&gt;&lt;/div&gt;</w:t>
        <w:br/>
        <w:br/>
        <w:t>&lt;!-- Before &lt;/body&gt; --&gt;</w:t>
        <w:br/>
        <w:t>&lt;script src="https://qfix.fly.dev/widget/v1.js"</w:t>
        <w:br/>
        <w:t xml:space="preserve">        data-api-base="https://qfix.fly.dev" defer&gt;&lt;/script&gt;</w:t>
      </w:r>
    </w:p>
    <w:p>
      <w:r>
        <w:t>Replace:</w:t>
      </w:r>
    </w:p>
    <w:p>
      <w:pPr>
        <w:pStyle w:val="ListBullet"/>
      </w:pPr>
      <w:r>
        <w:t>YOUR_PRODUCT_ID with the product's article number (e.g. 846030)</w:t>
      </w:r>
    </w:p>
    <w:p>
      <w:pPr>
        <w:pStyle w:val="ListBullet"/>
      </w:pPr>
      <w:r>
        <w:t>YOUR_BRAND with your brand identifier (see table below)</w:t>
      </w:r>
    </w:p>
    <w:p>
      <w:pPr>
        <w:pStyle w:val="Heading3"/>
      </w:pPr>
      <w:r>
        <w:rPr>
          <w:color w:val="1A1A1A"/>
        </w:rPr>
        <w:t>Brand identifiers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Brand</w:t>
            </w:r>
          </w:p>
        </w:tc>
        <w:tc>
          <w:tcPr>
            <w:tcW w:type="dxa" w:w="4320"/>
          </w:tcPr>
          <w:p>
            <w:r>
              <w:t>data-brand value</w:t>
            </w:r>
          </w:p>
        </w:tc>
      </w:tr>
      <w:tr>
        <w:tc>
          <w:tcPr>
            <w:tcW w:type="dxa" w:w="4320"/>
          </w:tcPr>
          <w:p>
            <w:r>
              <w:t>KappAhl</w:t>
            </w:r>
          </w:p>
        </w:tc>
        <w:tc>
          <w:tcPr>
            <w:tcW w:type="dxa" w:w="4320"/>
          </w:tcPr>
          <w:p>
            <w:r>
              <w:t>kappahl</w:t>
            </w:r>
          </w:p>
        </w:tc>
      </w:tr>
      <w:tr>
        <w:tc>
          <w:tcPr>
            <w:tcW w:type="dxa" w:w="4320"/>
          </w:tcPr>
          <w:p>
            <w:r>
              <w:t>Gina Tricot</w:t>
            </w:r>
          </w:p>
        </w:tc>
        <w:tc>
          <w:tcPr>
            <w:tcW w:type="dxa" w:w="4320"/>
          </w:tcPr>
          <w:p>
            <w:r>
              <w:t>ginatricot</w:t>
            </w:r>
          </w:p>
        </w:tc>
      </w:tr>
      <w:tr>
        <w:tc>
          <w:tcPr>
            <w:tcW w:type="dxa" w:w="4320"/>
          </w:tcPr>
          <w:p>
            <w:r>
              <w:t>Eton</w:t>
            </w:r>
          </w:p>
        </w:tc>
        <w:tc>
          <w:tcPr>
            <w:tcW w:type="dxa" w:w="4320"/>
          </w:tcPr>
          <w:p>
            <w:r>
              <w:t>eton</w:t>
            </w:r>
          </w:p>
        </w:tc>
      </w:tr>
      <w:tr>
        <w:tc>
          <w:tcPr>
            <w:tcW w:type="dxa" w:w="4320"/>
          </w:tcPr>
          <w:p>
            <w:r>
              <w:t>Nudie Jeans</w:t>
            </w:r>
          </w:p>
        </w:tc>
        <w:tc>
          <w:tcPr>
            <w:tcW w:type="dxa" w:w="4320"/>
          </w:tcPr>
          <w:p>
            <w:r>
              <w:t>nudie</w:t>
            </w:r>
          </w:p>
        </w:tc>
      </w:tr>
      <w:tr>
        <w:tc>
          <w:tcPr>
            <w:tcW w:type="dxa" w:w="4320"/>
          </w:tcPr>
          <w:p>
            <w:r>
              <w:t>Lindex</w:t>
            </w:r>
          </w:p>
        </w:tc>
        <w:tc>
          <w:tcPr>
            <w:tcW w:type="dxa" w:w="4320"/>
          </w:tcPr>
          <w:p>
            <w:r>
              <w:t>lindex</w:t>
            </w:r>
          </w:p>
        </w:tc>
      </w:tr>
    </w:tbl>
    <w:p/>
    <w:p>
      <w:pPr>
        <w:pStyle w:val="Heading2"/>
      </w:pPr>
      <w:r>
        <w:rPr>
          <w:color w:val="1A1A1A"/>
        </w:rPr>
        <w:t>All buttons or single button</w:t>
      </w:r>
    </w:p>
    <w:p>
      <w:r>
        <w:t>All three buttons — leave data-qfix empty:</w:t>
      </w:r>
    </w:p>
    <w:p>
      <w:pPr>
        <w:spacing w:before="120" w:after="120"/>
        <w:ind w:left="432"/>
      </w:pPr>
      <w:r>
        <w:rPr>
          <w:rFonts w:ascii="Courier New" w:hAnsi="Courier New"/>
          <w:color w:val="333333"/>
          <w:sz w:val="18"/>
        </w:rPr>
        <w:t>&lt;div data-qfix data-product-id="846030" data-brand="kappahl"&gt;&lt;/div&gt;</w:t>
      </w:r>
    </w:p>
    <w:p>
      <w:r>
        <w:t>Single button — set data-qfix to the service you want:</w:t>
      </w:r>
    </w:p>
    <w:p>
      <w:pPr>
        <w:spacing w:before="120" w:after="120"/>
        <w:ind w:left="432"/>
      </w:pPr>
      <w:r>
        <w:rPr>
          <w:rFonts w:ascii="Courier New" w:hAnsi="Courier New"/>
          <w:color w:val="333333"/>
          <w:sz w:val="18"/>
        </w:rPr>
        <w:t>&lt;div data-qfix="repair" data-product-id="846030" data-brand="kappahl"&gt;&lt;/div&gt;</w:t>
        <w:br/>
        <w:t>&lt;div data-qfix="adjustment" data-product-id="846030" data-brand="kappahl"&gt;&lt;/div&gt;</w:t>
        <w:br/>
        <w:t>&lt;div data-qfix="care" data-product-id="846030" data-brand="kappahl"&gt;&lt;/div&gt;</w:t>
      </w:r>
    </w:p>
    <w:p>
      <w:r>
        <w:t>Each div renders independently, so you can place them anywhere on the page.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data-qfix value</w:t>
            </w:r>
          </w:p>
        </w:tc>
        <w:tc>
          <w:tcPr>
            <w:tcW w:type="dxa" w:w="4320"/>
          </w:tcPr>
          <w:p>
            <w:r>
              <w:t>Button</w:t>
            </w:r>
          </w:p>
        </w:tc>
      </w:tr>
      <w:tr>
        <w:tc>
          <w:tcPr>
            <w:tcW w:type="dxa" w:w="4320"/>
          </w:tcPr>
          <w:p>
            <w:r>
              <w:t>(empty)</w:t>
            </w:r>
          </w:p>
        </w:tc>
        <w:tc>
          <w:tcPr>
            <w:tcW w:type="dxa" w:w="4320"/>
          </w:tcPr>
          <w:p>
            <w:r>
              <w:t>All three</w:t>
            </w:r>
          </w:p>
        </w:tc>
      </w:tr>
      <w:tr>
        <w:tc>
          <w:tcPr>
            <w:tcW w:type="dxa" w:w="4320"/>
          </w:tcPr>
          <w:p>
            <w:r>
              <w:t>repair</w:t>
            </w:r>
          </w:p>
        </w:tc>
        <w:tc>
          <w:tcPr>
            <w:tcW w:type="dxa" w:w="4320"/>
          </w:tcPr>
          <w:p>
            <w:r>
              <w:t>Reparera</w:t>
            </w:r>
          </w:p>
        </w:tc>
      </w:tr>
      <w:tr>
        <w:tc>
          <w:tcPr>
            <w:tcW w:type="dxa" w:w="4320"/>
          </w:tcPr>
          <w:p>
            <w:r>
              <w:t>adjustment</w:t>
            </w:r>
          </w:p>
        </w:tc>
        <w:tc>
          <w:tcPr>
            <w:tcW w:type="dxa" w:w="4320"/>
          </w:tcPr>
          <w:p>
            <w:r>
              <w:t>Måttanpassa</w:t>
            </w:r>
          </w:p>
        </w:tc>
      </w:tr>
      <w:tr>
        <w:tc>
          <w:tcPr>
            <w:tcW w:type="dxa" w:w="4320"/>
          </w:tcPr>
          <w:p>
            <w:r>
              <w:t>care</w:t>
            </w:r>
          </w:p>
        </w:tc>
        <w:tc>
          <w:tcPr>
            <w:tcW w:type="dxa" w:w="4320"/>
          </w:tcPr>
          <w:p>
            <w:r>
              <w:t>Skötsel</w:t>
            </w:r>
          </w:p>
        </w:tc>
      </w:tr>
    </w:tbl>
    <w:p/>
    <w:p>
      <w:pPr>
        <w:pStyle w:val="Heading2"/>
      </w:pPr>
      <w:r>
        <w:rPr>
          <w:color w:val="1A1A1A"/>
        </w:rPr>
        <w:t>Full page example</w:t>
      </w:r>
    </w:p>
    <w:p>
      <w:pPr>
        <w:spacing w:before="120" w:after="120"/>
        <w:ind w:left="432"/>
      </w:pPr>
      <w:r>
        <w:rPr>
          <w:rFonts w:ascii="Courier New" w:hAnsi="Courier New"/>
          <w:color w:val="333333"/>
          <w:sz w:val="18"/>
        </w:rPr>
        <w:t>&lt;!DOCTYPE html&gt;</w:t>
        <w:br/>
        <w:t>&lt;html lang="sv"&gt;</w:t>
        <w:br/>
        <w:t>&lt;head&gt;</w:t>
        <w:br/>
        <w:t xml:space="preserve">  &lt;meta charset="UTF-8"&gt;</w:t>
        <w:br/>
        <w:t xml:space="preserve">  &lt;title&gt;Product Page&lt;/title&gt;</w:t>
        <w:br/>
        <w:t>&lt;/head&gt;</w:t>
        <w:br/>
        <w:t>&lt;body&gt;</w:t>
        <w:br/>
        <w:t xml:space="preserve">  &lt;h1&gt;Hoodie med dragkedja&lt;/h1&gt;</w:t>
        <w:br/>
        <w:t xml:space="preserve">  &lt;p&gt;299 kr&lt;/p&gt;</w:t>
        <w:br/>
        <w:t xml:space="preserve">  &lt;button&gt;Lagg i varukorgen&lt;/button&gt;</w:t>
        <w:br/>
        <w:br/>
        <w:t xml:space="preserve">  &lt;!-- All QFix buttons --&gt;</w:t>
        <w:br/>
        <w:t xml:space="preserve">  &lt;div data-qfix data-product-id="846030" data-brand="kappahl"&gt;&lt;/div&gt;</w:t>
        <w:br/>
        <w:br/>
        <w:t xml:space="preserve">  &lt;!-- Or pick one --&gt;</w:t>
        <w:br/>
        <w:t xml:space="preserve">  &lt;div data-qfix="repair" data-product-id="846030" data-brand="kappahl"&gt;&lt;/div&gt;</w:t>
        <w:br/>
        <w:br/>
        <w:t xml:space="preserve">  &lt;script src="https://qfix.fly.dev/widget/v1.js"</w:t>
        <w:br/>
        <w:t xml:space="preserve">          data-api-base="https://qfix.fly.dev" defer&gt;&lt;/script&gt;</w:t>
        <w:br/>
        <w:t>&lt;/body&gt;</w:t>
        <w:br/>
        <w:t>&lt;/html&gt;</w:t>
      </w:r>
    </w:p>
    <w:p>
      <w:pPr>
        <w:pStyle w:val="Heading2"/>
      </w:pPr>
      <w:r>
        <w:rPr>
          <w:color w:val="1A1A1A"/>
        </w:rPr>
        <w:t>Customize the look</w:t>
      </w:r>
    </w:p>
    <w:p>
      <w:r>
        <w:t>Override the default styles with CSS:</w:t>
      </w:r>
    </w:p>
    <w:p>
      <w:pPr>
        <w:spacing w:before="120" w:after="120"/>
        <w:ind w:left="432"/>
      </w:pPr>
      <w:r>
        <w:rPr>
          <w:rFonts w:ascii="Courier New" w:hAnsi="Courier New"/>
          <w:color w:val="333333"/>
          <w:sz w:val="18"/>
        </w:rPr>
        <w:t>/* Button color */</w:t>
        <w:br/>
        <w:t>.qfix-widget .qfix-btn {</w:t>
        <w:br/>
        <w:t xml:space="preserve">  background: #0057a8;</w:t>
        <w:br/>
        <w:t>}</w:t>
        <w:br/>
        <w:t>.qfix-widget .qfix-btn:hover {</w:t>
        <w:br/>
        <w:t xml:space="preserve">  background: #004080;</w:t>
        <w:br/>
        <w:t>}</w:t>
        <w:br/>
        <w:br/>
        <w:t>/* Border radius */</w:t>
        <w:br/>
        <w:t>.qfix-widget .qfix-btn {</w:t>
        <w:br/>
        <w:t xml:space="preserve">  border-radius: 8px;</w:t>
        <w:br/>
        <w:t>}</w:t>
        <w:br/>
        <w:br/>
        <w:t>/* Font */</w:t>
        <w:br/>
        <w:t>.qfix-widget .qfix-btn {</w:t>
        <w:br/>
        <w:t xml:space="preserve">  font-family: "Your Font", sans-serif;</w:t>
        <w:br/>
        <w:t>}</w:t>
      </w:r>
    </w:p>
    <w:p>
      <w:pPr>
        <w:pStyle w:val="Heading3"/>
      </w:pPr>
      <w:r>
        <w:rPr>
          <w:color w:val="1A1A1A"/>
        </w:rPr>
        <w:t>Built-in themes</w:t>
      </w:r>
    </w:p>
    <w:p>
      <w:r>
        <w:t>Use data-theme for quick styling: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Theme</w:t>
            </w:r>
          </w:p>
        </w:tc>
        <w:tc>
          <w:tcPr>
            <w:tcW w:type="dxa" w:w="4320"/>
          </w:tcPr>
          <w:p>
            <w:r>
              <w:t>Look</w:t>
            </w:r>
          </w:p>
        </w:tc>
      </w:tr>
      <w:tr>
        <w:tc>
          <w:tcPr>
            <w:tcW w:type="dxa" w:w="4320"/>
          </w:tcPr>
          <w:p>
            <w:r>
              <w:t>(none)</w:t>
            </w:r>
          </w:p>
        </w:tc>
        <w:tc>
          <w:tcPr>
            <w:tcW w:type="dxa" w:w="4320"/>
          </w:tcPr>
          <w:p>
            <w:r>
              <w:t>Gray pill buttons (default)</w:t>
            </w:r>
          </w:p>
        </w:tc>
      </w:tr>
      <w:tr>
        <w:tc>
          <w:tcPr>
            <w:tcW w:type="dxa" w:w="4320"/>
          </w:tcPr>
          <w:p>
            <w:r>
              <w:t>light</w:t>
            </w:r>
          </w:p>
        </w:tc>
        <w:tc>
          <w:tcPr>
            <w:tcW w:type="dxa" w:w="4320"/>
          </w:tcPr>
          <w:p>
            <w:r>
              <w:t>Black buttons (for light backgrounds)</w:t>
            </w:r>
          </w:p>
        </w:tc>
      </w:tr>
      <w:tr>
        <w:tc>
          <w:tcPr>
            <w:tcW w:type="dxa" w:w="4320"/>
          </w:tcPr>
          <w:p>
            <w:r>
              <w:t>dark</w:t>
            </w:r>
          </w:p>
        </w:tc>
        <w:tc>
          <w:tcPr>
            <w:tcW w:type="dxa" w:w="4320"/>
          </w:tcPr>
          <w:p>
            <w:r>
              <w:t>White buttons (for dark backgrounds)</w:t>
            </w:r>
          </w:p>
        </w:tc>
      </w:tr>
    </w:tbl>
    <w:p/>
    <w:p>
      <w:r>
        <w:t>Example:</w:t>
      </w:r>
    </w:p>
    <w:p>
      <w:pPr>
        <w:spacing w:before="120" w:after="120"/>
        <w:ind w:left="432"/>
      </w:pPr>
      <w:r>
        <w:rPr>
          <w:rFonts w:ascii="Courier New" w:hAnsi="Courier New"/>
          <w:color w:val="333333"/>
          <w:sz w:val="18"/>
        </w:rPr>
        <w:t>&lt;div data-qfix data-product-id="846030" data-brand="kappahl" data-theme="light"&gt;&lt;/div&gt;</w:t>
      </w:r>
    </w:p>
    <w:p>
      <w:pPr>
        <w:pStyle w:val="Heading2"/>
      </w:pPr>
      <w:r>
        <w:rPr>
          <w:color w:val="1A1A1A"/>
        </w:rPr>
        <w:t>Versioning</w:t>
      </w:r>
    </w:p>
    <w:p>
      <w:r>
        <w:t>Always use the versioned URL (e.g. /widget/v1.js) in production. Versioned URLs are stable and won't change behavior. The unversioned /widget.js always serves the latest version.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URL</w:t>
            </w:r>
          </w:p>
        </w:tc>
        <w:tc>
          <w:tcPr>
            <w:tcW w:type="dxa" w:w="4320"/>
          </w:tcPr>
          <w:p>
            <w:r>
              <w:t>Behavior</w:t>
            </w:r>
          </w:p>
        </w:tc>
      </w:tr>
      <w:tr>
        <w:tc>
          <w:tcPr>
            <w:tcW w:type="dxa" w:w="4320"/>
          </w:tcPr>
          <w:p>
            <w:r>
              <w:t>/widget/v1.js</w:t>
            </w:r>
          </w:p>
        </w:tc>
        <w:tc>
          <w:tcPr>
            <w:tcW w:type="dxa" w:w="4320"/>
          </w:tcPr>
          <w:p>
            <w:r>
              <w:t>Stable — pinned to version 1 (recommended)</w:t>
            </w:r>
          </w:p>
        </w:tc>
      </w:tr>
      <w:tr>
        <w:tc>
          <w:tcPr>
            <w:tcW w:type="dxa" w:w="4320"/>
          </w:tcPr>
          <w:p>
            <w:r>
              <w:t>/widget.js</w:t>
            </w:r>
          </w:p>
        </w:tc>
        <w:tc>
          <w:tcPr>
            <w:tcW w:type="dxa" w:w="4320"/>
          </w:tcPr>
          <w:p>
            <w:r>
              <w:t>Always serves the latest version</w:t>
            </w:r>
          </w:p>
        </w:tc>
      </w:tr>
    </w:tbl>
    <w:p/>
    <w:p>
      <w:pPr>
        <w:pStyle w:val="Heading2"/>
      </w:pPr>
      <w:r>
        <w:rPr>
          <w:color w:val="1A1A1A"/>
        </w:rPr>
        <w:t>Single-page apps</w:t>
      </w:r>
    </w:p>
    <w:p>
      <w:r>
        <w:t>Re-initialize after dynamically adding widget elements:</w:t>
      </w:r>
    </w:p>
    <w:p>
      <w:pPr>
        <w:spacing w:before="120" w:after="120"/>
        <w:ind w:left="432"/>
      </w:pPr>
      <w:r>
        <w:rPr>
          <w:rFonts w:ascii="Courier New" w:hAnsi="Courier New"/>
          <w:color w:val="333333"/>
          <w:sz w:val="18"/>
        </w:rPr>
        <w:t>window.QFixWidget.init();</w:t>
      </w:r>
    </w:p>
    <w:p>
      <w:pPr>
        <w:pStyle w:val="Heading2"/>
      </w:pPr>
      <w:r>
        <w:rPr>
          <w:color w:val="1A1A1A"/>
        </w:rPr>
        <w:t>Questions?</w:t>
      </w:r>
    </w:p>
    <w:p>
      <w:r>
        <w:t>Contact the QFix team for help or to register your products.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