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0B0B"/>
          <w:sz w:val="40"/>
          <w:szCs w:val="40"/>
        </w:rPr>
        <w:t xml:space="preserve">Pro Forma Cheat Sheet</w:t>
      </w:r>
    </w:p>
    <w:p>
      <w:pPr>
        <w:spacing w:after="60" w:before="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39B"/>
          <w:sz w:val="22"/>
          <w:szCs w:val="22"/>
        </w:rPr>
        <w:t xml:space="preserve">Walters Hospitality</w:t>
      </w:r>
      <w:r>
        <w:rPr>
          <w:rFonts w:ascii="Calibri" w:cs="Calibri" w:eastAsia="Calibri" w:hAnsi="Calibri"/>
          <w:b/>
          <w:bCs/>
          <w:i w:val="false"/>
          <w:iCs w:val="false"/>
          <w:color w:val="52514E"/>
          <w:sz w:val="22"/>
          <w:szCs w:val="22"/>
        </w:rPr>
        <w:t xml:space="preserve">   |   Part 1: Pre-LOI</w:t>
      </w:r>
    </w:p>
    <w:p>
      <w:pPr>
        <w:pStyle w:val="Heading1"/>
        <w:pBdr>
          <w:bottom w:val="single" w:color="1A939B" w:sz="12" w:space="4"/>
        </w:pBdr>
        <w:spacing w:after="7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A939B"/>
          <w:sz w:val="30"/>
          <w:szCs w:val="30"/>
        </w:rPr>
        <w:t xml:space="preserve">1. Frame the venue</w:t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21"/>
                <w:szCs w:val="21"/>
              </w:rPr>
              <w:t xml:space="preserve">Market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Current market</w:t>
            </w:r>
          </w:p>
          <w:p>
            <w:pPr>
              <w:spacing w:after="1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939B"/>
                <w:sz w:val="16"/>
                <w:szCs w:val="16"/>
              </w:rPr>
              <w:t xml:space="preserve">vs.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New market</w:t>
            </w:r>
          </w:p>
        </w:tc>
        <w:tc>
          <w:tcPr>
            <w:tcW w:type="dxa" w:w="2628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21"/>
                <w:szCs w:val="21"/>
              </w:rPr>
              <w:t xml:space="preserve">Performing or growth?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Established, strong performer</w:t>
            </w:r>
          </w:p>
          <w:p>
            <w:pPr>
              <w:spacing w:after="1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939B"/>
                <w:sz w:val="16"/>
                <w:szCs w:val="16"/>
              </w:rPr>
              <w:t xml:space="preserve">vs.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Upside we can unlock</w:t>
            </w:r>
          </w:p>
        </w:tc>
        <w:tc>
          <w:tcPr>
            <w:tcW w:type="dxa" w:w="2628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21"/>
                <w:szCs w:val="21"/>
              </w:rPr>
              <w:t xml:space="preserve">Vendor services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What they offer today</w:t>
            </w:r>
          </w:p>
          <w:p>
            <w:pPr>
              <w:spacing w:after="1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939B"/>
                <w:sz w:val="16"/>
                <w:szCs w:val="16"/>
              </w:rPr>
              <w:t xml:space="preserve">vs.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What we bring</w:t>
            </w:r>
          </w:p>
        </w:tc>
        <w:tc>
          <w:tcPr>
            <w:tcW w:type="dxa" w:w="2628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21"/>
                <w:szCs w:val="21"/>
              </w:rPr>
              <w:t xml:space="preserve">Employee structure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Overstaffed vs. understaffed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Owner hands-on vs. hands-off</w:t>
            </w:r>
          </w:p>
        </w:tc>
      </w:tr>
    </w:tbl>
    <w:p>
      <w:pPr>
        <w:pStyle w:val="Heading1"/>
        <w:pBdr>
          <w:bottom w:val="single" w:color="1A939B" w:sz="12" w:space="4"/>
        </w:pBdr>
        <w:spacing w:after="7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A939B"/>
          <w:sz w:val="30"/>
          <w:szCs w:val="30"/>
        </w:rPr>
        <w:t xml:space="preserve">2. Key terms</w:t>
      </w:r>
    </w:p>
    <w:p>
      <w:pPr>
        <w:spacing w:after="30" w:before="30"/>
        <w:jc w:val="center"/>
      </w:pPr>
      <w:r>
        <w:drawing>
          <wp:inline distT="0" distB="0" distL="0" distR="0">
            <wp:extent cx="375285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7912"/>
      </w:tblGrid>
      <w:tr>
        <w:tc>
          <w:tcPr>
            <w:tcW w:type="dxa" w:w="26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20"/>
                <w:szCs w:val="20"/>
              </w:rPr>
              <w:t xml:space="preserve">Pro Forma Year 1 / 2 / 3</w:t>
            </w:r>
          </w:p>
        </w:tc>
        <w:tc>
          <w:tcPr>
            <w:tcW w:type="dxa" w:w="7912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Year 1 starts the day we close.</w:t>
            </w:r>
          </w:p>
        </w:tc>
      </w:tr>
      <w:tr>
        <w:tc>
          <w:tcPr>
            <w:tcW w:type="dxa" w:w="26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20"/>
                <w:szCs w:val="20"/>
              </w:rPr>
              <w:t xml:space="preserve">OC events</w:t>
            </w:r>
          </w:p>
        </w:tc>
        <w:tc>
          <w:tcPr>
            <w:tcW w:type="dxa" w:w="7912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“Original Contract” events; booked prior to close by the sellers to occur post-close. We honor OC events as-is.</w:t>
            </w:r>
          </w:p>
        </w:tc>
      </w:tr>
      <w:tr>
        <w:tc>
          <w:tcPr>
            <w:tcW w:type="dxa" w:w="26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20"/>
                <w:szCs w:val="20"/>
              </w:rPr>
              <w:t xml:space="preserve">“Event” vs. “Contract”</w:t>
            </w:r>
          </w:p>
        </w:tc>
        <w:tc>
          <w:tcPr>
            <w:tcW w:type="dxa" w:w="7912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“Events” in Year 1 occur in Year 1.</w:t>
            </w:r>
          </w:p>
          <w:p>
            <w:pPr>
              <w:spacing w:after="2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“Contracts” in Year 1 are events booked in Year 1.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We only project Events pre-LOI.</w:t>
            </w:r>
          </w:p>
        </w:tc>
      </w:tr>
    </w:tbl>
    <w:p>
      <w:pPr>
        <w:pStyle w:val="Heading1"/>
        <w:pBdr>
          <w:bottom w:val="single" w:color="1A939B" w:sz="12" w:space="4"/>
        </w:pBdr>
        <w:spacing w:after="7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A939B"/>
          <w:sz w:val="30"/>
          <w:szCs w:val="30"/>
        </w:rPr>
        <w:t xml:space="preserve">3. Market</w:t>
      </w:r>
    </w:p>
    <w:p>
      <w:pPr>
        <w:spacing w:after="30" w:before="30"/>
        <w:jc w:val="center"/>
      </w:pPr>
      <w:r>
        <w:drawing>
          <wp:inline distT="0" distB="0" distL="0" distR="0">
            <wp:extent cx="3476625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00"/>
        <w:gridCol w:w="7212"/>
      </w:tblGrid>
      <w:tr>
        <w:tc>
          <w:tcPr>
            <w:tcW w:type="dxa" w:w="33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20"/>
                <w:szCs w:val="20"/>
              </w:rPr>
              <w:t xml:space="preserve">1  Current market, in hub range</w:t>
            </w:r>
          </w:p>
        </w:tc>
        <w:tc>
          <w:tcPr>
            <w:tcW w:type="dxa" w:w="7212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&lt;90-minute drive from each hub (Catering / Floral / Bakery).</w:t>
            </w:r>
          </w:p>
        </w:tc>
      </w:tr>
      <w:tr>
        <w:tc>
          <w:tcPr>
            <w:tcW w:type="dxa" w:w="33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20"/>
                <w:szCs w:val="20"/>
              </w:rPr>
              <w:t xml:space="preserve">2  Current market, outside hub range</w:t>
            </w:r>
          </w:p>
        </w:tc>
        <w:tc>
          <w:tcPr>
            <w:tcW w:type="dxa" w:w="7212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Part of the broader region, geographically and operationally.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Too far to utilize existing hubs.</w:t>
            </w:r>
          </w:p>
        </w:tc>
      </w:tr>
      <w:tr>
        <w:tc>
          <w:tcPr>
            <w:tcW w:type="dxa" w:w="33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20"/>
                <w:szCs w:val="20"/>
              </w:rPr>
              <w:t xml:space="preserve">3  New market</w:t>
            </w:r>
          </w:p>
        </w:tc>
        <w:tc>
          <w:tcPr>
            <w:tcW w:type="dxa" w:w="7212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A new region for Walters.</w:t>
            </w:r>
          </w:p>
        </w:tc>
      </w:tr>
    </w:tbl>
    <w:p>
      <w:pPr>
        <w:pStyle w:val="Heading1"/>
        <w:pBdr>
          <w:bottom w:val="single" w:color="1A939B" w:sz="12" w:space="4"/>
        </w:pBdr>
        <w:spacing w:after="7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A939B"/>
          <w:sz w:val="30"/>
          <w:szCs w:val="30"/>
        </w:rPr>
        <w:t xml:space="preserve">4. Top-Line Projections</w:t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21"/>
                <w:szCs w:val="21"/>
              </w:rPr>
              <w:t xml:space="preserve"># of Events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Historical average?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LTM vs. NTM?</w:t>
            </w:r>
          </w:p>
        </w:tc>
        <w:tc>
          <w:tcPr>
            <w:tcW w:type="dxa" w:w="3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21"/>
                <w:szCs w:val="21"/>
              </w:rPr>
              <w:t xml:space="preserve">% Attachment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Share of events that attach to each vendor service; based on Walters regional averages</w:t>
            </w:r>
          </w:p>
        </w:tc>
        <w:tc>
          <w:tcPr>
            <w:tcW w:type="dxa" w:w="3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21"/>
                <w:szCs w:val="21"/>
              </w:rPr>
              <w:t xml:space="preserve">$ / Event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Spend per event on each vendor service; based on Walters averages</w:t>
            </w:r>
          </w:p>
        </w:tc>
      </w:tr>
    </w:tbl>
    <w:p>
      <w:pPr>
        <w:spacing w:after="40" w:before="6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39B"/>
          <w:sz w:val="23"/>
          <w:szCs w:val="23"/>
        </w:rPr>
        <w:t xml:space="preserve">Vendor Services</w:t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00"/>
        <w:gridCol w:w="7212"/>
      </w:tblGrid>
      <w:tr>
        <w:tc>
          <w:tcPr>
            <w:tcW w:type="dxa" w:w="33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20"/>
                <w:szCs w:val="20"/>
              </w:rPr>
              <w:t xml:space="preserve">Bar</w:t>
            </w:r>
          </w:p>
        </w:tc>
        <w:tc>
          <w:tcPr>
            <w:tcW w:type="dxa" w:w="7212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Any market; on/off switch once we hold the liquor license.</w:t>
            </w:r>
          </w:p>
        </w:tc>
      </w:tr>
      <w:tr>
        <w:tc>
          <w:tcPr>
            <w:tcW w:type="dxa" w:w="33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20"/>
                <w:szCs w:val="20"/>
              </w:rPr>
              <w:t xml:space="preserve">Catering / Floral / Bakery</w:t>
            </w:r>
          </w:p>
        </w:tc>
        <w:tc>
          <w:tcPr>
            <w:tcW w:type="dxa" w:w="7212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Existing markets; depends on hub distance.</w:t>
            </w:r>
          </w:p>
        </w:tc>
      </w:tr>
      <w:tr>
        <w:tc>
          <w:tcPr>
            <w:tcW w:type="dxa" w:w="33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20"/>
                <w:szCs w:val="20"/>
              </w:rPr>
              <w:t xml:space="preserve">Photography / DJ / Stationery</w:t>
            </w:r>
          </w:p>
        </w:tc>
        <w:tc>
          <w:tcPr>
            <w:tcW w:type="dxa" w:w="7212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Any market; only need to hire and implement packages.</w:t>
            </w:r>
          </w:p>
        </w:tc>
      </w:tr>
    </w:tbl>
    <w:p>
      <w:pPr>
        <w:pBdr>
          <w:bottom w:val="single" w:color="B7DCDF" w:sz="4" w:space="1"/>
        </w:pBdr>
        <w:spacing w:after="40" w:before="30"/>
      </w:pPr>
    </w:p>
    <w:p>
      <w:pPr>
        <w:spacing w:after="30" w:before="8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0B0B"/>
          <w:sz w:val="20"/>
          <w:szCs w:val="20"/>
        </w:rPr>
        <w:t xml:space="preserve">Attachment ramp-up</w:t>
      </w:r>
    </w:p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514E"/>
          <w:sz w:val="19"/>
          <w:szCs w:val="19"/>
        </w:rPr>
        <w:t xml:space="preserve">Our typical assumption: ramp to the Walters average attachment by Year 3, adjusted for the venue.</w:t>
      </w:r>
    </w:p>
    <w:p>
      <w:pPr>
        <w:spacing w:after="30" w:before="30"/>
        <w:jc w:val="center"/>
      </w:pPr>
      <w:r>
        <w:drawing>
          <wp:inline distT="0" distB="0" distL="0" distR="0">
            <wp:extent cx="4848225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1A939B" w:sz="12" w:space="4"/>
        </w:pBdr>
        <w:spacing w:after="7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A939B"/>
          <w:sz w:val="30"/>
          <w:szCs w:val="30"/>
        </w:rPr>
        <w:t xml:space="preserve">5. Expenses</w:t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22"/>
                <w:szCs w:val="22"/>
              </w:rPr>
              <w:t xml:space="preserve">COGS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8"/>
                <w:szCs w:val="18"/>
              </w:rPr>
              <w:t xml:space="preserve">Historically driven by their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8"/>
                <w:szCs w:val="18"/>
              </w:rPr>
              <w:t xml:space="preserve">existing vendor services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8"/>
                <w:szCs w:val="18"/>
              </w:rPr>
              <w:t xml:space="preserve"> (if any); go-forward defers towards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8"/>
                <w:szCs w:val="18"/>
              </w:rPr>
              <w:t xml:space="preserve">our offerings and margins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8"/>
                <w:szCs w:val="18"/>
              </w:rPr>
              <w:t xml:space="preserve">Keep their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8"/>
                <w:szCs w:val="18"/>
              </w:rPr>
              <w:t xml:space="preserve">go-forward OC costs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8"/>
                <w:szCs w:val="18"/>
              </w:rPr>
              <w:t xml:space="preserve"> in mind (e.g. a required caterer's per-head cost on OC events)</w:t>
            </w:r>
          </w:p>
        </w:tc>
        <w:tc>
          <w:tcPr>
            <w:tcW w:type="dxa" w:w="3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22"/>
                <w:szCs w:val="22"/>
              </w:rPr>
              <w:t xml:space="preserve">Payroll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8"/>
                <w:szCs w:val="18"/>
              </w:rPr>
              <w:t xml:space="preserve">Current staff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8"/>
                <w:szCs w:val="18"/>
              </w:rPr>
              <w:t xml:space="preserve">Current or new market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8"/>
                <w:szCs w:val="18"/>
              </w:rPr>
              <w:t xml:space="preserve">Owner involvement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8"/>
                <w:szCs w:val="18"/>
              </w:rPr>
              <w:t xml:space="preserve">: what they pay themselves;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8"/>
                <w:szCs w:val="18"/>
              </w:rPr>
              <w:t xml:space="preserve">replacement cost</w:t>
            </w:r>
          </w:p>
        </w:tc>
        <w:tc>
          <w:tcPr>
            <w:tcW w:type="dxa" w:w="3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22"/>
                <w:szCs w:val="22"/>
              </w:rPr>
              <w:t xml:space="preserve">Operating expenses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8"/>
                <w:szCs w:val="18"/>
              </w:rPr>
              <w:t xml:space="preserve">Venue specific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8"/>
                <w:szCs w:val="18"/>
              </w:rPr>
              <w:t xml:space="preserve"> (utilities, maintenance)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8"/>
                <w:szCs w:val="18"/>
              </w:rPr>
              <w:t xml:space="preserve">Walters operational changes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8"/>
                <w:szCs w:val="18"/>
              </w:rPr>
              <w:t xml:space="preserve"> (marketing, insurance, finance expenses, professional services, etc.)</w:t>
            </w:r>
          </w:p>
        </w:tc>
      </w:tr>
    </w:tbl>
    <w:p>
      <w:r>
        <w:br w:type="page"/>
      </w:r>
    </w:p>
    <w:p>
      <w:pPr>
        <w:spacing w:after="60" w:before="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39B"/>
          <w:sz w:val="22"/>
          <w:szCs w:val="22"/>
        </w:rPr>
        <w:t xml:space="preserve">Walters Hospitality</w:t>
      </w:r>
      <w:r>
        <w:rPr>
          <w:rFonts w:ascii="Calibri" w:cs="Calibri" w:eastAsia="Calibri" w:hAnsi="Calibri"/>
          <w:b/>
          <w:bCs/>
          <w:i w:val="false"/>
          <w:iCs w:val="false"/>
          <w:color w:val="52514E"/>
          <w:sz w:val="22"/>
          <w:szCs w:val="22"/>
        </w:rPr>
        <w:t xml:space="preserve">   |   Part 2: Post-LOI</w:t>
      </w:r>
    </w:p>
    <w:p>
      <w:pPr>
        <w:pStyle w:val="Heading1"/>
        <w:pBdr>
          <w:bottom w:val="single" w:color="1A939B" w:sz="12" w:space="4"/>
        </w:pBdr>
        <w:spacing w:after="7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A939B"/>
          <w:sz w:val="30"/>
          <w:szCs w:val="30"/>
        </w:rPr>
        <w:t xml:space="preserve">6. Same process, more detail</w:t>
      </w:r>
    </w:p>
    <w:p>
      <w:pPr>
        <w:spacing w:after="6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514E"/>
          <w:sz w:val="19"/>
          <w:szCs w:val="19"/>
        </w:rPr>
        <w:t xml:space="preserve">Everything in Part 1 again, with updated event counts, financials and what we learned in diligence. Then we get in the weeds:</w:t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21"/>
                <w:szCs w:val="21"/>
              </w:rPr>
              <w:t xml:space="preserve">Employees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8"/>
                <w:szCs w:val="18"/>
              </w:rPr>
              <w:t xml:space="preserve">Role by role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8"/>
                <w:szCs w:val="18"/>
              </w:rPr>
              <w:t xml:space="preserve">: who stays, who we add, what each costs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8"/>
                <w:szCs w:val="18"/>
              </w:rPr>
              <w:t xml:space="preserve">Owner replacement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8"/>
                <w:szCs w:val="18"/>
              </w:rPr>
              <w:t xml:space="preserve"> if they step away</w:t>
            </w:r>
          </w:p>
        </w:tc>
        <w:tc>
          <w:tcPr>
            <w:tcW w:type="dxa" w:w="3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21"/>
                <w:szCs w:val="21"/>
              </w:rPr>
              <w:t xml:space="preserve">COGS and pricing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8"/>
                <w:szCs w:val="18"/>
              </w:rPr>
              <w:t xml:space="preserve">Lingering OC costs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8"/>
                <w:szCs w:val="18"/>
              </w:rPr>
              <w:t xml:space="preserve"> (e.g. a required caterer on booked events)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8"/>
                <w:szCs w:val="18"/>
              </w:rPr>
              <w:t xml:space="preserve">Go-forward pricing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8"/>
                <w:szCs w:val="18"/>
              </w:rPr>
              <w:t xml:space="preserve"> for the venue and each vendor service</w:t>
            </w:r>
          </w:p>
        </w:tc>
        <w:tc>
          <w:tcPr>
            <w:tcW w:type="dxa" w:w="3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21"/>
                <w:szCs w:val="21"/>
              </w:rPr>
              <w:t xml:space="preserve">Vendor service timing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8"/>
                <w:szCs w:val="18"/>
              </w:rPr>
              <w:t xml:space="preserve">Attach timeline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8"/>
                <w:szCs w:val="18"/>
              </w:rPr>
              <w:t xml:space="preserve"> by service: license, hubs, hiring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8"/>
                <w:szCs w:val="18"/>
              </w:rPr>
              <w:t xml:space="preserve">Ramp by month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8"/>
                <w:szCs w:val="18"/>
              </w:rPr>
              <w:t xml:space="preserve"> instead of by year</w:t>
            </w:r>
          </w:p>
        </w:tc>
      </w:tr>
    </w:tbl>
    <w:p>
      <w:pPr>
        <w:pStyle w:val="Heading1"/>
        <w:pBdr>
          <w:bottom w:val="single" w:color="1A939B" w:sz="12" w:space="4"/>
        </w:pBdr>
        <w:spacing w:after="7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A939B"/>
          <w:sz w:val="30"/>
          <w:szCs w:val="30"/>
        </w:rPr>
        <w:t xml:space="preserve">7. New step: Leads / Tours / Contracts</w:t>
      </w:r>
    </w:p>
    <w:p>
      <w:pPr>
        <w:spacing w:after="30" w:before="30"/>
        <w:jc w:val="center"/>
      </w:pPr>
      <w:r>
        <w:drawing>
          <wp:inline distT="0" distB="0" distL="0" distR="0">
            <wp:extent cx="603885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1A939B" w:sz="12" w:space="4"/>
        </w:pBdr>
        <w:spacing w:after="7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A939B"/>
          <w:sz w:val="30"/>
          <w:szCs w:val="30"/>
        </w:rPr>
        <w:t xml:space="preserve">8. Monthly build</w:t>
      </w:r>
    </w:p>
    <w:p>
      <w:pPr>
        <w:spacing w:after="30" w:before="30"/>
        <w:jc w:val="center"/>
      </w:pPr>
      <w:r>
        <w:drawing>
          <wp:inline distT="0" distB="0" distL="0" distR="0">
            <wp:extent cx="6219825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0B0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76f17a1ec2f1bed860b187aa82057ea2be7f91.png"/><Relationship Id="rId8" Type="http://schemas.openxmlformats.org/officeDocument/2006/relationships/image" Target="media/74497a4ba1e7fd6690a4b547838788590e961895.png"/><Relationship Id="rId9" Type="http://schemas.openxmlformats.org/officeDocument/2006/relationships/image" Target="media/e471a87d591532500719662d37552faf35e74c28.png"/><Relationship Id="rId10" Type="http://schemas.openxmlformats.org/officeDocument/2006/relationships/image" Target="media/76cb378d2c7f5d0aafe74095df769b6f0e6d3b62.png"/><Relationship Id="rId11" Type="http://schemas.openxmlformats.org/officeDocument/2006/relationships/image" Target="media/b541e4bc0b66756790e601deb0373a225d478ad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2026-09-07T16:52:14.099Z</dcterms:created>
  <dcterms:modified xsi:type="dcterms:W3CDTF">2026-09-07T16:52:14.099Z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