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40"/>
          <w:szCs w:val="40"/>
        </w:rPr>
        <w:t xml:space="preserve">Pro Forma Cheat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1: Pre-LOI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Established, strong performer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Upside we can unlock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offer today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we bring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vs. understaffed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hands-on vs. hands-off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30" w:before="30"/>
        <w:jc w:val="center"/>
      </w:pPr>
      <w:r>
        <w:drawing>
          <wp:inline distT="0" distB="0" distL="0" distR="0">
            <wp:extent cx="37528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Pro Forma 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“Original Contract” events; booked prior to close by the sellers to occur post-close. We honor OC events as-is.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“Event” vs. “Contract”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“Events” in Year 1 occur in Year 1.</w:t>
            </w:r>
          </w:p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“Contracts” in Year 1 are events booked in Year 1.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We only project Events pre-LOI.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30" w:before="30"/>
        <w:jc w:val="center"/>
      </w:pPr>
      <w:r>
        <w:drawing>
          <wp:inline distT="0" distB="0" distL="0" distR="0">
            <wp:extent cx="3476625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&lt;90-minute drive from each hub (Catering / Floral / Bakery).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Part of the broader region, geographically and operationally.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utilize existing hubs.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 new region for Walters.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# of Events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Historical average?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LTM vs. NTM?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% Attachment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Share of events that attach to each vendor service; based on Walters regional averages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$ / Event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Spend per event on each vendor service; based on Walters averages</w:t>
            </w:r>
          </w:p>
        </w:tc>
      </w:tr>
    </w:tbl>
    <w:p>
      <w:pPr>
        <w:spacing w:after="40" w:before="6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Vendor Services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Bar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on/off switch once we hold the liquor license.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Catering / Floral / Bakery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Existing markets; depends on hub distance.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Photography / DJ / Stationery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only need to hire and implement packages.</w:t>
            </w:r>
          </w:p>
        </w:tc>
      </w:tr>
    </w:tbl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adjusted for the venue.</w:t>
      </w:r>
    </w:p>
    <w:p>
      <w:pPr>
        <w:spacing w:after="30" w:before="30"/>
        <w:jc w:val="center"/>
      </w:pPr>
      <w:r>
        <w:drawing>
          <wp:inline distT="0" distB="0" distL="0" distR="0">
            <wp:extent cx="48482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Historically driven by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existing vendor services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(if any); go-forward defers towards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offerings and margins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OC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 mind (e.g. a required caterer's per-head cost on OC events)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staff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involvement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what they pay themselves;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Venue specific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(utilities, maintenance)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Walters operational changes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(marketing, insurance, finance expenses, professional services, etc.)</w:t>
            </w:r>
          </w:p>
        </w:tc>
      </w:tr>
    </w:tbl>
    <w:p>
      <w:r>
        <w:br w:type="page"/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2: Post-LOI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6. Same process, more detail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Everything in Part 1 again, with updated event counts, financials and what we learned in diligence. Then we get in the weeds: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Role by role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who stays, who we add, what each costs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replacement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if they step away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COGS and pricing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Lingering OC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(e.g. a required caterer on booked events)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pricing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for the venue and each vendor service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 timing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Attach timeline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by service: license, hubs, hiring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Ramp by month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instead of by year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7. New step: Leads / Tours / Contracts</w:t>
      </w:r>
    </w:p>
    <w:p>
      <w:pPr>
        <w:spacing w:after="30" w:before="30"/>
        <w:jc w:val="center"/>
      </w:pPr>
      <w:r>
        <w:drawing>
          <wp:inline distT="0" distB="0" distL="0" distR="0">
            <wp:extent cx="54864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8. Monthly build</w:t>
      </w:r>
    </w:p>
    <w:p>
      <w:pPr>
        <w:spacing w:after="30" w:before="30"/>
        <w:jc w:val="center"/>
      </w:pPr>
      <w:r>
        <w:drawing>
          <wp:inline distT="0" distB="0" distL="0" distR="0">
            <wp:extent cx="5667375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476f17a1ec2f1bed860b187aa82057ea2be7f91.png"/><Relationship Id="rId8" Type="http://schemas.openxmlformats.org/officeDocument/2006/relationships/image" Target="media/74497a4ba1e7fd6690a4b547838788590e961895.png"/><Relationship Id="rId9" Type="http://schemas.openxmlformats.org/officeDocument/2006/relationships/image" Target="media/e471a87d591532500719662d37552faf35e74c28.png"/><Relationship Id="rId10" Type="http://schemas.openxmlformats.org/officeDocument/2006/relationships/image" Target="media/834558cefe82304280c2bbe8e625321910178db1.png"/><Relationship Id="rId11" Type="http://schemas.openxmlformats.org/officeDocument/2006/relationships/image" Target="media/93f12eedb7869ee2bb42b997b78eb426694b2ad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2026-09-07T16:54:15.766Z</dcterms:created>
  <dcterms:modified xsi:type="dcterms:W3CDTF">2026-09-07T16:54:15.766Z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