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40"/>
          <w:szCs w:val="40"/>
        </w:rPr>
        <w:t xml:space="preserve">Pro Forma Cheat Sheet</w:t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2"/>
          <w:szCs w:val="22"/>
        </w:rPr>
        <w:t xml:space="preserve">Walters Hospitality</w:t>
      </w:r>
      <w:r>
        <w:rPr>
          <w:rFonts w:ascii="Calibri" w:cs="Calibri" w:eastAsia="Calibri" w:hAnsi="Calibri"/>
          <w:b/>
          <w:bCs/>
          <w:i w:val="false"/>
          <w:iCs w:val="false"/>
          <w:color w:val="52514E"/>
          <w:sz w:val="22"/>
          <w:szCs w:val="22"/>
        </w:rPr>
        <w:t xml:space="preserve">   |   Part 1: Pre-LOI</w:t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1. Frame the venue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Market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Current market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New market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Performing or growth?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Established, strong performer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Upside we can unlock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Vendor services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What they offer today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What we bring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Employee structure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Overstaffed vs. understaffed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Owner hands-on vs. hands-off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2. Key terms</w:t>
      </w:r>
    </w:p>
    <w:p>
      <w:pPr>
        <w:spacing w:after="30" w:before="30"/>
        <w:jc w:val="center"/>
      </w:pPr>
      <w:r>
        <w:drawing>
          <wp:inline distT="0" distB="0" distL="0" distR="0">
            <wp:extent cx="37528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7912"/>
      </w:tblGrid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Pro Forma Year 1 / 2 / 3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Year 1 starts the day we close.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OC events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“Original Contract” events; booked prior to close by the sellers to occur post-close. We honor OC events as-is.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“Event” vs. “Contract”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“Events” in Year 1 occur in Year 1.</w:t>
            </w:r>
          </w:p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“Contracts” in Year 1 are events booked in Year 1.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We only project Events pre-LOI.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3. Market</w:t>
      </w:r>
    </w:p>
    <w:p>
      <w:pPr>
        <w:spacing w:after="30" w:before="30"/>
        <w:jc w:val="center"/>
      </w:pPr>
      <w:r>
        <w:drawing>
          <wp:inline distT="0" distB="0" distL="0" distR="0">
            <wp:extent cx="3476625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300"/>
        <w:gridCol w:w="7212"/>
      </w:tblGrid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1  Current market, in hub range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&lt;90-minute drive from each hub (Catering / Floral / Bakery).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2  Current market, outside hub range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Part of the broader region, geographically and operationally.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Too far to utilize existing hubs.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3  New market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 new region for Walters.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4. Top-Line Projections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# of Events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Historical average?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LTM vs. NTM?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% Attachment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Share of events that attach to each vendor service; based on Walters regional averages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$ / Event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Spend per event on each vendor service; based on Walters averages</w:t>
            </w:r>
          </w:p>
        </w:tc>
      </w:tr>
    </w:tbl>
    <w:p>
      <w:pPr>
        <w:spacing w:after="40" w:before="6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3"/>
          <w:szCs w:val="23"/>
        </w:rPr>
        <w:t xml:space="preserve">Vendor Services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300"/>
        <w:gridCol w:w="7212"/>
      </w:tblGrid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Bar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Any market; on/off switch once we hold the liquor license.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Catering / Floral / Bakery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Existing markets; depends on hub distance.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Photography / DJ / Stationery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Any market; only need to hire and implement packages.</w:t>
            </w:r>
          </w:p>
        </w:tc>
      </w:tr>
    </w:tbl>
    <w:p>
      <w:pPr>
        <w:pBdr>
          <w:bottom w:val="single" w:color="B7DCDF" w:sz="4" w:space="1"/>
        </w:pBdr>
        <w:spacing w:after="40" w:before="30"/>
      </w:pPr>
    </w:p>
    <w:p>
      <w:pPr>
        <w:spacing w:after="30" w:before="8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20"/>
          <w:szCs w:val="20"/>
        </w:rPr>
        <w:t xml:space="preserve">Attachment ramp-up</w:t>
      </w:r>
    </w:p>
    <w:p>
      <w:pPr>
        <w:spacing w:after="4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14E"/>
          <w:sz w:val="19"/>
          <w:szCs w:val="19"/>
        </w:rPr>
        <w:t xml:space="preserve">Our typical assumption: ramp to the Walters average attachment by Year 3, adjusted for the venue.</w:t>
      </w:r>
    </w:p>
    <w:p>
      <w:pPr>
        <w:spacing w:after="30" w:before="30"/>
        <w:jc w:val="center"/>
      </w:pPr>
      <w:r>
        <w:drawing>
          <wp:inline distT="0" distB="0" distL="0" distR="0">
            <wp:extent cx="484822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5. Expenses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COGS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Historically driven by their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existing vendor services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(if any); go-forward defers towards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our offerings and margins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Keep their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go-forward OC costs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in mind (e.g. a required caterer's per-head cost on OC events)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Payroll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Current staff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Current or new market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Owner involvement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: what they pay themselves;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replacement cost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Operating expenses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Venue specific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(utilities, maintenance)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Walters operational changes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(marketing, insurance, finance expenses, professional services, etc.)</w:t>
            </w:r>
          </w:p>
        </w:tc>
      </w:tr>
    </w:tbl>
    <w:p>
      <w:r>
        <w:br w:type="page"/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2"/>
          <w:szCs w:val="22"/>
        </w:rPr>
        <w:t xml:space="preserve">Walters Hospitality</w:t>
      </w:r>
      <w:r>
        <w:rPr>
          <w:rFonts w:ascii="Calibri" w:cs="Calibri" w:eastAsia="Calibri" w:hAnsi="Calibri"/>
          <w:b/>
          <w:bCs/>
          <w:i w:val="false"/>
          <w:iCs w:val="false"/>
          <w:color w:val="52514E"/>
          <w:sz w:val="22"/>
          <w:szCs w:val="22"/>
        </w:rPr>
        <w:t xml:space="preserve">   |   Part 2: Post-LOI</w:t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6. Same process, more detail</w:t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14E"/>
          <w:sz w:val="19"/>
          <w:szCs w:val="19"/>
        </w:rPr>
        <w:t xml:space="preserve">Everything in Part 1 again, with updated event counts, financials and what we learned in diligence. Then we get in the weeds: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56"/>
        <w:gridCol w:w="5256"/>
      </w:tblGrid>
      <w:tr>
        <w:tc>
          <w:tcPr>
            <w:tcW w:type="dxa" w:w="525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Revenue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Go-forward pricing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for the venue and each vendor service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Go-live plans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for each vendor service</w:t>
            </w:r>
          </w:p>
        </w:tc>
        <w:tc>
          <w:tcPr>
            <w:tcW w:type="dxa" w:w="525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Expenses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Payroll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: estimate costs by employee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COGS and OpEx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: more detail from what diligence collected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7. New step: Leads / Tours / Contracts</w:t>
      </w:r>
    </w:p>
    <w:p>
      <w:pPr>
        <w:spacing w:after="30" w:before="30"/>
        <w:jc w:val="center"/>
      </w:pPr>
      <w:r>
        <w:drawing>
          <wp:inline distT="0" distB="0" distL="0" distR="0">
            <wp:extent cx="5486400" cy="1209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8. Monthly build</w:t>
      </w:r>
    </w:p>
    <w:p>
      <w:pPr>
        <w:spacing w:after="30" w:before="30"/>
        <w:jc w:val="center"/>
      </w:pPr>
      <w:r>
        <w:drawing>
          <wp:inline distT="0" distB="0" distL="0" distR="0">
            <wp:extent cx="5667375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0B0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476f17a1ec2f1bed860b187aa82057ea2be7f91.png"/><Relationship Id="rId8" Type="http://schemas.openxmlformats.org/officeDocument/2006/relationships/image" Target="media/74497a4ba1e7fd6690a4b547838788590e961895.png"/><Relationship Id="rId9" Type="http://schemas.openxmlformats.org/officeDocument/2006/relationships/image" Target="media/e471a87d591532500719662d37552faf35e74c28.png"/><Relationship Id="rId10" Type="http://schemas.openxmlformats.org/officeDocument/2006/relationships/image" Target="media/834558cefe82304280c2bbe8e625321910178db1.png"/><Relationship Id="rId11" Type="http://schemas.openxmlformats.org/officeDocument/2006/relationships/image" Target="media/93f12eedb7869ee2bb42b997b78eb426694b2ad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2026-09-07T16:55:56.699Z</dcterms:created>
  <dcterms:modified xsi:type="dcterms:W3CDTF">2026-09-07T16:55:56.700Z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