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52"/>
          <w:szCs w:val="52"/>
        </w:rPr>
        <w:t xml:space="preserve">Pro Forma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6"/>
          <w:szCs w:val="26"/>
        </w:rPr>
        <w:t xml:space="preserve">Part 1: Pre-LOI</w:t>
      </w:r>
    </w:p>
    <w:p>
      <w:pPr>
        <w:pStyle w:val="Heading1"/>
        <w:pBdr>
          <w:bottom w:val="single" w:color="1A939B" w:sz="12" w:space="4"/>
        </w:pBdr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Already doing well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Growth opportunity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do today vs. what we implement, and how fast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Our marketing to fill events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or understaffed?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involved or hands-off?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60" w:before="60"/>
        <w:jc w:val="center"/>
      </w:pPr>
      <w:r>
        <w:drawing>
          <wp:inline distT="0" distB="0" distL="0" distR="0">
            <wp:extent cx="584835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Pro forma years. 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Original Contract events; booked before close. Mostly Year 1, some Year 2, rarely Year 3. We want a healthy number; a year only holds so many.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New contracts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Events we assume will book after close; they can land in Year 1, 2 or 3.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939B" w:sz="12" w:space="4"/>
        </w:pBdr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60" w:before="60"/>
        <w:jc w:val="center"/>
      </w:pPr>
      <w:r>
        <w:drawing>
          <wp:inline distT="0" distB="0" distL="0" distR="0">
            <wp:extent cx="512445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Within 90 minutes of our hubs.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Vendor services modeled in Years 1 to 3 on our ramp.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In the broader region; likely grouped operationally with it.</w:t>
            </w:r>
          </w:p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use our hubs, so hub services start at $0.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Question: do we grow that direction and open hubs that can service it?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Venue must stand on its own.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Vendor services may be a couple of years out, once volume exists.</w:t>
            </w:r>
          </w:p>
        </w:tc>
      </w:tr>
    </w:tbl>
    <w:p>
      <w:pPr>
        <w:spacing w:after="80" w:before="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The perfect new-market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~100 events / year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Real volume from day one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All-inclusive package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Partnering with outside vendors, or some in-house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Owner not involved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Runs without them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939B" w:sz="12" w:space="4"/>
        </w:pBdr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p>
      <w:pPr>
        <w:spacing w:after="40" w:before="14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Events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Historical average per year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Last 12 months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Booked for the next 12 months</w:t>
      </w:r>
    </w:p>
    <w:p>
      <w:pPr>
        <w:spacing w:after="40" w:before="14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Revenue / Vendor Services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Photography / DJ / Stationery: quick to implement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Bar: on/off switch once we hold the liquor license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Catering: attach slowly; test it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Floral / Bakery: depends on hub distance</w:t>
      </w: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tweaked for the venue.</w:t>
      </w:r>
    </w:p>
    <w:p>
      <w:pPr>
        <w:spacing w:after="60" w:before="60"/>
        <w:jc w:val="center"/>
      </w:pPr>
      <w:r>
        <w:drawing>
          <wp:inline distT="0" distB="0" distL="0" distR="0">
            <wp:extent cx="54864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$ per vendor service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Walters average $ per event for that service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Small venue: tweak down; almost never tweak up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Sanity-check against what brides at that venue actually spend</w:t>
      </w: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Don't "Walterize" too fast</w:t>
      </w:r>
    </w:p>
    <w:p>
      <w:pPr>
        <w:pStyle w:val="ListParagraph"/>
        <w:numPr>
          <w:ilvl w:val="0"/>
          <w:numId w:val="2"/>
        </w:numPr>
        <w:spacing w:after="30" w:before="0" w:line="24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B"/>
          <w:sz w:val="19"/>
          <w:szCs w:val="19"/>
        </w:rPr>
        <w:t xml:space="preserve">Test and attach slowly; catering is not 100% on day one</w:t>
      </w:r>
    </w:p>
    <w:p>
      <w:pPr>
        <w:pStyle w:val="Heading1"/>
        <w:pBdr>
          <w:bottom w:val="single" w:color="1A939B" w:sz="12" w:space="4"/>
        </w:pBdr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Depends on their vendor services and other offerings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theirs in mind (e.g. a required caterer's per-head cost on OC events)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Often they have little or no COGS; we implement on our ramp and margins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Who they employ today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How involved the owners are; what they pay themselves; 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Switch to our marketing; almost always higher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Their utilities and maintenance per event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Our insurance, finance expenses, professional services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9a1a3b531aa27108503207019a59d1c63737a25.png"/><Relationship Id="rId8" Type="http://schemas.openxmlformats.org/officeDocument/2006/relationships/image" Target="media/1414ae61c011d9ee836b905d657b85fe14b25000.png"/><Relationship Id="rId9" Type="http://schemas.openxmlformats.org/officeDocument/2006/relationships/image" Target="media/f50402a5b1c52ec83794c69ee1194e8bb8f2d8f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2026-09-07T15:23:11.115Z</dcterms:created>
  <dcterms:modified xsi:type="dcterms:W3CDTF">2026-09-07T15:23:11.164Z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