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6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B0B0B"/>
          <w:sz w:val="40"/>
          <w:szCs w:val="40"/>
        </w:rPr>
        <w:t xml:space="preserve">Pro Forma Sheet</w:t>
      </w:r>
    </w:p>
    <w:p>
      <w:pPr>
        <w:spacing w:after="60" w:before="0" w:line="26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939B"/>
          <w:sz w:val="22"/>
          <w:szCs w:val="22"/>
        </w:rPr>
        <w:t xml:space="preserve">Walters Hospitality</w:t>
      </w:r>
      <w:r>
        <w:rPr>
          <w:rFonts w:ascii="Calibri" w:cs="Calibri" w:eastAsia="Calibri" w:hAnsi="Calibri"/>
          <w:b/>
          <w:bCs/>
          <w:i w:val="false"/>
          <w:iCs w:val="false"/>
          <w:color w:val="52514E"/>
          <w:sz w:val="22"/>
          <w:szCs w:val="22"/>
        </w:rPr>
        <w:t xml:space="preserve">   |   Part 1: Pre-LOI</w:t>
      </w:r>
    </w:p>
    <w:p>
      <w:pPr>
        <w:pStyle w:val="Heading1"/>
        <w:pBdr>
          <w:bottom w:val="single" w:color="1A939B" w:sz="12" w:space="4"/>
        </w:pBdr>
        <w:spacing w:after="70" w:before="140"/>
      </w:pPr>
      <w:r>
        <w:rPr>
          <w:rFonts w:ascii="Calibri" w:cs="Calibri" w:eastAsia="Calibri" w:hAnsi="Calibri"/>
          <w:b/>
          <w:bCs/>
          <w:i w:val="false"/>
          <w:iCs w:val="false"/>
          <w:color w:val="1A939B"/>
          <w:sz w:val="30"/>
          <w:szCs w:val="30"/>
        </w:rPr>
        <w:t xml:space="preserve">1. Frame the venue</w:t>
      </w: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1"/>
                <w:szCs w:val="21"/>
              </w:rPr>
              <w:t xml:space="preserve">Market</w:t>
            </w:r>
          </w:p>
          <w:p>
            <w:pPr>
              <w:spacing w:after="3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Current market</w:t>
            </w:r>
          </w:p>
          <w:p>
            <w:pPr>
              <w:spacing w:after="3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New market</w:t>
            </w:r>
          </w:p>
        </w:tc>
        <w:tc>
          <w:tcPr>
            <w:tcW w:type="dxa" w:w="2628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1"/>
                <w:szCs w:val="21"/>
              </w:rPr>
              <w:t xml:space="preserve">Performing or growth?</w:t>
            </w:r>
          </w:p>
          <w:p>
            <w:pPr>
              <w:spacing w:after="3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Established, strong performer</w:t>
            </w:r>
          </w:p>
          <w:p>
            <w:pPr>
              <w:spacing w:after="3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Upside we can unlock</w:t>
            </w:r>
          </w:p>
        </w:tc>
        <w:tc>
          <w:tcPr>
            <w:tcW w:type="dxa" w:w="2628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1"/>
                <w:szCs w:val="21"/>
              </w:rPr>
              <w:t xml:space="preserve">Vendor services</w:t>
            </w:r>
          </w:p>
          <w:p>
            <w:pPr>
              <w:spacing w:after="3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What they offer today vs. what we bring, and how fast</w:t>
            </w:r>
          </w:p>
          <w:p>
            <w:pPr>
              <w:spacing w:after="3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Our marketing to drive bookings</w:t>
            </w:r>
          </w:p>
        </w:tc>
        <w:tc>
          <w:tcPr>
            <w:tcW w:type="dxa" w:w="2628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1"/>
                <w:szCs w:val="21"/>
              </w:rPr>
              <w:t xml:space="preserve">Employee structure</w:t>
            </w:r>
          </w:p>
          <w:p>
            <w:pPr>
              <w:spacing w:after="3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Overstaffed or understaffed?</w:t>
            </w:r>
          </w:p>
          <w:p>
            <w:pPr>
              <w:spacing w:after="3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Owner hands-on or hands-off?</w:t>
            </w:r>
          </w:p>
        </w:tc>
      </w:tr>
    </w:tbl>
    <w:p>
      <w:pPr>
        <w:pStyle w:val="Heading1"/>
        <w:pBdr>
          <w:bottom w:val="single" w:color="1A939B" w:sz="12" w:space="4"/>
        </w:pBdr>
        <w:spacing w:after="70" w:before="140"/>
      </w:pPr>
      <w:r>
        <w:rPr>
          <w:rFonts w:ascii="Calibri" w:cs="Calibri" w:eastAsia="Calibri" w:hAnsi="Calibri"/>
          <w:b/>
          <w:bCs/>
          <w:i w:val="false"/>
          <w:iCs w:val="false"/>
          <w:color w:val="1A939B"/>
          <w:sz w:val="30"/>
          <w:szCs w:val="30"/>
        </w:rPr>
        <w:t xml:space="preserve">2. Key terms</w:t>
      </w:r>
    </w:p>
    <w:p>
      <w:pPr>
        <w:spacing w:after="30" w:before="30"/>
        <w:jc w:val="center"/>
      </w:pPr>
      <w:r>
        <w:drawing>
          <wp:inline distT="0" distB="0" distL="0" distR="0">
            <wp:extent cx="4019550" cy="1457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9550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7912"/>
      </w:tblGrid>
      <w:tr>
        <w:tc>
          <w:tcPr>
            <w:tcW w:type="dxa" w:w="2600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0"/>
                <w:szCs w:val="20"/>
              </w:rPr>
              <w:t xml:space="preserve">Year 1 / 2 / 3</w:t>
            </w:r>
          </w:p>
        </w:tc>
        <w:tc>
          <w:tcPr>
            <w:tcW w:type="dxa" w:w="7912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7F7F5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20"/>
                <w:szCs w:val="20"/>
              </w:rPr>
              <w:t xml:space="preserve">Pro forma years. Year 1 starts the day we close.</w:t>
            </w:r>
          </w:p>
        </w:tc>
      </w:tr>
      <w:tr>
        <w:tc>
          <w:tcPr>
            <w:tcW w:type="dxa" w:w="2600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0"/>
                <w:szCs w:val="20"/>
              </w:rPr>
              <w:t xml:space="preserve">OC events</w:t>
            </w:r>
          </w:p>
        </w:tc>
        <w:tc>
          <w:tcPr>
            <w:tcW w:type="dxa" w:w="7912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7F7F5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20"/>
                <w:szCs w:val="20"/>
              </w:rPr>
              <w:t xml:space="preserve">Original Contract events; booked before we close. We want a healthy count; a year only holds so many.</w:t>
            </w:r>
          </w:p>
        </w:tc>
      </w:tr>
      <w:tr>
        <w:tc>
          <w:tcPr>
            <w:tcW w:type="dxa" w:w="2600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0"/>
                <w:szCs w:val="20"/>
              </w:rPr>
              <w:t xml:space="preserve">New contracts</w:t>
            </w:r>
          </w:p>
        </w:tc>
        <w:tc>
          <w:tcPr>
            <w:tcW w:type="dxa" w:w="7912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7F7F5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20"/>
                <w:szCs w:val="20"/>
              </w:rPr>
              <w:t xml:space="preserve">Events we assume will book after close; they can fall in Year 1, 2 or 3.</w:t>
            </w:r>
          </w:p>
        </w:tc>
      </w:tr>
    </w:tbl>
    <w:p>
      <w:pPr>
        <w:pStyle w:val="Heading1"/>
        <w:pBdr>
          <w:bottom w:val="single" w:color="1A939B" w:sz="12" w:space="4"/>
        </w:pBdr>
        <w:spacing w:after="70" w:before="140"/>
      </w:pPr>
      <w:r>
        <w:rPr>
          <w:rFonts w:ascii="Calibri" w:cs="Calibri" w:eastAsia="Calibri" w:hAnsi="Calibri"/>
          <w:b/>
          <w:bCs/>
          <w:i w:val="false"/>
          <w:iCs w:val="false"/>
          <w:color w:val="1A939B"/>
          <w:sz w:val="30"/>
          <w:szCs w:val="30"/>
        </w:rPr>
        <w:t xml:space="preserve">3. Market</w:t>
      </w:r>
    </w:p>
    <w:p>
      <w:pPr>
        <w:spacing w:after="30" w:before="30"/>
        <w:jc w:val="center"/>
      </w:pPr>
      <w:r>
        <w:drawing>
          <wp:inline distT="0" distB="0" distL="0" distR="0">
            <wp:extent cx="3752850" cy="1819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300"/>
        <w:gridCol w:w="7212"/>
      </w:tblGrid>
      <w:tr>
        <w:tc>
          <w:tcPr>
            <w:tcW w:type="dxa" w:w="3300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0"/>
                <w:szCs w:val="20"/>
              </w:rPr>
              <w:t xml:space="preserve">1  Current market, in hub range</w:t>
            </w:r>
          </w:p>
        </w:tc>
        <w:tc>
          <w:tcPr>
            <w:tcW w:type="dxa" w:w="7212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7F7F5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2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20"/>
                <w:szCs w:val="20"/>
              </w:rPr>
              <w:t xml:space="preserve">Within 90 minutes of our hubs.</w:t>
            </w:r>
          </w:p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20"/>
                <w:szCs w:val="20"/>
              </w:rPr>
              <w:t xml:space="preserve">Vendor services modeled in Years 1 to 3 on our ramp.</w:t>
            </w:r>
          </w:p>
        </w:tc>
      </w:tr>
      <w:tr>
        <w:tc>
          <w:tcPr>
            <w:tcW w:type="dxa" w:w="3300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0"/>
                <w:szCs w:val="20"/>
              </w:rPr>
              <w:t xml:space="preserve">2  Current market, outside hub range</w:t>
            </w:r>
          </w:p>
        </w:tc>
        <w:tc>
          <w:tcPr>
            <w:tcW w:type="dxa" w:w="7212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7F7F5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2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20"/>
                <w:szCs w:val="20"/>
              </w:rPr>
              <w:t xml:space="preserve">Part of the broader region; likely grouped operationally with it.</w:t>
            </w:r>
          </w:p>
          <w:p>
            <w:pPr>
              <w:spacing w:after="2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20"/>
                <w:szCs w:val="20"/>
              </w:rPr>
              <w:t xml:space="preserve">Too far to use our hubs, so hub services start at $0.</w:t>
            </w:r>
          </w:p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20"/>
                <w:szCs w:val="20"/>
              </w:rPr>
              <w:t xml:space="preserve">Open question: do we grow that direction and add hubs to serve it?</w:t>
            </w:r>
          </w:p>
        </w:tc>
      </w:tr>
      <w:tr>
        <w:tc>
          <w:tcPr>
            <w:tcW w:type="dxa" w:w="3300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0"/>
                <w:szCs w:val="20"/>
              </w:rPr>
              <w:t xml:space="preserve">3  New market</w:t>
            </w:r>
          </w:p>
        </w:tc>
        <w:tc>
          <w:tcPr>
            <w:tcW w:type="dxa" w:w="7212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7F7F5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2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20"/>
                <w:szCs w:val="20"/>
              </w:rPr>
              <w:t xml:space="preserve">The venue has to carry itself.</w:t>
            </w:r>
          </w:p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20"/>
                <w:szCs w:val="20"/>
              </w:rPr>
              <w:t xml:space="preserve">Vendor services may be a couple of years out, once volume exists.</w:t>
            </w:r>
          </w:p>
        </w:tc>
      </w:tr>
    </w:tbl>
    <w:p>
      <w:pPr>
        <w:pStyle w:val="Heading1"/>
        <w:pBdr>
          <w:bottom w:val="single" w:color="1A939B" w:sz="12" w:space="4"/>
        </w:pBdr>
        <w:spacing w:after="70" w:before="140"/>
      </w:pPr>
      <w:r>
        <w:rPr>
          <w:rFonts w:ascii="Calibri" w:cs="Calibri" w:eastAsia="Calibri" w:hAnsi="Calibri"/>
          <w:b/>
          <w:bCs/>
          <w:i w:val="false"/>
          <w:iCs w:val="false"/>
          <w:color w:val="1A939B"/>
          <w:sz w:val="30"/>
          <w:szCs w:val="30"/>
        </w:rPr>
        <w:t xml:space="preserve">4. Top-Line Projections</w:t>
      </w:r>
    </w:p>
    <w:p>
      <w:pPr>
        <w:spacing w:after="40" w:before="60" w:line="26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939B"/>
          <w:sz w:val="23"/>
          <w:szCs w:val="23"/>
        </w:rPr>
        <w:t xml:space="preserve">Events</w:t>
      </w:r>
    </w:p>
    <w:p>
      <w:pPr>
        <w:pStyle w:val="ListParagraph"/>
        <w:numPr>
          <w:ilvl w:val="0"/>
          <w:numId w:val="2"/>
        </w:numPr>
        <w:spacing w:after="30" w:before="0" w:line="24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B"/>
          <w:sz w:val="19"/>
          <w:szCs w:val="19"/>
        </w:rPr>
        <w:t xml:space="preserve">Historical average per year</w:t>
      </w:r>
    </w:p>
    <w:p>
      <w:pPr>
        <w:pStyle w:val="ListParagraph"/>
        <w:numPr>
          <w:ilvl w:val="0"/>
          <w:numId w:val="2"/>
        </w:numPr>
        <w:spacing w:after="30" w:before="0" w:line="24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B"/>
          <w:sz w:val="19"/>
          <w:szCs w:val="19"/>
        </w:rPr>
        <w:t xml:space="preserve">Last 12 months</w:t>
      </w:r>
    </w:p>
    <w:p>
      <w:pPr>
        <w:pStyle w:val="ListParagraph"/>
        <w:numPr>
          <w:ilvl w:val="0"/>
          <w:numId w:val="2"/>
        </w:numPr>
        <w:spacing w:after="30" w:before="0" w:line="24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B"/>
          <w:sz w:val="19"/>
          <w:szCs w:val="19"/>
        </w:rPr>
        <w:t xml:space="preserve">Booked for the next 12 months</w:t>
      </w:r>
    </w:p>
    <w:p>
      <w:pPr>
        <w:pBdr>
          <w:bottom w:val="single" w:color="B7DCDF" w:sz="4" w:space="1"/>
        </w:pBdr>
        <w:spacing w:after="40" w:before="30"/>
      </w:pPr>
    </w:p>
    <w:p>
      <w:pPr>
        <w:spacing w:after="40" w:before="60" w:line="26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939B"/>
          <w:sz w:val="23"/>
          <w:szCs w:val="23"/>
        </w:rPr>
        <w:t xml:space="preserve">Revenue / Vendor Services</w:t>
      </w:r>
    </w:p>
    <w:p>
      <w:pPr>
        <w:pStyle w:val="ListParagraph"/>
        <w:numPr>
          <w:ilvl w:val="0"/>
          <w:numId w:val="2"/>
        </w:numPr>
        <w:spacing w:after="30" w:before="0" w:line="24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B"/>
          <w:sz w:val="19"/>
          <w:szCs w:val="19"/>
        </w:rPr>
        <w:t xml:space="preserve">Photography / DJ / Stationery: quick to implement</w:t>
      </w:r>
    </w:p>
    <w:p>
      <w:pPr>
        <w:pStyle w:val="ListParagraph"/>
        <w:numPr>
          <w:ilvl w:val="0"/>
          <w:numId w:val="2"/>
        </w:numPr>
        <w:spacing w:after="30" w:before="0" w:line="24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B"/>
          <w:sz w:val="19"/>
          <w:szCs w:val="19"/>
        </w:rPr>
        <w:t xml:space="preserve">Bar: on/off switch once we hold the liquor license</w:t>
      </w:r>
    </w:p>
    <w:p>
      <w:pPr>
        <w:pStyle w:val="ListParagraph"/>
        <w:numPr>
          <w:ilvl w:val="0"/>
          <w:numId w:val="2"/>
        </w:numPr>
        <w:spacing w:after="30" w:before="0" w:line="24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B"/>
          <w:sz w:val="19"/>
          <w:szCs w:val="19"/>
        </w:rPr>
        <w:t xml:space="preserve">Catering: attach gradually; test it</w:t>
      </w:r>
    </w:p>
    <w:p>
      <w:pPr>
        <w:pStyle w:val="ListParagraph"/>
        <w:numPr>
          <w:ilvl w:val="0"/>
          <w:numId w:val="2"/>
        </w:numPr>
        <w:spacing w:after="30" w:before="0" w:line="24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B"/>
          <w:sz w:val="19"/>
          <w:szCs w:val="19"/>
        </w:rPr>
        <w:t xml:space="preserve">Floral / Bakery: depends on hub distance</w:t>
      </w:r>
    </w:p>
    <w:p>
      <w:pPr>
        <w:pBdr>
          <w:bottom w:val="single" w:color="B7DCDF" w:sz="4" w:space="1"/>
        </w:pBdr>
        <w:spacing w:after="40" w:before="30"/>
      </w:pPr>
    </w:p>
    <w:p>
      <w:pPr>
        <w:spacing w:after="30" w:before="80" w:line="26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B0B0B"/>
          <w:sz w:val="20"/>
          <w:szCs w:val="20"/>
        </w:rPr>
        <w:t xml:space="preserve">Attachment ramp-up</w:t>
      </w:r>
    </w:p>
    <w:p>
      <w:pPr>
        <w:spacing w:after="40" w:before="0" w:line="264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14E"/>
          <w:sz w:val="19"/>
          <w:szCs w:val="19"/>
        </w:rPr>
        <w:t xml:space="preserve">Our typical assumption: ramp to the Walters average attachment by Year 3, adjusted for the venue.</w:t>
      </w:r>
    </w:p>
    <w:p>
      <w:pPr>
        <w:spacing w:after="30" w:before="30"/>
        <w:jc w:val="center"/>
      </w:pPr>
      <w:r>
        <w:drawing>
          <wp:inline distT="0" distB="0" distL="0" distR="0">
            <wp:extent cx="4848225" cy="2076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B7DCDF" w:sz="4" w:space="1"/>
        </w:pBdr>
        <w:spacing w:after="40" w:before="30"/>
      </w:pPr>
    </w:p>
    <w:p>
      <w:pPr>
        <w:spacing w:after="30" w:before="80" w:line="26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B0B0B"/>
          <w:sz w:val="20"/>
          <w:szCs w:val="20"/>
        </w:rPr>
        <w:t xml:space="preserve">$ per vendor service</w:t>
      </w:r>
    </w:p>
    <w:p>
      <w:pPr>
        <w:pStyle w:val="ListParagraph"/>
        <w:numPr>
          <w:ilvl w:val="0"/>
          <w:numId w:val="2"/>
        </w:numPr>
        <w:spacing w:after="30" w:before="0" w:line="24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B"/>
          <w:sz w:val="19"/>
          <w:szCs w:val="19"/>
        </w:rPr>
        <w:t xml:space="preserve">Walters average $ per event for that service</w:t>
      </w:r>
    </w:p>
    <w:p>
      <w:pPr>
        <w:pStyle w:val="ListParagraph"/>
        <w:numPr>
          <w:ilvl w:val="0"/>
          <w:numId w:val="2"/>
        </w:numPr>
        <w:spacing w:after="30" w:before="0" w:line="24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B"/>
          <w:sz w:val="19"/>
          <w:szCs w:val="19"/>
        </w:rPr>
        <w:t xml:space="preserve">Smaller venue: adjust down; almost never adjust up</w:t>
      </w:r>
    </w:p>
    <w:p>
      <w:pPr>
        <w:pStyle w:val="ListParagraph"/>
        <w:numPr>
          <w:ilvl w:val="0"/>
          <w:numId w:val="2"/>
        </w:numPr>
        <w:spacing w:after="30" w:before="0" w:line="24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B"/>
          <w:sz w:val="19"/>
          <w:szCs w:val="19"/>
        </w:rPr>
        <w:t xml:space="preserve">Sanity-check against what couples at that venue actually spend</w:t>
      </w:r>
    </w:p>
    <w:p>
      <w:pPr>
        <w:pBdr>
          <w:bottom w:val="single" w:color="B7DCDF" w:sz="4" w:space="1"/>
        </w:pBdr>
        <w:spacing w:after="40" w:before="30"/>
      </w:pPr>
    </w:p>
    <w:p>
      <w:pPr>
        <w:spacing w:after="30" w:before="80" w:line="26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B0B0B"/>
          <w:sz w:val="20"/>
          <w:szCs w:val="20"/>
        </w:rPr>
        <w:t xml:space="preserve">Don't "Walterize" too fast</w:t>
      </w:r>
    </w:p>
    <w:p>
      <w:pPr>
        <w:pStyle w:val="ListParagraph"/>
        <w:numPr>
          <w:ilvl w:val="0"/>
          <w:numId w:val="2"/>
        </w:numPr>
        <w:spacing w:after="30" w:before="0" w:line="24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B"/>
          <w:sz w:val="19"/>
          <w:szCs w:val="19"/>
        </w:rPr>
        <w:t xml:space="preserve">Test and attach gradually; catering is not 100% on day one</w:t>
      </w:r>
    </w:p>
    <w:p>
      <w:pPr>
        <w:pStyle w:val="Heading1"/>
        <w:pBdr>
          <w:bottom w:val="single" w:color="1A939B" w:sz="12" w:space="4"/>
        </w:pBdr>
        <w:spacing w:after="70" w:before="140"/>
      </w:pPr>
      <w:r>
        <w:rPr>
          <w:rFonts w:ascii="Calibri" w:cs="Calibri" w:eastAsia="Calibri" w:hAnsi="Calibri"/>
          <w:b/>
          <w:bCs/>
          <w:i w:val="false"/>
          <w:iCs w:val="false"/>
          <w:color w:val="1A939B"/>
          <w:sz w:val="30"/>
          <w:szCs w:val="30"/>
        </w:rPr>
        <w:t xml:space="preserve">5. Expenses</w:t>
      </w: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504"/>
        <w:gridCol w:w="3504"/>
        <w:gridCol w:w="3504"/>
      </w:tblGrid>
      <w:tr>
        <w:tc>
          <w:tcPr>
            <w:tcW w:type="dxa" w:w="3504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2"/>
                <w:szCs w:val="22"/>
              </w:rPr>
              <w:t xml:space="preserve">COGS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0" w:line="24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18"/>
                <w:szCs w:val="18"/>
              </w:rPr>
              <w:t xml:space="preserve">Driven by their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B0B0B"/>
                <w:sz w:val="18"/>
                <w:szCs w:val="18"/>
              </w:rPr>
              <w:t xml:space="preserve">vendor services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18"/>
                <w:szCs w:val="18"/>
              </w:rPr>
              <w:t xml:space="preserve"> and other offerings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0" w:line="24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18"/>
                <w:szCs w:val="18"/>
              </w:rPr>
              <w:t xml:space="preserve">Keep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B0B0B"/>
                <w:sz w:val="18"/>
                <w:szCs w:val="18"/>
              </w:rPr>
              <w:t xml:space="preserve">their existing costs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18"/>
                <w:szCs w:val="18"/>
              </w:rPr>
              <w:t xml:space="preserve"> in mind (e.g. a required caterer's per-head cost on OC events)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0" w:line="24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18"/>
                <w:szCs w:val="18"/>
              </w:rPr>
              <w:t xml:space="preserve">Often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B0B0B"/>
                <w:sz w:val="18"/>
                <w:szCs w:val="18"/>
              </w:rPr>
              <w:t xml:space="preserve">little or no COGS today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18"/>
                <w:szCs w:val="18"/>
              </w:rPr>
              <w:t xml:space="preserve">; we build on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B0B0B"/>
                <w:sz w:val="18"/>
                <w:szCs w:val="18"/>
              </w:rPr>
              <w:t xml:space="preserve">our ramp and margins</w:t>
            </w:r>
          </w:p>
        </w:tc>
        <w:tc>
          <w:tcPr>
            <w:tcW w:type="dxa" w:w="3504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2"/>
                <w:szCs w:val="22"/>
              </w:rPr>
              <w:t xml:space="preserve">Payroll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0" w:line="24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B0B0B"/>
                <w:sz w:val="18"/>
                <w:szCs w:val="18"/>
              </w:rPr>
              <w:t xml:space="preserve">Current staff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18"/>
                <w:szCs w:val="18"/>
              </w:rPr>
              <w:t xml:space="preserve"> and roles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0" w:line="24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B0B0B"/>
                <w:sz w:val="18"/>
                <w:szCs w:val="18"/>
              </w:rPr>
              <w:t xml:space="preserve">Current or new market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0" w:line="24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B0B0B"/>
                <w:sz w:val="18"/>
                <w:szCs w:val="18"/>
              </w:rPr>
              <w:t xml:space="preserve">Owner involvement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18"/>
                <w:szCs w:val="18"/>
              </w:rPr>
              <w:t xml:space="preserve">: what they pay themselves;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B0B0B"/>
                <w:sz w:val="18"/>
                <w:szCs w:val="18"/>
              </w:rPr>
              <w:t xml:space="preserve">replacement cost</w:t>
            </w:r>
          </w:p>
        </w:tc>
        <w:tc>
          <w:tcPr>
            <w:tcW w:type="dxa" w:w="3504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2"/>
                <w:szCs w:val="22"/>
              </w:rPr>
              <w:t xml:space="preserve">Operating expenses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0" w:line="24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18"/>
                <w:szCs w:val="18"/>
              </w:rPr>
              <w:t xml:space="preserve">Switch to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B0B0B"/>
                <w:sz w:val="18"/>
                <w:szCs w:val="18"/>
              </w:rPr>
              <w:t xml:space="preserve">our marketing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18"/>
                <w:szCs w:val="18"/>
              </w:rPr>
              <w:t xml:space="preserve">; almost always higher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0" w:line="24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18"/>
                <w:szCs w:val="18"/>
              </w:rPr>
              <w:t xml:space="preserve">Their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B0B0B"/>
                <w:sz w:val="18"/>
                <w:szCs w:val="18"/>
              </w:rPr>
              <w:t xml:space="preserve">utilities and maintenance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18"/>
                <w:szCs w:val="18"/>
              </w:rPr>
              <w:t xml:space="preserve"> per event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0" w:line="24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18"/>
                <w:szCs w:val="18"/>
              </w:rPr>
              <w:t xml:space="preserve">Our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B0B0B"/>
                <w:sz w:val="18"/>
                <w:szCs w:val="18"/>
              </w:rPr>
              <w:t xml:space="preserve">insurance, finance expenses, professional services</w:t>
            </w:r>
          </w:p>
        </w:tc>
      </w:tr>
    </w:tbl>
    <w:sectPr>
      <w:pgSz w:w="12240" w:h="15840" w:orient="portrait"/>
      <w:pgMar w:top="864" w:right="864" w:bottom="864" w:left="86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B0B0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9a254a6de8dd15ee86cfdafb9219081191284ff.png"/><Relationship Id="rId8" Type="http://schemas.openxmlformats.org/officeDocument/2006/relationships/image" Target="media/362649fe843ca33edcc1169f0da7a88ee950693c.png"/><Relationship Id="rId9" Type="http://schemas.openxmlformats.org/officeDocument/2006/relationships/image" Target="media/f50402a5b1c52ec83794c69ee1194e8bb8f2d8f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2026-09-07T15:31:41.863Z</dcterms:created>
  <dcterms:modified xsi:type="dcterms:W3CDTF">2026-09-07T15:31:41.863Z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