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B0B"/>
          <w:sz w:val="40"/>
          <w:szCs w:val="40"/>
        </w:rPr>
        <w:t xml:space="preserve">Pro Forma Sheet</w:t>
      </w:r>
    </w:p>
    <w:p>
      <w:pPr>
        <w:spacing w:after="6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22"/>
          <w:szCs w:val="22"/>
        </w:rPr>
        <w:t xml:space="preserve">Walters Hospitality</w:t>
      </w:r>
      <w:r>
        <w:rPr>
          <w:rFonts w:ascii="Calibri" w:cs="Calibri" w:eastAsia="Calibri" w:hAnsi="Calibri"/>
          <w:b/>
          <w:bCs/>
          <w:i w:val="false"/>
          <w:iCs w:val="false"/>
          <w:color w:val="52514E"/>
          <w:sz w:val="22"/>
          <w:szCs w:val="22"/>
        </w:rPr>
        <w:t xml:space="preserve">   |   Part 1: Pre-LOI</w:t>
      </w:r>
    </w:p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1. Frame the venue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Market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Current market</w:t>
            </w:r>
          </w:p>
          <w:p>
            <w:pPr>
              <w:spacing w:after="10" w:before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A939B"/>
                <w:sz w:val="16"/>
                <w:szCs w:val="16"/>
              </w:rPr>
              <w:t xml:space="preserve">vs.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New market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Performing or growth?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Established, strong performer</w:t>
            </w:r>
          </w:p>
          <w:p>
            <w:pPr>
              <w:spacing w:after="10" w:before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A939B"/>
                <w:sz w:val="16"/>
                <w:szCs w:val="16"/>
              </w:rPr>
              <w:t xml:space="preserve">vs.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Upside we can unlock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Vendor services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What they offer today</w:t>
            </w:r>
          </w:p>
          <w:p>
            <w:pPr>
              <w:spacing w:after="10" w:before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A939B"/>
                <w:sz w:val="16"/>
                <w:szCs w:val="16"/>
              </w:rPr>
              <w:t xml:space="preserve">vs.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What we bring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Employee structure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Overstaffed vs. understaffed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Owner hands-on vs. hands-off</w:t>
            </w:r>
          </w:p>
        </w:tc>
      </w:tr>
    </w:tbl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2. Key terms</w:t>
      </w:r>
    </w:p>
    <w:p>
      <w:pPr>
        <w:spacing w:after="30" w:before="30"/>
        <w:jc w:val="center"/>
      </w:pPr>
      <w:r>
        <w:drawing>
          <wp:inline distT="0" distB="0" distL="0" distR="0">
            <wp:extent cx="375285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7912"/>
      </w:tblGrid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Pro Forma Year 1 / 2 / 3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Year 1 starts the day we close.</w:t>
            </w:r>
          </w:p>
        </w:tc>
      </w:tr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OC events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“Original Contract” events; booked prior to close by the sellers to occur post-close. We honor OC events as booked, even if not our model or packaging.</w:t>
            </w:r>
          </w:p>
        </w:tc>
      </w:tr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“Event” vs. “Contract”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“Events” in Year 1 occur in Year 1, regardless of when booked. “Contracts” in Year 1 are booked in Year 1, regardless of when they occur. Pre-LOI we only project Events.</w:t>
            </w:r>
          </w:p>
        </w:tc>
      </w:tr>
    </w:tbl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3. Market</w:t>
      </w:r>
    </w:p>
    <w:p>
      <w:pPr>
        <w:spacing w:after="30" w:before="30"/>
        <w:jc w:val="center"/>
      </w:pPr>
      <w:r>
        <w:drawing>
          <wp:inline distT="0" distB="0" distL="0" distR="0">
            <wp:extent cx="3476625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300"/>
        <w:gridCol w:w="7212"/>
      </w:tblGrid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1  Current market, in hub range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Under a 90-minute drive from each hub (Catering / Floral / Bakery).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2  Current market, outside hub range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2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Part of the broader region, geographically and operationally.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Too far to use our hubs.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3  New market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A full new market for Walters.</w:t>
            </w:r>
          </w:p>
        </w:tc>
      </w:tr>
    </w:tbl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4. Top-Line Projections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# of Events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Historical average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Last 12 months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Booked next 12 months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% Attachment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Share of events that add each vendor service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$ / Event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Spend per event on each vendor service</w:t>
            </w:r>
          </w:p>
        </w:tc>
      </w:tr>
    </w:tbl>
    <w:p>
      <w:pPr>
        <w:spacing w:after="60" w:before="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300"/>
        <w:gridCol w:w="7212"/>
      </w:tblGrid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Bar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On/off switch once we hold the liquor license.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Catering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Attach gradually; test it.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Floral / Bakery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Depends on hub distance.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Photography / DJ / Stationery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Quick to implement.</w:t>
            </w:r>
          </w:p>
        </w:tc>
      </w:tr>
    </w:tbl>
    <w:p>
      <w:pPr>
        <w:pBdr>
          <w:bottom w:val="single" w:color="B7DCDF" w:sz="4" w:space="1"/>
        </w:pBdr>
        <w:spacing w:after="40" w:before="30"/>
      </w:pPr>
    </w:p>
    <w:p>
      <w:pPr>
        <w:spacing w:after="30" w:before="8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B0B"/>
          <w:sz w:val="20"/>
          <w:szCs w:val="20"/>
        </w:rPr>
        <w:t xml:space="preserve">Attachment ramp-up</w:t>
      </w:r>
    </w:p>
    <w:p>
      <w:pPr>
        <w:spacing w:after="4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14E"/>
          <w:sz w:val="19"/>
          <w:szCs w:val="19"/>
        </w:rPr>
        <w:t xml:space="preserve">Our typical assumption: ramp to the Walters average attachment by Year 3, adjusted for the venue.</w:t>
      </w:r>
    </w:p>
    <w:p>
      <w:pPr>
        <w:spacing w:after="30" w:before="30"/>
        <w:jc w:val="center"/>
      </w:pPr>
      <w:r>
        <w:drawing>
          <wp:inline distT="0" distB="0" distL="0" distR="0">
            <wp:extent cx="484822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B7DCDF" w:sz="4" w:space="1"/>
        </w:pBdr>
        <w:spacing w:after="40" w:before="30"/>
      </w:pPr>
    </w:p>
    <w:p>
      <w:pPr>
        <w:spacing w:after="30" w:before="8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B0B"/>
          <w:sz w:val="20"/>
          <w:szCs w:val="20"/>
        </w:rPr>
        <w:t xml:space="preserve">$ per vendor service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Walters average $ per event for that service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Smaller venue: adjust down; almost never adjust up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Sanity-check against what couples at that venue actually spend</w:t>
      </w:r>
    </w:p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5. Expenses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2"/>
                <w:szCs w:val="22"/>
              </w:rPr>
              <w:t xml:space="preserve">COGS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Driven by their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vendor services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and other offerings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Keep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their existing costs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in mind (e.g. a required caterer's per-head cost on OC events)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Often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little or no COGS today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; we build on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our ramp and margins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2"/>
                <w:szCs w:val="22"/>
              </w:rPr>
              <w:t xml:space="preserve">Payroll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Current staff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and roles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Current or new market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Owner involvement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: what they pay themselves;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replacement cost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2"/>
                <w:szCs w:val="22"/>
              </w:rPr>
              <w:t xml:space="preserve">Operating expenses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Switch to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our marketing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; almost always higher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Their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utilities and maintenance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per event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Our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insurance, finance expenses, professional services</w:t>
            </w:r>
          </w:p>
        </w:tc>
      </w:tr>
    </w:tbl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0B0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3dcf0f390c6288c52ab9cb5ecd937e222edf758.png"/><Relationship Id="rId8" Type="http://schemas.openxmlformats.org/officeDocument/2006/relationships/image" Target="media/3fa38dd6157011adb82e8cfdb3a9dd0c21235dac.png"/><Relationship Id="rId9" Type="http://schemas.openxmlformats.org/officeDocument/2006/relationships/image" Target="media/f50402a5b1c52ec83794c69ee1194e8bb8f2d8f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2026-09-07T15:47:19.489Z</dcterms:created>
  <dcterms:modified xsi:type="dcterms:W3CDTF">2026-09-07T15:47:19.490Z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