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40"/>
          <w:szCs w:val="40"/>
        </w:rPr>
        <w:t xml:space="preserve">Pro Forma Cheat Sheet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1: Pre-LOI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1. Frame the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Established, strong performer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Upside we can unlock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offer today</w:t>
            </w:r>
          </w:p>
          <w:p>
            <w:pPr>
              <w:spacing w:after="10" w:before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A939B"/>
                <w:sz w:val="16"/>
                <w:szCs w:val="16"/>
              </w:rPr>
              <w:t xml:space="preserve">vs.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we bring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vs. understaffed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hands-on vs. hands-off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2. Key terms</w:t>
      </w:r>
    </w:p>
    <w:p>
      <w:pPr>
        <w:spacing w:after="30" w:before="30"/>
        <w:jc w:val="center"/>
      </w:pPr>
      <w:r>
        <w:drawing>
          <wp:inline distT="0" distB="0" distL="0" distR="0">
            <wp:extent cx="3752850" cy="136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Pro Forma 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Year 1 starts the day we close.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“Original Contract” events; booked prior to close by the sellers to occur post-close. We honor OC events as-is.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“Event” vs. “Contract”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“Events” in Year 1 occur in Year 1.</w:t>
            </w:r>
          </w:p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“Contracts” in Year 1 are events booked in Year 1.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We only project Events pre-LOI.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3. Market</w:t>
      </w:r>
    </w:p>
    <w:p>
      <w:pPr>
        <w:spacing w:after="30" w:before="30"/>
        <w:jc w:val="center"/>
      </w:pPr>
      <w:r>
        <w:drawing>
          <wp:inline distT="0" distB="0" distL="0" distR="0">
            <wp:extent cx="3476625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1  Current market, in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&lt;90-minute drive from each hub (Catering / Floral / Bakery).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2  Current market, outside hub range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Part of the broader region, geographically and operationally.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Too far to utilize existing hubs.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3  New market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 new region for Walters.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4. Top-Line Projections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# of Events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Historical average?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LTM vs. NTM?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% Attachment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Share of events that attach to each vendor service; based on Walters regional averages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$ / Event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Spend per event on each vendor service; based on Walters averages</w:t>
            </w:r>
          </w:p>
        </w:tc>
      </w:tr>
    </w:tbl>
    <w:p>
      <w:pPr>
        <w:spacing w:after="40" w:before="6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3"/>
          <w:szCs w:val="23"/>
        </w:rPr>
        <w:t xml:space="preserve">Vendor Services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300"/>
        <w:gridCol w:w="7212"/>
      </w:tblGrid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Bar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on/off switch once we hold the liquor license.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Catering / Floral / Bakery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Existing markets; depends on hub distance.</w:t>
            </w:r>
          </w:p>
        </w:tc>
      </w:tr>
      <w:tr>
        <w:tc>
          <w:tcPr>
            <w:tcW w:type="dxa" w:w="33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Photography / DJ / Stationery</w:t>
            </w:r>
          </w:p>
        </w:tc>
        <w:tc>
          <w:tcPr>
            <w:tcW w:type="dxa" w:w="72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 market; only need to hire and implement packages.</w:t>
            </w:r>
          </w:p>
        </w:tc>
      </w:tr>
    </w:tbl>
    <w:p>
      <w:pPr>
        <w:pBdr>
          <w:bottom w:val="single" w:color="B7DCDF" w:sz="4" w:space="1"/>
        </w:pBdr>
        <w:spacing w:after="40" w:before="30"/>
      </w:pPr>
    </w:p>
    <w:p>
      <w:pPr>
        <w:spacing w:after="30" w:before="8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Attachment ramp-up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Our typical assumption: ramp to the Walters average attachment by Year 3, adjusted for the venue.</w:t>
      </w:r>
    </w:p>
    <w:p>
      <w:pPr>
        <w:spacing w:after="30" w:before="30"/>
        <w:jc w:val="center"/>
      </w:pPr>
      <w:r>
        <w:drawing>
          <wp:inline distT="0" distB="0" distL="0" distR="0">
            <wp:extent cx="484822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5. Expenses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COGS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Historically driven by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existing vendor services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(if any); go-forward defers towards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our offerings and margins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Keep their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OC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 mind (e.g. a required caterer's per-head cost on OC events)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Payroll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staff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Current or new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involvement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what they pay themselves;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replacement cost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2"/>
                <w:szCs w:val="22"/>
              </w:rPr>
              <w:t xml:space="preserve">Operating expenses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Venue specific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(utilities, maintenance)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Walters operational changes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(marketing, insurance, finance expenses, professional services, etc.)</w:t>
            </w:r>
          </w:p>
        </w:tc>
      </w:tr>
    </w:tbl>
    <w:p>
      <w:r>
        <w:br w:type="page"/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22"/>
          <w:szCs w:val="22"/>
        </w:rPr>
        <w:t xml:space="preserve">Walters Hospitality</w:t>
      </w:r>
      <w:r>
        <w:rPr>
          <w:rFonts w:ascii="Calibri" w:cs="Calibri" w:eastAsia="Calibri" w:hAnsi="Calibri"/>
          <w:b/>
          <w:bCs/>
          <w:i w:val="false"/>
          <w:iCs w:val="false"/>
          <w:color w:val="52514E"/>
          <w:sz w:val="22"/>
          <w:szCs w:val="22"/>
        </w:rPr>
        <w:t xml:space="preserve">   |   Part 2: Post-LOI</w:t>
      </w:r>
    </w:p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6. Same process, more detail</w:t>
      </w:r>
    </w:p>
    <w:p>
      <w:pPr>
        <w:spacing w:after="6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19"/>
          <w:szCs w:val="19"/>
        </w:rPr>
        <w:t xml:space="preserve">Everything in Part 1 again, with updated event counts, financials and what we learned in diligence. Then we get in the weeds: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Employees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Role by role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: who stays, who we add, what each costs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Owner replacement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if they step away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COGS and pricing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Lingering OC costs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(e.g. a required caterer on booked events)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Go-forward pricing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for the venue and each vendor service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1"/>
                <w:szCs w:val="21"/>
              </w:rPr>
              <w:t xml:space="preserve">Vendor service timing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Attach timeline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by service: license, hubs, hiring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0" w:line="248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18"/>
                <w:szCs w:val="18"/>
              </w:rPr>
              <w:t xml:space="preserve">Ramp by month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18"/>
                <w:szCs w:val="18"/>
              </w:rPr>
              <w:t xml:space="preserve"> instead of by year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7. New step: Leads / Tours / Contracts</w:t>
      </w:r>
    </w:p>
    <w:p>
      <w:pPr>
        <w:spacing w:after="30" w:before="30"/>
        <w:jc w:val="center"/>
      </w:pPr>
      <w:r>
        <w:drawing>
          <wp:inline distT="0" distB="0" distL="0" distR="0">
            <wp:extent cx="4752975" cy="130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000"/>
        <w:gridCol w:w="7512"/>
      </w:tblGrid>
      <w:tr>
        <w:tc>
          <w:tcPr>
            <w:tcW w:type="dxa" w:w="30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Annual first</w:t>
            </w:r>
          </w:p>
        </w:tc>
        <w:tc>
          <w:tcPr>
            <w:tcW w:type="dxa" w:w="75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Events for Years 1 to 3 set the contracts we need; conversion rates set the tours and leads behind them.</w:t>
            </w:r>
          </w:p>
        </w:tc>
      </w:tr>
      <w:tr>
        <w:tc>
          <w:tcPr>
            <w:tcW w:type="dxa" w:w="30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Conversion rates</w:t>
            </w:r>
          </w:p>
        </w:tc>
        <w:tc>
          <w:tcPr>
            <w:tcW w:type="dxa" w:w="75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L→T: leads that become tours. T→C: tours that become contracts.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Venue history if they have it (they often don't); otherwise Walters averages.</w:t>
            </w:r>
          </w:p>
        </w:tc>
      </w:tr>
    </w:tbl>
    <w:p>
      <w:pPr>
        <w:pStyle w:val="Heading1"/>
        <w:pBdr>
          <w:bottom w:val="single" w:color="1A939B" w:sz="12" w:space="4"/>
        </w:pBdr>
        <w:spacing w:after="7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939B"/>
          <w:sz w:val="30"/>
          <w:szCs w:val="30"/>
        </w:rPr>
        <w:t xml:space="preserve">8. Monthly build</w:t>
      </w:r>
    </w:p>
    <w:p>
      <w:pPr>
        <w:spacing w:after="30" w:before="30"/>
        <w:jc w:val="center"/>
      </w:pPr>
      <w:r>
        <w:drawing>
          <wp:inline distT="0" distB="0" distL="0" distR="0">
            <wp:extent cx="4391025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Annual to monthly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2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Leads, tours, contracts, events and financials are split by month on seasonality (a Walters comparable venue if no history).</w:t>
            </w:r>
          </w:p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Early months ramp up to a stable lead and tour count; contracts follow.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Events by month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OC events land in their booked month; new events fill the rest of the annual total.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FF6F9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939B"/>
                <w:sz w:val="20"/>
                <w:szCs w:val="20"/>
              </w:rPr>
              <w:t xml:space="preserve">Attachment and $ / Event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Applied directly by month; not split out from an annual total.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476f17a1ec2f1bed860b187aa82057ea2be7f91.png"/><Relationship Id="rId8" Type="http://schemas.openxmlformats.org/officeDocument/2006/relationships/image" Target="media/74497a4ba1e7fd6690a4b547838788590e961895.png"/><Relationship Id="rId9" Type="http://schemas.openxmlformats.org/officeDocument/2006/relationships/image" Target="media/e471a87d591532500719662d37552faf35e74c28.png"/><Relationship Id="rId10" Type="http://schemas.openxmlformats.org/officeDocument/2006/relationships/image" Target="media/a41a66c1f4f7e5976ae01ccbaa9bc5e379e5b98d.png"/><Relationship Id="rId11" Type="http://schemas.openxmlformats.org/officeDocument/2006/relationships/image" Target="media/3df13f1ced6b90d022539ed27564892df7b63ae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2026-09-07T16:20:27.934Z</dcterms:created>
  <dcterms:modified xsi:type="dcterms:W3CDTF">2026-09-07T16:20:27.934Z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