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6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B0B0B"/>
          <w:sz w:val="40"/>
          <w:szCs w:val="40"/>
        </w:rPr>
        <w:t xml:space="preserve">Pro Forma Cheat Sheet</w:t>
      </w:r>
    </w:p>
    <w:p>
      <w:pPr>
        <w:spacing w:after="60" w:before="0" w:line="26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22"/>
          <w:szCs w:val="22"/>
        </w:rPr>
        <w:t xml:space="preserve">Walters Hospitality</w:t>
      </w:r>
      <w:r>
        <w:rPr>
          <w:rFonts w:ascii="Calibri" w:cs="Calibri" w:eastAsia="Calibri" w:hAnsi="Calibri"/>
          <w:b/>
          <w:bCs/>
          <w:i w:val="false"/>
          <w:iCs w:val="false"/>
          <w:color w:val="52514E"/>
          <w:sz w:val="22"/>
          <w:szCs w:val="22"/>
        </w:rPr>
        <w:t xml:space="preserve">   |   Part 1: Pre-LOI</w:t>
      </w:r>
    </w:p>
    <w:p>
      <w:pPr>
        <w:pStyle w:val="Heading1"/>
        <w:pBdr>
          <w:bottom w:val="single" w:color="1A939B" w:sz="12" w:space="4"/>
        </w:pBdr>
        <w:spacing w:after="7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30"/>
          <w:szCs w:val="30"/>
        </w:rPr>
        <w:t xml:space="preserve">1. Frame the venue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Market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Current market</w:t>
            </w:r>
          </w:p>
          <w:p>
            <w:pPr>
              <w:spacing w:after="10" w:before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A939B"/>
                <w:sz w:val="16"/>
                <w:szCs w:val="16"/>
              </w:rPr>
              <w:t xml:space="preserve">vs.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New market</w:t>
            </w:r>
          </w:p>
        </w:tc>
        <w:tc>
          <w:tcPr>
            <w:tcW w:type="dxa" w:w="2628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Performing or growth?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Established, strong performer</w:t>
            </w:r>
          </w:p>
          <w:p>
            <w:pPr>
              <w:spacing w:after="10" w:before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A939B"/>
                <w:sz w:val="16"/>
                <w:szCs w:val="16"/>
              </w:rPr>
              <w:t xml:space="preserve">vs.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Upside we can unlock</w:t>
            </w:r>
          </w:p>
        </w:tc>
        <w:tc>
          <w:tcPr>
            <w:tcW w:type="dxa" w:w="2628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Vendor services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What they offer today</w:t>
            </w:r>
          </w:p>
          <w:p>
            <w:pPr>
              <w:spacing w:after="10" w:before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A939B"/>
                <w:sz w:val="16"/>
                <w:szCs w:val="16"/>
              </w:rPr>
              <w:t xml:space="preserve">vs.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What we bring</w:t>
            </w:r>
          </w:p>
        </w:tc>
        <w:tc>
          <w:tcPr>
            <w:tcW w:type="dxa" w:w="2628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Employee structure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Overstaffed vs. understaffed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Owner hands-on vs. hands-off</w:t>
            </w:r>
          </w:p>
        </w:tc>
      </w:tr>
    </w:tbl>
    <w:p>
      <w:pPr>
        <w:pStyle w:val="Heading1"/>
        <w:pBdr>
          <w:bottom w:val="single" w:color="1A939B" w:sz="12" w:space="4"/>
        </w:pBdr>
        <w:spacing w:after="7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30"/>
          <w:szCs w:val="30"/>
        </w:rPr>
        <w:t xml:space="preserve">2. Key terms</w:t>
      </w:r>
    </w:p>
    <w:p>
      <w:pPr>
        <w:spacing w:after="30" w:before="30"/>
        <w:jc w:val="center"/>
      </w:pPr>
      <w:r>
        <w:drawing>
          <wp:inline distT="0" distB="0" distL="0" distR="0">
            <wp:extent cx="3752850" cy="1362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7912"/>
      </w:tblGrid>
      <w:tr>
        <w:tc>
          <w:tcPr>
            <w:tcW w:type="dxa" w:w="26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Pro Forma Year 1 / 2 / 3</w:t>
            </w:r>
          </w:p>
        </w:tc>
        <w:tc>
          <w:tcPr>
            <w:tcW w:type="dxa" w:w="79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Year 1 starts the day we close.</w:t>
            </w:r>
          </w:p>
        </w:tc>
      </w:tr>
      <w:tr>
        <w:tc>
          <w:tcPr>
            <w:tcW w:type="dxa" w:w="26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OC events</w:t>
            </w:r>
          </w:p>
        </w:tc>
        <w:tc>
          <w:tcPr>
            <w:tcW w:type="dxa" w:w="79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“Original Contract” events; booked prior to close by the sellers to occur post-close. We honor OC events as-is.</w:t>
            </w:r>
          </w:p>
        </w:tc>
      </w:tr>
      <w:tr>
        <w:tc>
          <w:tcPr>
            <w:tcW w:type="dxa" w:w="26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“Event” vs. “Contract”</w:t>
            </w:r>
          </w:p>
        </w:tc>
        <w:tc>
          <w:tcPr>
            <w:tcW w:type="dxa" w:w="79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2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“Events” in Year 1 occur in Year 1.</w:t>
            </w:r>
          </w:p>
          <w:p>
            <w:pPr>
              <w:spacing w:after="2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“Contracts” in Year 1 are events booked in Year 1.</w:t>
            </w:r>
          </w:p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We only project Events pre-LOI.</w:t>
            </w:r>
          </w:p>
        </w:tc>
      </w:tr>
    </w:tbl>
    <w:p>
      <w:pPr>
        <w:pStyle w:val="Heading1"/>
        <w:pBdr>
          <w:bottom w:val="single" w:color="1A939B" w:sz="12" w:space="4"/>
        </w:pBdr>
        <w:spacing w:after="7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30"/>
          <w:szCs w:val="30"/>
        </w:rPr>
        <w:t xml:space="preserve">3. Market</w:t>
      </w:r>
    </w:p>
    <w:p>
      <w:pPr>
        <w:spacing w:after="30" w:before="30"/>
        <w:jc w:val="center"/>
      </w:pPr>
      <w:r>
        <w:drawing>
          <wp:inline distT="0" distB="0" distL="0" distR="0">
            <wp:extent cx="3476625" cy="1685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300"/>
        <w:gridCol w:w="7212"/>
      </w:tblGrid>
      <w:tr>
        <w:tc>
          <w:tcPr>
            <w:tcW w:type="dxa" w:w="33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1  Current market, in hub range</w:t>
            </w:r>
          </w:p>
        </w:tc>
        <w:tc>
          <w:tcPr>
            <w:tcW w:type="dxa" w:w="72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&lt;90-minute drive from each hub (Catering / Floral / Bakery).</w:t>
            </w:r>
          </w:p>
        </w:tc>
      </w:tr>
      <w:tr>
        <w:tc>
          <w:tcPr>
            <w:tcW w:type="dxa" w:w="33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2  Current market, outside hub range</w:t>
            </w:r>
          </w:p>
        </w:tc>
        <w:tc>
          <w:tcPr>
            <w:tcW w:type="dxa" w:w="72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2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Part of the broader region, geographically and operationally.</w:t>
            </w:r>
          </w:p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Too far to utilize existing hubs.</w:t>
            </w:r>
          </w:p>
        </w:tc>
      </w:tr>
      <w:tr>
        <w:tc>
          <w:tcPr>
            <w:tcW w:type="dxa" w:w="33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3  New market</w:t>
            </w:r>
          </w:p>
        </w:tc>
        <w:tc>
          <w:tcPr>
            <w:tcW w:type="dxa" w:w="72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A new region for Walters.</w:t>
            </w:r>
          </w:p>
        </w:tc>
      </w:tr>
    </w:tbl>
    <w:p>
      <w:pPr>
        <w:pStyle w:val="Heading1"/>
        <w:pBdr>
          <w:bottom w:val="single" w:color="1A939B" w:sz="12" w:space="4"/>
        </w:pBdr>
        <w:spacing w:after="7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30"/>
          <w:szCs w:val="30"/>
        </w:rPr>
        <w:t xml:space="preserve">4. Top-Line Projections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504"/>
        <w:gridCol w:w="3504"/>
        <w:gridCol w:w="3504"/>
      </w:tblGrid>
      <w:tr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# of Events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Historical average?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LTM vs. NTM?</w:t>
            </w:r>
          </w:p>
        </w:tc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% Attachment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Share of events that attach to each vendor service; based on Walters regional averages</w:t>
            </w:r>
          </w:p>
        </w:tc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$ / Event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Spend per event on each vendor service; based on Walters averages</w:t>
            </w:r>
          </w:p>
        </w:tc>
      </w:tr>
    </w:tbl>
    <w:p>
      <w:pPr>
        <w:spacing w:after="40" w:before="60" w:line="26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23"/>
          <w:szCs w:val="23"/>
        </w:rPr>
        <w:t xml:space="preserve">Vendor Services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300"/>
        <w:gridCol w:w="7212"/>
      </w:tblGrid>
      <w:tr>
        <w:tc>
          <w:tcPr>
            <w:tcW w:type="dxa" w:w="33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Bar</w:t>
            </w:r>
          </w:p>
        </w:tc>
        <w:tc>
          <w:tcPr>
            <w:tcW w:type="dxa" w:w="72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Any market; on/off switch once we hold the liquor license.</w:t>
            </w:r>
          </w:p>
        </w:tc>
      </w:tr>
      <w:tr>
        <w:tc>
          <w:tcPr>
            <w:tcW w:type="dxa" w:w="33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Catering / Floral / Bakery</w:t>
            </w:r>
          </w:p>
        </w:tc>
        <w:tc>
          <w:tcPr>
            <w:tcW w:type="dxa" w:w="72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Existing markets; depends on hub distance.</w:t>
            </w:r>
          </w:p>
        </w:tc>
      </w:tr>
      <w:tr>
        <w:tc>
          <w:tcPr>
            <w:tcW w:type="dxa" w:w="33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Photography / DJ / Stationery</w:t>
            </w:r>
          </w:p>
        </w:tc>
        <w:tc>
          <w:tcPr>
            <w:tcW w:type="dxa" w:w="72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Any market; only need to hire and implement packages.</w:t>
            </w:r>
          </w:p>
        </w:tc>
      </w:tr>
    </w:tbl>
    <w:p>
      <w:pPr>
        <w:pBdr>
          <w:bottom w:val="single" w:color="B7DCDF" w:sz="4" w:space="1"/>
        </w:pBdr>
        <w:spacing w:after="40" w:before="30"/>
      </w:pPr>
    </w:p>
    <w:p>
      <w:pPr>
        <w:spacing w:after="30" w:before="80" w:line="26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B0B0B"/>
          <w:sz w:val="20"/>
          <w:szCs w:val="20"/>
        </w:rPr>
        <w:t xml:space="preserve">Attachment ramp-up</w:t>
      </w:r>
    </w:p>
    <w:p>
      <w:pPr>
        <w:spacing w:after="40" w:before="0" w:line="264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14E"/>
          <w:sz w:val="19"/>
          <w:szCs w:val="19"/>
        </w:rPr>
        <w:t xml:space="preserve">Our typical assumption: ramp to the Walters average attachment by Year 3, adjusted for the venue.</w:t>
      </w:r>
    </w:p>
    <w:p>
      <w:pPr>
        <w:spacing w:after="30" w:before="30"/>
        <w:jc w:val="center"/>
      </w:pPr>
      <w:r>
        <w:drawing>
          <wp:inline distT="0" distB="0" distL="0" distR="0">
            <wp:extent cx="4848225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color="1A939B" w:sz="12" w:space="4"/>
        </w:pBdr>
        <w:spacing w:after="7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30"/>
          <w:szCs w:val="30"/>
        </w:rPr>
        <w:t xml:space="preserve">5. Expenses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504"/>
        <w:gridCol w:w="3504"/>
        <w:gridCol w:w="3504"/>
      </w:tblGrid>
      <w:tr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2"/>
                <w:szCs w:val="22"/>
              </w:rPr>
              <w:t xml:space="preserve">COGS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Historically driven by their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existing vendor services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 (if any); go-forward defers towards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our offerings and margins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Keep their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go-forward OC costs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 in mind (e.g. a required caterer's per-head cost on OC events)</w:t>
            </w:r>
          </w:p>
        </w:tc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2"/>
                <w:szCs w:val="22"/>
              </w:rPr>
              <w:t xml:space="preserve">Payroll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Current staff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Current or new market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Owner involvement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: what they pay themselves;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replacement cost</w:t>
            </w:r>
          </w:p>
        </w:tc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2"/>
                <w:szCs w:val="22"/>
              </w:rPr>
              <w:t xml:space="preserve">Operating expenses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Venue specific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 (utilities, maintenance)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Walters operational changes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 (marketing, insurance, finance expenses, professional services, etc.)</w:t>
            </w:r>
          </w:p>
        </w:tc>
      </w:tr>
    </w:tbl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B0B0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476f17a1ec2f1bed860b187aa82057ea2be7f91.png"/><Relationship Id="rId8" Type="http://schemas.openxmlformats.org/officeDocument/2006/relationships/image" Target="media/74497a4ba1e7fd6690a4b547838788590e961895.png"/><Relationship Id="rId9" Type="http://schemas.openxmlformats.org/officeDocument/2006/relationships/image" Target="media/e471a87d591532500719662d37552faf35e74c2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2026-09-07T16:04:42.386Z</dcterms:created>
  <dcterms:modified xsi:type="dcterms:W3CDTF">2026-09-07T16:04:42.403Z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