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Calibri" w:cs="Calibri" w:eastAsia="Calibri" w:hAnsi="Calibri"/>
          <w:b/>
          <w:bCs/>
          <w:i w:val="false"/>
          <w:iCs w:val="false"/>
          <w:color w:val="0B0B0B"/>
          <w:sz w:val="40"/>
          <w:szCs w:val="40"/>
        </w:rPr>
        <w:t xml:space="preserve">Pro Forma Cheat Sheet</w:t>
      </w:r>
    </w:p>
    <w:p>
      <w:pPr>
        <w:spacing w:after="60" w:before="0" w:line="264"/>
        <w:jc w:val="left"/>
      </w:pPr>
      <w:r>
        <w:rPr>
          <w:rFonts w:ascii="Calibri" w:cs="Calibri" w:eastAsia="Calibri" w:hAnsi="Calibri"/>
          <w:b/>
          <w:bCs/>
          <w:i w:val="false"/>
          <w:iCs w:val="false"/>
          <w:color w:val="1A939B"/>
          <w:sz w:val="22"/>
          <w:szCs w:val="22"/>
        </w:rPr>
        <w:t xml:space="preserve">Walters Hospitality</w:t>
      </w:r>
      <w:r>
        <w:rPr>
          <w:rFonts w:ascii="Calibri" w:cs="Calibri" w:eastAsia="Calibri" w:hAnsi="Calibri"/>
          <w:b/>
          <w:bCs/>
          <w:i w:val="false"/>
          <w:iCs w:val="false"/>
          <w:color w:val="52514E"/>
          <w:sz w:val="22"/>
          <w:szCs w:val="22"/>
        </w:rPr>
        <w:t xml:space="preserve">   |   Part 1: Pre-LOI</w:t>
      </w:r>
    </w:p>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1. Frame the venue</w:t>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2628"/>
        <w:gridCol w:w="2628"/>
        <w:gridCol w:w="2628"/>
        <w:gridCol w:w="2628"/>
      </w:tblGrid>
      <w:tr>
        <w:tc>
          <w:tcPr>
            <w:tcW w:type="dxa" w:w="2628"/>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Market</w:t>
            </w:r>
          </w:p>
          <w:p>
            <w:pPr>
              <w:spacing w:after="30" w:before="0" w:line="240"/>
              <w:jc w:val="left"/>
            </w:pPr>
            <w:r>
              <w:rPr>
                <w:rFonts w:ascii="Calibri" w:cs="Calibri" w:eastAsia="Calibri" w:hAnsi="Calibri"/>
                <w:b w:val="false"/>
                <w:bCs w:val="false"/>
                <w:i w:val="false"/>
                <w:iCs w:val="false"/>
                <w:color w:val="52514E"/>
                <w:sz w:val="18"/>
                <w:szCs w:val="18"/>
              </w:rPr>
              <w:t xml:space="preserve">Current market</w:t>
            </w:r>
          </w:p>
          <w:p>
            <w:pPr>
              <w:spacing w:after="10" w:before="0" w:line="220"/>
              <w:jc w:val="left"/>
            </w:pPr>
            <w:r>
              <w:rPr>
                <w:rFonts w:ascii="Calibri" w:cs="Calibri" w:eastAsia="Calibri" w:hAnsi="Calibri"/>
                <w:b w:val="false"/>
                <w:bCs w:val="false"/>
                <w:i/>
                <w:iCs/>
                <w:color w:val="1A939B"/>
                <w:sz w:val="16"/>
                <w:szCs w:val="16"/>
              </w:rPr>
              <w:t xml:space="preserve">vs.</w:t>
            </w:r>
          </w:p>
          <w:p>
            <w:pPr>
              <w:spacing w:after="30" w:before="0" w:line="240"/>
              <w:jc w:val="left"/>
            </w:pPr>
            <w:r>
              <w:rPr>
                <w:rFonts w:ascii="Calibri" w:cs="Calibri" w:eastAsia="Calibri" w:hAnsi="Calibri"/>
                <w:b w:val="false"/>
                <w:bCs w:val="false"/>
                <w:i w:val="false"/>
                <w:iCs w:val="false"/>
                <w:color w:val="52514E"/>
                <w:sz w:val="18"/>
                <w:szCs w:val="18"/>
              </w:rPr>
              <w:t xml:space="preserve">New market</w:t>
            </w:r>
          </w:p>
        </w:tc>
        <w:tc>
          <w:tcPr>
            <w:tcW w:type="dxa" w:w="2628"/>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Performing or growth?</w:t>
            </w:r>
          </w:p>
          <w:p>
            <w:pPr>
              <w:spacing w:after="30" w:before="0" w:line="240"/>
              <w:jc w:val="left"/>
            </w:pPr>
            <w:r>
              <w:rPr>
                <w:rFonts w:ascii="Calibri" w:cs="Calibri" w:eastAsia="Calibri" w:hAnsi="Calibri"/>
                <w:b w:val="false"/>
                <w:bCs w:val="false"/>
                <w:i w:val="false"/>
                <w:iCs w:val="false"/>
                <w:color w:val="52514E"/>
                <w:sz w:val="18"/>
                <w:szCs w:val="18"/>
              </w:rPr>
              <w:t xml:space="preserve">Established, strong performer</w:t>
            </w:r>
          </w:p>
          <w:p>
            <w:pPr>
              <w:spacing w:after="10" w:before="0" w:line="220"/>
              <w:jc w:val="left"/>
            </w:pPr>
            <w:r>
              <w:rPr>
                <w:rFonts w:ascii="Calibri" w:cs="Calibri" w:eastAsia="Calibri" w:hAnsi="Calibri"/>
                <w:b w:val="false"/>
                <w:bCs w:val="false"/>
                <w:i/>
                <w:iCs/>
                <w:color w:val="1A939B"/>
                <w:sz w:val="16"/>
                <w:szCs w:val="16"/>
              </w:rPr>
              <w:t xml:space="preserve">vs.</w:t>
            </w:r>
          </w:p>
          <w:p>
            <w:pPr>
              <w:spacing w:after="30" w:before="0" w:line="240"/>
              <w:jc w:val="left"/>
            </w:pPr>
            <w:r>
              <w:rPr>
                <w:rFonts w:ascii="Calibri" w:cs="Calibri" w:eastAsia="Calibri" w:hAnsi="Calibri"/>
                <w:b w:val="false"/>
                <w:bCs w:val="false"/>
                <w:i w:val="false"/>
                <w:iCs w:val="false"/>
                <w:color w:val="52514E"/>
                <w:sz w:val="18"/>
                <w:szCs w:val="18"/>
              </w:rPr>
              <w:t xml:space="preserve">Upside we can unlock</w:t>
            </w:r>
          </w:p>
        </w:tc>
        <w:tc>
          <w:tcPr>
            <w:tcW w:type="dxa" w:w="2628"/>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Vendor services</w:t>
            </w:r>
          </w:p>
          <w:p>
            <w:pPr>
              <w:spacing w:after="30" w:before="0" w:line="240"/>
              <w:jc w:val="left"/>
            </w:pPr>
            <w:r>
              <w:rPr>
                <w:rFonts w:ascii="Calibri" w:cs="Calibri" w:eastAsia="Calibri" w:hAnsi="Calibri"/>
                <w:b w:val="false"/>
                <w:bCs w:val="false"/>
                <w:i w:val="false"/>
                <w:iCs w:val="false"/>
                <w:color w:val="52514E"/>
                <w:sz w:val="18"/>
                <w:szCs w:val="18"/>
              </w:rPr>
              <w:t xml:space="preserve">What they offer today</w:t>
            </w:r>
          </w:p>
          <w:p>
            <w:pPr>
              <w:spacing w:after="10" w:before="0" w:line="220"/>
              <w:jc w:val="left"/>
            </w:pPr>
            <w:r>
              <w:rPr>
                <w:rFonts w:ascii="Calibri" w:cs="Calibri" w:eastAsia="Calibri" w:hAnsi="Calibri"/>
                <w:b w:val="false"/>
                <w:bCs w:val="false"/>
                <w:i/>
                <w:iCs/>
                <w:color w:val="1A939B"/>
                <w:sz w:val="16"/>
                <w:szCs w:val="16"/>
              </w:rPr>
              <w:t xml:space="preserve">vs.</w:t>
            </w:r>
          </w:p>
          <w:p>
            <w:pPr>
              <w:spacing w:after="30" w:before="0" w:line="240"/>
              <w:jc w:val="left"/>
            </w:pPr>
            <w:r>
              <w:rPr>
                <w:rFonts w:ascii="Calibri" w:cs="Calibri" w:eastAsia="Calibri" w:hAnsi="Calibri"/>
                <w:b w:val="false"/>
                <w:bCs w:val="false"/>
                <w:i w:val="false"/>
                <w:iCs w:val="false"/>
                <w:color w:val="52514E"/>
                <w:sz w:val="18"/>
                <w:szCs w:val="18"/>
              </w:rPr>
              <w:t xml:space="preserve">What we bring</w:t>
            </w:r>
          </w:p>
        </w:tc>
        <w:tc>
          <w:tcPr>
            <w:tcW w:type="dxa" w:w="2628"/>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Employee structure</w:t>
            </w:r>
          </w:p>
          <w:p>
            <w:pPr>
              <w:spacing w:after="30" w:before="0" w:line="240"/>
              <w:jc w:val="left"/>
            </w:pPr>
            <w:r>
              <w:rPr>
                <w:rFonts w:ascii="Calibri" w:cs="Calibri" w:eastAsia="Calibri" w:hAnsi="Calibri"/>
                <w:b w:val="false"/>
                <w:bCs w:val="false"/>
                <w:i w:val="false"/>
                <w:iCs w:val="false"/>
                <w:color w:val="52514E"/>
                <w:sz w:val="18"/>
                <w:szCs w:val="18"/>
              </w:rPr>
              <w:t xml:space="preserve">Overstaffed vs. understaffed</w:t>
            </w:r>
          </w:p>
          <w:p>
            <w:pPr>
              <w:spacing w:after="30" w:before="0" w:line="240"/>
              <w:jc w:val="left"/>
            </w:pPr>
            <w:r>
              <w:rPr>
                <w:rFonts w:ascii="Calibri" w:cs="Calibri" w:eastAsia="Calibri" w:hAnsi="Calibri"/>
                <w:b w:val="false"/>
                <w:bCs w:val="false"/>
                <w:i w:val="false"/>
                <w:iCs w:val="false"/>
                <w:color w:val="52514E"/>
                <w:sz w:val="18"/>
                <w:szCs w:val="18"/>
              </w:rPr>
              <w:t xml:space="preserve">Owner hands-on vs. hands-off</w:t>
            </w:r>
          </w:p>
        </w:tc>
      </w:tr>
    </w:tbl>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2. Key terms</w:t>
      </w:r>
    </w:p>
    <w:p>
      <w:pPr>
        <w:spacing w:after="30" w:before="30"/>
        <w:jc w:val="center"/>
      </w:pPr>
      <w:r>
        <w:drawing>
          <wp:inline distT="0" distB="0" distL="0" distR="0">
            <wp:extent cx="37528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752850" cy="1362075"/>
                    </a:xfrm>
                    <a:prstGeom prst="rect">
                      <a:avLst/>
                    </a:prstGeom>
                  </pic:spPr>
                </pic:pic>
              </a:graphicData>
            </a:graphic>
          </wp:inline>
        </w:drawing>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2600"/>
        <w:gridCol w:w="7912"/>
      </w:tblGrid>
      <w:tr>
        <w:tc>
          <w:tcPr>
            <w:tcW w:type="dxa" w:w="26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Pro Forma Year 1 / 2 / 3</w:t>
            </w:r>
          </w:p>
        </w:tc>
        <w:tc>
          <w:tcPr>
            <w:tcW w:type="dxa" w:w="79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Year 1 starts the day we close.</w:t>
            </w:r>
          </w:p>
        </w:tc>
      </w:tr>
      <w:tr>
        <w:tc>
          <w:tcPr>
            <w:tcW w:type="dxa" w:w="26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OC events</w:t>
            </w:r>
          </w:p>
        </w:tc>
        <w:tc>
          <w:tcPr>
            <w:tcW w:type="dxa" w:w="79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“Original Contract” events; booked prior to close by the sellers to occur post-close. We honor OC events as-is.</w:t>
            </w:r>
          </w:p>
        </w:tc>
      </w:tr>
      <w:tr>
        <w:tc>
          <w:tcPr>
            <w:tcW w:type="dxa" w:w="26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“Event” vs. “Contract”</w:t>
            </w:r>
          </w:p>
        </w:tc>
        <w:tc>
          <w:tcPr>
            <w:tcW w:type="dxa" w:w="79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20" w:before="0" w:line="240"/>
              <w:jc w:val="left"/>
            </w:pPr>
            <w:r>
              <w:rPr>
                <w:rFonts w:ascii="Calibri" w:cs="Calibri" w:eastAsia="Calibri" w:hAnsi="Calibri"/>
                <w:b w:val="false"/>
                <w:bCs w:val="false"/>
                <w:i w:val="false"/>
                <w:iCs w:val="false"/>
                <w:color w:val="0B0B0B"/>
                <w:sz w:val="20"/>
                <w:szCs w:val="20"/>
              </w:rPr>
              <w:t xml:space="preserve">“Events” in Year 1 occur in Year 1.</w:t>
            </w:r>
          </w:p>
          <w:p>
            <w:pPr>
              <w:spacing w:after="20" w:before="0" w:line="240"/>
              <w:jc w:val="left"/>
            </w:pPr>
            <w:r>
              <w:rPr>
                <w:rFonts w:ascii="Calibri" w:cs="Calibri" w:eastAsia="Calibri" w:hAnsi="Calibri"/>
                <w:b w:val="false"/>
                <w:bCs w:val="false"/>
                <w:i w:val="false"/>
                <w:iCs w:val="false"/>
                <w:color w:val="0B0B0B"/>
                <w:sz w:val="20"/>
                <w:szCs w:val="20"/>
              </w:rPr>
              <w:t xml:space="preserve">“Contracts” in Year 1 are events booked in Year 1.</w:t>
            </w:r>
          </w:p>
          <w:p>
            <w:pPr>
              <w:spacing w:after="0" w:before="0" w:line="240"/>
              <w:jc w:val="left"/>
            </w:pPr>
            <w:r>
              <w:rPr>
                <w:rFonts w:ascii="Calibri" w:cs="Calibri" w:eastAsia="Calibri" w:hAnsi="Calibri"/>
                <w:b w:val="false"/>
                <w:bCs w:val="false"/>
                <w:i w:val="false"/>
                <w:iCs w:val="false"/>
                <w:color w:val="0B0B0B"/>
                <w:sz w:val="20"/>
                <w:szCs w:val="20"/>
              </w:rPr>
              <w:t xml:space="preserve">We only project Events pre-LOI.</w:t>
            </w:r>
          </w:p>
        </w:tc>
      </w:tr>
    </w:tbl>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3. Market</w:t>
      </w:r>
    </w:p>
    <w:p>
      <w:pPr>
        <w:spacing w:after="30" w:before="30"/>
        <w:jc w:val="center"/>
      </w:pPr>
      <w:r>
        <w:drawing>
          <wp:inline distT="0" distB="0" distL="0" distR="0">
            <wp:extent cx="347662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76625" cy="1685925"/>
                    </a:xfrm>
                    <a:prstGeom prst="rect">
                      <a:avLst/>
                    </a:prstGeom>
                  </pic:spPr>
                </pic:pic>
              </a:graphicData>
            </a:graphic>
          </wp:inline>
        </w:drawing>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3300"/>
        <w:gridCol w:w="7212"/>
      </w:tblGrid>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1  Current market, in hub range</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&lt;90-minute drive from each hub (Catering / Floral / Bakery).</w:t>
            </w:r>
          </w:p>
        </w:tc>
      </w:tr>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2  Current market, outside hub range</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20" w:before="0" w:line="240"/>
              <w:jc w:val="left"/>
            </w:pPr>
            <w:r>
              <w:rPr>
                <w:rFonts w:ascii="Calibri" w:cs="Calibri" w:eastAsia="Calibri" w:hAnsi="Calibri"/>
                <w:b w:val="false"/>
                <w:bCs w:val="false"/>
                <w:i w:val="false"/>
                <w:iCs w:val="false"/>
                <w:color w:val="0B0B0B"/>
                <w:sz w:val="20"/>
                <w:szCs w:val="20"/>
              </w:rPr>
              <w:t xml:space="preserve">Part of the broader region, geographically and operationally.</w:t>
            </w:r>
          </w:p>
          <w:p>
            <w:pPr>
              <w:spacing w:after="0" w:before="0" w:line="240"/>
              <w:jc w:val="left"/>
            </w:pPr>
            <w:r>
              <w:rPr>
                <w:rFonts w:ascii="Calibri" w:cs="Calibri" w:eastAsia="Calibri" w:hAnsi="Calibri"/>
                <w:b w:val="false"/>
                <w:bCs w:val="false"/>
                <w:i w:val="false"/>
                <w:iCs w:val="false"/>
                <w:color w:val="0B0B0B"/>
                <w:sz w:val="20"/>
                <w:szCs w:val="20"/>
              </w:rPr>
              <w:t xml:space="preserve">Too far to utilize existing hubs.</w:t>
            </w:r>
          </w:p>
        </w:tc>
      </w:tr>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3  New market</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A new region for Walters.</w:t>
            </w:r>
          </w:p>
        </w:tc>
      </w:tr>
    </w:tbl>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4. Top-Line Projections</w:t>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3504"/>
        <w:gridCol w:w="3504"/>
        <w:gridCol w:w="3504"/>
      </w:tblGrid>
      <w:tr>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 of Events</w:t>
            </w:r>
          </w:p>
          <w:p>
            <w:pPr>
              <w:spacing w:after="30" w:before="0" w:line="240"/>
              <w:jc w:val="left"/>
            </w:pPr>
            <w:r>
              <w:rPr>
                <w:rFonts w:ascii="Calibri" w:cs="Calibri" w:eastAsia="Calibri" w:hAnsi="Calibri"/>
                <w:b w:val="false"/>
                <w:bCs w:val="false"/>
                <w:i w:val="false"/>
                <w:iCs w:val="false"/>
                <w:color w:val="52514E"/>
                <w:sz w:val="18"/>
                <w:szCs w:val="18"/>
              </w:rPr>
              <w:t xml:space="preserve">Historical average?</w:t>
            </w:r>
          </w:p>
          <w:p>
            <w:pPr>
              <w:spacing w:after="30" w:before="0" w:line="240"/>
              <w:jc w:val="left"/>
            </w:pPr>
            <w:r>
              <w:rPr>
                <w:rFonts w:ascii="Calibri" w:cs="Calibri" w:eastAsia="Calibri" w:hAnsi="Calibri"/>
                <w:b w:val="false"/>
                <w:bCs w:val="false"/>
                <w:i w:val="false"/>
                <w:iCs w:val="false"/>
                <w:color w:val="52514E"/>
                <w:sz w:val="18"/>
                <w:szCs w:val="18"/>
              </w:rPr>
              <w:t xml:space="preserve">LTM vs. NTM?</w:t>
            </w:r>
          </w:p>
        </w:tc>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 Attachment</w:t>
            </w:r>
          </w:p>
          <w:p>
            <w:pPr>
              <w:spacing w:after="30" w:before="0" w:line="240"/>
              <w:jc w:val="left"/>
            </w:pPr>
            <w:r>
              <w:rPr>
                <w:rFonts w:ascii="Calibri" w:cs="Calibri" w:eastAsia="Calibri" w:hAnsi="Calibri"/>
                <w:b w:val="false"/>
                <w:bCs w:val="false"/>
                <w:i w:val="false"/>
                <w:iCs w:val="false"/>
                <w:color w:val="52514E"/>
                <w:sz w:val="18"/>
                <w:szCs w:val="18"/>
              </w:rPr>
              <w:t xml:space="preserve">Share of events that attach to each vendor service; based on Walters regional averages</w:t>
            </w:r>
          </w:p>
        </w:tc>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 / Event</w:t>
            </w:r>
          </w:p>
          <w:p>
            <w:pPr>
              <w:spacing w:after="30" w:before="0" w:line="240"/>
              <w:jc w:val="left"/>
            </w:pPr>
            <w:r>
              <w:rPr>
                <w:rFonts w:ascii="Calibri" w:cs="Calibri" w:eastAsia="Calibri" w:hAnsi="Calibri"/>
                <w:b w:val="false"/>
                <w:bCs w:val="false"/>
                <w:i w:val="false"/>
                <w:iCs w:val="false"/>
                <w:color w:val="52514E"/>
                <w:sz w:val="18"/>
                <w:szCs w:val="18"/>
              </w:rPr>
              <w:t xml:space="preserve">Spend per event on each vendor service; based on Walters averages</w:t>
            </w:r>
          </w:p>
        </w:tc>
      </w:tr>
    </w:tbl>
    <w:p>
      <w:pPr>
        <w:spacing w:after="40" w:before="60" w:line="264"/>
        <w:jc w:val="left"/>
      </w:pPr>
      <w:r>
        <w:rPr>
          <w:rFonts w:ascii="Calibri" w:cs="Calibri" w:eastAsia="Calibri" w:hAnsi="Calibri"/>
          <w:b/>
          <w:bCs/>
          <w:i w:val="false"/>
          <w:iCs w:val="false"/>
          <w:color w:val="1A939B"/>
          <w:sz w:val="23"/>
          <w:szCs w:val="23"/>
        </w:rPr>
        <w:t xml:space="preserve">Vendor Services</w:t>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3300"/>
        <w:gridCol w:w="7212"/>
      </w:tblGrid>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Bar</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Any market; on/off switch once we hold the liquor license.</w:t>
            </w:r>
          </w:p>
        </w:tc>
      </w:tr>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Catering / Floral / Bakery</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Existing markets; depends on hub distance.</w:t>
            </w:r>
          </w:p>
        </w:tc>
      </w:tr>
      <w:tr>
        <w:tc>
          <w:tcPr>
            <w:tcW w:type="dxa" w:w="3300"/>
            <w:tcBorders>
              <w:top w:val="single" w:color="FFFFFF" w:sz="24"/>
              <w:left w:val="single" w:color="FFFFFF" w:sz="24"/>
              <w:bottom w:val="single" w:color="FFFFFF" w:sz="24"/>
              <w:right w:val="single" w:color="FFFFFF" w:sz="24"/>
            </w:tcBorders>
            <w:shd w:fill="EFF6F9" w:color="auto" w:val="clear"/>
            <w:tcMar>
              <w:top w:type="dxa" w:w="60"/>
              <w:left w:type="dxa" w:w="140"/>
              <w:bottom w:type="dxa" w:w="60"/>
              <w:right w:type="dxa" w:w="140"/>
            </w:tcMar>
          </w:tcPr>
          <w:p>
            <w:pPr>
              <w:spacing w:after="0" w:before="0" w:line="264"/>
              <w:jc w:val="left"/>
            </w:pPr>
            <w:r>
              <w:rPr>
                <w:rFonts w:ascii="Calibri" w:cs="Calibri" w:eastAsia="Calibri" w:hAnsi="Calibri"/>
                <w:b/>
                <w:bCs/>
                <w:i w:val="false"/>
                <w:iCs w:val="false"/>
                <w:color w:val="1A939B"/>
                <w:sz w:val="20"/>
                <w:szCs w:val="20"/>
              </w:rPr>
              <w:t xml:space="preserve">Photography / DJ / Stationery</w:t>
            </w:r>
          </w:p>
        </w:tc>
        <w:tc>
          <w:tcPr>
            <w:tcW w:type="dxa" w:w="7212"/>
            <w:tcBorders>
              <w:top w:val="single" w:color="FFFFFF" w:sz="24"/>
              <w:left w:val="single" w:color="FFFFFF" w:sz="24"/>
              <w:bottom w:val="single" w:color="FFFFFF" w:sz="24"/>
              <w:right w:val="single" w:color="FFFFFF" w:sz="24"/>
            </w:tcBorders>
            <w:shd w:fill="F7F7F5" w:color="auto" w:val="clear"/>
            <w:tcMar>
              <w:top w:type="dxa" w:w="60"/>
              <w:left w:type="dxa" w:w="140"/>
              <w:bottom w:type="dxa" w:w="60"/>
              <w:right w:type="dxa" w:w="140"/>
            </w:tcMar>
          </w:tcPr>
          <w:p>
            <w:pPr>
              <w:spacing w:after="0" w:before="0" w:line="264"/>
              <w:jc w:val="left"/>
            </w:pPr>
            <w:r>
              <w:rPr>
                <w:rFonts w:ascii="Calibri" w:cs="Calibri" w:eastAsia="Calibri" w:hAnsi="Calibri"/>
                <w:b w:val="false"/>
                <w:bCs w:val="false"/>
                <w:i w:val="false"/>
                <w:iCs w:val="false"/>
                <w:color w:val="0B0B0B"/>
                <w:sz w:val="20"/>
                <w:szCs w:val="20"/>
              </w:rPr>
              <w:t xml:space="preserve">Any market; only need to hire and implement packages.</w:t>
            </w:r>
          </w:p>
        </w:tc>
      </w:tr>
    </w:tbl>
    <w:p>
      <w:pPr>
        <w:pBdr>
          <w:bottom w:val="single" w:color="B7DCDF" w:sz="4" w:space="1"/>
        </w:pBdr>
        <w:spacing w:after="40" w:before="30"/>
      </w:pPr>
    </w:p>
    <w:p>
      <w:pPr>
        <w:spacing w:after="30" w:before="80" w:line="264"/>
        <w:jc w:val="left"/>
      </w:pPr>
      <w:r>
        <w:rPr>
          <w:rFonts w:ascii="Calibri" w:cs="Calibri" w:eastAsia="Calibri" w:hAnsi="Calibri"/>
          <w:b/>
          <w:bCs/>
          <w:i w:val="false"/>
          <w:iCs w:val="false"/>
          <w:color w:val="0B0B0B"/>
          <w:sz w:val="20"/>
          <w:szCs w:val="20"/>
        </w:rPr>
        <w:t xml:space="preserve">Attachment ramp-up</w:t>
      </w:r>
    </w:p>
    <w:p>
      <w:pPr>
        <w:spacing w:after="40" w:before="0" w:line="264"/>
        <w:jc w:val="left"/>
      </w:pPr>
      <w:r>
        <w:rPr>
          <w:rFonts w:ascii="Calibri" w:cs="Calibri" w:eastAsia="Calibri" w:hAnsi="Calibri"/>
          <w:b w:val="false"/>
          <w:bCs w:val="false"/>
          <w:i w:val="false"/>
          <w:iCs w:val="false"/>
          <w:color w:val="52514E"/>
          <w:sz w:val="19"/>
          <w:szCs w:val="19"/>
        </w:rPr>
        <w:t xml:space="preserve">Our typical assumption: ramp to the Walters average attachment by Year 3, adjusted for the venue.</w:t>
      </w:r>
    </w:p>
    <w:p>
      <w:pPr>
        <w:spacing w:after="30" w:before="30"/>
        <w:jc w:val="center"/>
      </w:pPr>
      <w:r>
        <w:drawing>
          <wp:inline distT="0" distB="0" distL="0" distR="0">
            <wp:extent cx="484822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48225" cy="2076450"/>
                    </a:xfrm>
                    <a:prstGeom prst="rect">
                      <a:avLst/>
                    </a:prstGeom>
                  </pic:spPr>
                </pic:pic>
              </a:graphicData>
            </a:graphic>
          </wp:inline>
        </w:drawing>
      </w:r>
    </w:p>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5. Expenses</w:t>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3504"/>
        <w:gridCol w:w="3504"/>
        <w:gridCol w:w="3504"/>
      </w:tblGrid>
      <w:tr>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2"/>
                <w:szCs w:val="22"/>
              </w:rPr>
              <w:t xml:space="preserve">COGS</w:t>
            </w:r>
          </w:p>
          <w:p>
            <w:pPr>
              <w:pStyle w:val="ListParagraph"/>
              <w:numPr>
                <w:ilvl w:val="0"/>
                <w:numId w:val="2"/>
              </w:numPr>
              <w:spacing w:after="20" w:before="0" w:line="248"/>
            </w:pPr>
            <w:r>
              <w:rPr>
                <w:rFonts w:ascii="Calibri" w:cs="Calibri" w:eastAsia="Calibri" w:hAnsi="Calibri"/>
                <w:b w:val="false"/>
                <w:bCs w:val="false"/>
                <w:i w:val="false"/>
                <w:iCs w:val="false"/>
                <w:color w:val="0B0B0B"/>
                <w:sz w:val="18"/>
                <w:szCs w:val="18"/>
              </w:rPr>
              <w:t xml:space="preserve">Historically driven by their </w:t>
            </w:r>
            <w:r>
              <w:rPr>
                <w:rFonts w:ascii="Calibri" w:cs="Calibri" w:eastAsia="Calibri" w:hAnsi="Calibri"/>
                <w:b/>
                <w:bCs/>
                <w:i w:val="false"/>
                <w:iCs w:val="false"/>
                <w:color w:val="0B0B0B"/>
                <w:sz w:val="18"/>
                <w:szCs w:val="18"/>
              </w:rPr>
              <w:t xml:space="preserve">existing vendor services</w:t>
            </w:r>
            <w:r>
              <w:rPr>
                <w:rFonts w:ascii="Calibri" w:cs="Calibri" w:eastAsia="Calibri" w:hAnsi="Calibri"/>
                <w:b w:val="false"/>
                <w:bCs w:val="false"/>
                <w:i w:val="false"/>
                <w:iCs w:val="false"/>
                <w:color w:val="0B0B0B"/>
                <w:sz w:val="18"/>
                <w:szCs w:val="18"/>
              </w:rPr>
              <w:t xml:space="preserve"> (if any); go-forward defers towards </w:t>
            </w:r>
            <w:r>
              <w:rPr>
                <w:rFonts w:ascii="Calibri" w:cs="Calibri" w:eastAsia="Calibri" w:hAnsi="Calibri"/>
                <w:b/>
                <w:bCs/>
                <w:i w:val="false"/>
                <w:iCs w:val="false"/>
                <w:color w:val="0B0B0B"/>
                <w:sz w:val="18"/>
                <w:szCs w:val="18"/>
              </w:rPr>
              <w:t xml:space="preserve">our offerings and margins</w:t>
            </w:r>
          </w:p>
          <w:p>
            <w:pPr>
              <w:pStyle w:val="ListParagraph"/>
              <w:numPr>
                <w:ilvl w:val="0"/>
                <w:numId w:val="2"/>
              </w:numPr>
              <w:spacing w:after="20" w:before="0" w:line="248"/>
            </w:pPr>
            <w:r>
              <w:rPr>
                <w:rFonts w:ascii="Calibri" w:cs="Calibri" w:eastAsia="Calibri" w:hAnsi="Calibri"/>
                <w:b w:val="false"/>
                <w:bCs w:val="false"/>
                <w:i w:val="false"/>
                <w:iCs w:val="false"/>
                <w:color w:val="0B0B0B"/>
                <w:sz w:val="18"/>
                <w:szCs w:val="18"/>
              </w:rPr>
              <w:t xml:space="preserve">Keep their </w:t>
            </w:r>
            <w:r>
              <w:rPr>
                <w:rFonts w:ascii="Calibri" w:cs="Calibri" w:eastAsia="Calibri" w:hAnsi="Calibri"/>
                <w:b/>
                <w:bCs/>
                <w:i w:val="false"/>
                <w:iCs w:val="false"/>
                <w:color w:val="0B0B0B"/>
                <w:sz w:val="18"/>
                <w:szCs w:val="18"/>
              </w:rPr>
              <w:t xml:space="preserve">go-forward OC costs</w:t>
            </w:r>
            <w:r>
              <w:rPr>
                <w:rFonts w:ascii="Calibri" w:cs="Calibri" w:eastAsia="Calibri" w:hAnsi="Calibri"/>
                <w:b w:val="false"/>
                <w:bCs w:val="false"/>
                <w:i w:val="false"/>
                <w:iCs w:val="false"/>
                <w:color w:val="0B0B0B"/>
                <w:sz w:val="18"/>
                <w:szCs w:val="18"/>
              </w:rPr>
              <w:t xml:space="preserve"> in mind (e.g. a required caterer's per-head cost on OC events)</w:t>
            </w:r>
          </w:p>
        </w:tc>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2"/>
                <w:szCs w:val="22"/>
              </w:rPr>
              <w:t xml:space="preserve">Payroll</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Current staff</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Current or new market</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Owner involvement</w:t>
            </w:r>
            <w:r>
              <w:rPr>
                <w:rFonts w:ascii="Calibri" w:cs="Calibri" w:eastAsia="Calibri" w:hAnsi="Calibri"/>
                <w:b w:val="false"/>
                <w:bCs w:val="false"/>
                <w:i w:val="false"/>
                <w:iCs w:val="false"/>
                <w:color w:val="0B0B0B"/>
                <w:sz w:val="18"/>
                <w:szCs w:val="18"/>
              </w:rPr>
              <w:t xml:space="preserve">: what they pay themselves; </w:t>
            </w:r>
            <w:r>
              <w:rPr>
                <w:rFonts w:ascii="Calibri" w:cs="Calibri" w:eastAsia="Calibri" w:hAnsi="Calibri"/>
                <w:b/>
                <w:bCs/>
                <w:i w:val="false"/>
                <w:iCs w:val="false"/>
                <w:color w:val="0B0B0B"/>
                <w:sz w:val="18"/>
                <w:szCs w:val="18"/>
              </w:rPr>
              <w:t xml:space="preserve">replacement cost</w:t>
            </w:r>
          </w:p>
        </w:tc>
        <w:tc>
          <w:tcPr>
            <w:tcW w:type="dxa" w:w="3504"/>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2"/>
                <w:szCs w:val="22"/>
              </w:rPr>
              <w:t xml:space="preserve">Operating expenses</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Venue specific</w:t>
            </w:r>
            <w:r>
              <w:rPr>
                <w:rFonts w:ascii="Calibri" w:cs="Calibri" w:eastAsia="Calibri" w:hAnsi="Calibri"/>
                <w:b w:val="false"/>
                <w:bCs w:val="false"/>
                <w:i w:val="false"/>
                <w:iCs w:val="false"/>
                <w:color w:val="0B0B0B"/>
                <w:sz w:val="18"/>
                <w:szCs w:val="18"/>
              </w:rPr>
              <w:t xml:space="preserve"> (utilities, maintenance)</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Walters operational changes</w:t>
            </w:r>
            <w:r>
              <w:rPr>
                <w:rFonts w:ascii="Calibri" w:cs="Calibri" w:eastAsia="Calibri" w:hAnsi="Calibri"/>
                <w:b w:val="false"/>
                <w:bCs w:val="false"/>
                <w:i w:val="false"/>
                <w:iCs w:val="false"/>
                <w:color w:val="0B0B0B"/>
                <w:sz w:val="18"/>
                <w:szCs w:val="18"/>
              </w:rPr>
              <w:t xml:space="preserve"> (marketing, insurance, finance expenses, professional services, etc.)</w:t>
            </w:r>
          </w:p>
        </w:tc>
      </w:tr>
    </w:tbl>
    <w:p>
      <w:r>
        <w:br w:type="page"/>
      </w:r>
    </w:p>
    <w:p>
      <w:pPr>
        <w:spacing w:after="60" w:before="0" w:line="264"/>
        <w:jc w:val="left"/>
      </w:pPr>
      <w:r>
        <w:rPr>
          <w:rFonts w:ascii="Calibri" w:cs="Calibri" w:eastAsia="Calibri" w:hAnsi="Calibri"/>
          <w:b/>
          <w:bCs/>
          <w:i w:val="false"/>
          <w:iCs w:val="false"/>
          <w:color w:val="1A939B"/>
          <w:sz w:val="22"/>
          <w:szCs w:val="22"/>
        </w:rPr>
        <w:t xml:space="preserve">Walters Hospitality</w:t>
      </w:r>
      <w:r>
        <w:rPr>
          <w:rFonts w:ascii="Calibri" w:cs="Calibri" w:eastAsia="Calibri" w:hAnsi="Calibri"/>
          <w:b/>
          <w:bCs/>
          <w:i w:val="false"/>
          <w:iCs w:val="false"/>
          <w:color w:val="52514E"/>
          <w:sz w:val="22"/>
          <w:szCs w:val="22"/>
        </w:rPr>
        <w:t xml:space="preserve">   |   Part 2: Post-LOI</w:t>
      </w:r>
    </w:p>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6. Same process, more detail</w:t>
      </w:r>
    </w:p>
    <w:p>
      <w:pPr>
        <w:spacing w:after="60" w:before="0" w:line="264"/>
        <w:jc w:val="left"/>
      </w:pPr>
      <w:r>
        <w:rPr>
          <w:rFonts w:ascii="Calibri" w:cs="Calibri" w:eastAsia="Calibri" w:hAnsi="Calibri"/>
          <w:b w:val="false"/>
          <w:bCs w:val="false"/>
          <w:i w:val="false"/>
          <w:iCs w:val="false"/>
          <w:color w:val="52514E"/>
          <w:sz w:val="19"/>
          <w:szCs w:val="19"/>
        </w:rPr>
        <w:t xml:space="preserve">Everything in Part 1 again, with updated event counts, financials and what we learned in diligence. Then we get in the weeds:</w:t>
      </w:r>
    </w:p>
    <w:tbl>
      <w:tblPr>
        <w:tblW w:type="dxa" w:w="10512"/>
        <w:tblBorders>
          <w:top w:val="none" w:color="FFFFFF" w:sz="0"/>
          <w:left w:val="none" w:color="FFFFFF" w:sz="0"/>
          <w:bottom w:val="none" w:color="FFFFFF" w:sz="0"/>
          <w:right w:val="none" w:color="FFFFFF" w:sz="0"/>
          <w:insideH w:val="single" w:color="auto" w:sz="4"/>
          <w:insideV w:val="single" w:color="auto" w:sz="4"/>
        </w:tblBorders>
      </w:tblPr>
      <w:tblGrid>
        <w:gridCol w:w="5256"/>
        <w:gridCol w:w="5256"/>
      </w:tblGrid>
      <w:tr>
        <w:tc>
          <w:tcPr>
            <w:tcW w:type="dxa" w:w="5256"/>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Revenue</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Go-forward pricing</w:t>
            </w:r>
            <w:r>
              <w:rPr>
                <w:rFonts w:ascii="Calibri" w:cs="Calibri" w:eastAsia="Calibri" w:hAnsi="Calibri"/>
                <w:b w:val="false"/>
                <w:bCs w:val="false"/>
                <w:i w:val="false"/>
                <w:iCs w:val="false"/>
                <w:color w:val="0B0B0B"/>
                <w:sz w:val="18"/>
                <w:szCs w:val="18"/>
              </w:rPr>
              <w:t xml:space="preserve"> for the venue and each vendor service</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Go-live plans</w:t>
            </w:r>
            <w:r>
              <w:rPr>
                <w:rFonts w:ascii="Calibri" w:cs="Calibri" w:eastAsia="Calibri" w:hAnsi="Calibri"/>
                <w:b w:val="false"/>
                <w:bCs w:val="false"/>
                <w:i w:val="false"/>
                <w:iCs w:val="false"/>
                <w:color w:val="0B0B0B"/>
                <w:sz w:val="18"/>
                <w:szCs w:val="18"/>
              </w:rPr>
              <w:t xml:space="preserve"> for each vendor service</w:t>
            </w:r>
          </w:p>
        </w:tc>
        <w:tc>
          <w:tcPr>
            <w:tcW w:type="dxa" w:w="5256"/>
            <w:tcBorders>
              <w:top w:val="single" w:color="FFFFFF" w:sz="24"/>
              <w:left w:val="single" w:color="FFFFFF" w:sz="24"/>
              <w:bottom w:val="single" w:color="FFFFFF" w:sz="24"/>
              <w:right w:val="single" w:color="FFFFFF" w:sz="24"/>
            </w:tcBorders>
            <w:shd w:fill="EFF6F9" w:color="auto" w:val="clear"/>
            <w:tcMar>
              <w:top w:type="dxa" w:w="100"/>
              <w:left w:type="dxa" w:w="140"/>
              <w:bottom w:type="dxa" w:w="100"/>
              <w:right w:type="dxa" w:w="140"/>
            </w:tcMar>
          </w:tcPr>
          <w:p>
            <w:pPr>
              <w:spacing w:after="60" w:before="0" w:line="264"/>
              <w:jc w:val="left"/>
            </w:pPr>
            <w:r>
              <w:rPr>
                <w:rFonts w:ascii="Calibri" w:cs="Calibri" w:eastAsia="Calibri" w:hAnsi="Calibri"/>
                <w:b/>
                <w:bCs/>
                <w:i w:val="false"/>
                <w:iCs w:val="false"/>
                <w:color w:val="1A939B"/>
                <w:sz w:val="21"/>
                <w:szCs w:val="21"/>
              </w:rPr>
              <w:t xml:space="preserve">Expenses</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Payroll</w:t>
            </w:r>
            <w:r>
              <w:rPr>
                <w:rFonts w:ascii="Calibri" w:cs="Calibri" w:eastAsia="Calibri" w:hAnsi="Calibri"/>
                <w:b w:val="false"/>
                <w:bCs w:val="false"/>
                <w:i w:val="false"/>
                <w:iCs w:val="false"/>
                <w:color w:val="0B0B0B"/>
                <w:sz w:val="18"/>
                <w:szCs w:val="18"/>
              </w:rPr>
              <w:t xml:space="preserve">: estimate costs by employee</w:t>
            </w:r>
          </w:p>
          <w:p>
            <w:pPr>
              <w:pStyle w:val="ListParagraph"/>
              <w:numPr>
                <w:ilvl w:val="0"/>
                <w:numId w:val="2"/>
              </w:numPr>
              <w:spacing w:after="20" w:before="0" w:line="248"/>
            </w:pPr>
            <w:r>
              <w:rPr>
                <w:rFonts w:ascii="Calibri" w:cs="Calibri" w:eastAsia="Calibri" w:hAnsi="Calibri"/>
                <w:b/>
                <w:bCs/>
                <w:i w:val="false"/>
                <w:iCs w:val="false"/>
                <w:color w:val="0B0B0B"/>
                <w:sz w:val="18"/>
                <w:szCs w:val="18"/>
              </w:rPr>
              <w:t xml:space="preserve">COGS and OpEx</w:t>
            </w:r>
            <w:r>
              <w:rPr>
                <w:rFonts w:ascii="Calibri" w:cs="Calibri" w:eastAsia="Calibri" w:hAnsi="Calibri"/>
                <w:b w:val="false"/>
                <w:bCs w:val="false"/>
                <w:i w:val="false"/>
                <w:iCs w:val="false"/>
                <w:color w:val="0B0B0B"/>
                <w:sz w:val="18"/>
                <w:szCs w:val="18"/>
              </w:rPr>
              <w:t xml:space="preserve">: more detail from what diligence collected</w:t>
            </w:r>
          </w:p>
        </w:tc>
      </w:tr>
    </w:tbl>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7. New step: Leads / Tours / Contracts</w:t>
      </w:r>
    </w:p>
    <w:p>
      <w:pPr>
        <w:spacing w:after="40" w:before="0" w:line="264"/>
        <w:jc w:val="left"/>
      </w:pPr>
      <w:r>
        <w:rPr>
          <w:rFonts w:ascii="Calibri" w:cs="Calibri" w:eastAsia="Calibri" w:hAnsi="Calibri"/>
          <w:b w:val="false"/>
          <w:bCs w:val="false"/>
          <w:i w:val="false"/>
          <w:iCs w:val="false"/>
          <w:color w:val="52514E"/>
          <w:sz w:val="19"/>
          <w:szCs w:val="19"/>
        </w:rPr>
        <w:t xml:space="preserve">We start from the event counts and work backwards into estimated contracts, tours and leads using historical venue performance and Walters conversion rates, then work with Marketing and Sales to finalize what they feel is realistic.</w:t>
      </w:r>
    </w:p>
    <w:p>
      <w:pPr>
        <w:spacing w:after="30" w:before="30"/>
        <w:jc w:val="center"/>
      </w:pPr>
      <w:r>
        <w:drawing>
          <wp:inline distT="0" distB="0" distL="0" distR="0">
            <wp:extent cx="548640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209675"/>
                    </a:xfrm>
                    <a:prstGeom prst="rect">
                      <a:avLst/>
                    </a:prstGeom>
                  </pic:spPr>
                </pic:pic>
              </a:graphicData>
            </a:graphic>
          </wp:inline>
        </w:drawing>
      </w:r>
    </w:p>
    <w:p>
      <w:pPr>
        <w:pStyle w:val="Heading1"/>
        <w:pBdr>
          <w:bottom w:val="single" w:color="1A939B" w:sz="12" w:space="4"/>
        </w:pBdr>
        <w:spacing w:after="70" w:before="140"/>
      </w:pPr>
      <w:r>
        <w:rPr>
          <w:rFonts w:ascii="Calibri" w:cs="Calibri" w:eastAsia="Calibri" w:hAnsi="Calibri"/>
          <w:b/>
          <w:bCs/>
          <w:i w:val="false"/>
          <w:iCs w:val="false"/>
          <w:color w:val="1A939B"/>
          <w:sz w:val="30"/>
          <w:szCs w:val="30"/>
        </w:rPr>
        <w:t xml:space="preserve">8. Monthly build</w:t>
      </w:r>
    </w:p>
    <w:p>
      <w:pPr>
        <w:spacing w:after="40" w:before="0" w:line="264"/>
        <w:jc w:val="left"/>
      </w:pPr>
      <w:r>
        <w:rPr>
          <w:rFonts w:ascii="Calibri" w:cs="Calibri" w:eastAsia="Calibri" w:hAnsi="Calibri"/>
          <w:b w:val="false"/>
          <w:bCs w:val="false"/>
          <w:i w:val="false"/>
          <w:iCs w:val="false"/>
          <w:color w:val="52514E"/>
          <w:sz w:val="19"/>
          <w:szCs w:val="19"/>
        </w:rPr>
        <w:t xml:space="preserve">We take the annual figures and use seasonality plus a slow ramp-up over the first ~6 months to spread the marketing funnel, events and financials across the months.</w:t>
      </w:r>
    </w:p>
    <w:p>
      <w:pPr>
        <w:spacing w:after="30" w:before="30"/>
        <w:jc w:val="center"/>
      </w:pPr>
      <w:r>
        <w:drawing>
          <wp:inline distT="0" distB="0" distL="0" distR="0">
            <wp:extent cx="56673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505075"/>
                    </a:xfrm>
                    <a:prstGeom prst="rect">
                      <a:avLst/>
                    </a:prstGeom>
                  </pic:spPr>
                </pic:pic>
              </a:graphicData>
            </a:graphic>
          </wp:inline>
        </w:drawing>
      </w:r>
    </w:p>
    <w:sectPr>
      <w:pgSz w:w="12240" w:h="15840"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76f17a1ec2f1bed860b187aa82057ea2be7f91.png"/><Relationship Id="rId8" Type="http://schemas.openxmlformats.org/officeDocument/2006/relationships/image" Target="media/74497a4ba1e7fd6690a4b547838788590e961895.png"/><Relationship Id="rId9" Type="http://schemas.openxmlformats.org/officeDocument/2006/relationships/image" Target="media/e471a87d591532500719662d37552faf35e74c28.png"/><Relationship Id="rId10" Type="http://schemas.openxmlformats.org/officeDocument/2006/relationships/image" Target="media/834558cefe82304280c2bbe8e625321910178db1.png"/><Relationship Id="rId11" Type="http://schemas.openxmlformats.org/officeDocument/2006/relationships/image" Target="media/7180cf58f621befff5e0ed444642382c9457233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2026-09-07T17:05:50.306Z</dcterms:created>
  <dcterms:modified xsi:type="dcterms:W3CDTF">2026-09-07T17:05:50.319Z</dcterms:modified>
</cp:coreProperties>
</file>

<file path=docProps/custom.xml><?xml version="1.0" encoding="utf-8"?>
<Properties xmlns="http://schemas.openxmlformats.org/officeDocument/2006/custom-properties" xmlns:vt="http://schemas.openxmlformats.org/officeDocument/2006/docPropsVTypes"/>
</file>