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0B0B"/>
          <w:sz w:val="52"/>
          <w:szCs w:val="52"/>
        </w:rPr>
        <w:t xml:space="preserve">Pre-LOI Proforma</w:t>
      </w:r>
    </w:p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4"/>
          <w:szCs w:val="24"/>
        </w:rPr>
        <w:t xml:space="preserve">Cheat sheet · how we underwrite a venue before LOI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8D6"/>
          <w:sz w:val="18"/>
          <w:szCs w:val="18"/>
        </w:rPr>
        <w:t xml:space="preserve">Walters Hospitality</w:t>
      </w:r>
    </w:p>
    <w:p>
      <w:pPr>
        <w:pStyle w:val="Heading1"/>
        <w:pBdr>
          <w:bottom w:val="single" w:color="2A78D6" w:sz="12" w:space="4"/>
        </w:pBdr>
        <w:spacing w:after="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A78D6"/>
          <w:sz w:val="30"/>
          <w:szCs w:val="30"/>
        </w:rPr>
        <w:t xml:space="preserve">1. Frame the venue</w:t>
      </w:r>
    </w:p>
    <w:p>
      <w:pPr>
        <w:spacing w:after="10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8"/>
          <w:szCs w:val="18"/>
        </w:rPr>
        <w:t xml:space="preserve">Five questions that set the tone for every proforma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02"/>
        <w:gridCol w:w="2102"/>
        <w:gridCol w:w="2102"/>
        <w:gridCol w:w="2102"/>
        <w:gridCol w:w="2104"/>
      </w:tblGrid>
      <w:tr>
        <w:tc>
          <w:tcPr>
            <w:tcW w:type="dxa" w:w="210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0"/>
                <w:szCs w:val="20"/>
              </w:rPr>
              <w:t xml:space="preserve">Performing or growth?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Already doing well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— or —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Growth opportunity</w:t>
            </w:r>
          </w:p>
        </w:tc>
        <w:tc>
          <w:tcPr>
            <w:tcW w:type="dxa" w:w="210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0"/>
                <w:szCs w:val="20"/>
              </w:rPr>
              <w:t xml:space="preserve">Vendor services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What they do today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vs. what we implement,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and how fast</w:t>
            </w:r>
          </w:p>
        </w:tc>
        <w:tc>
          <w:tcPr>
            <w:tcW w:type="dxa" w:w="210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0"/>
                <w:szCs w:val="20"/>
              </w:rPr>
              <w:t xml:space="preserve">Payroll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Overstaffed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— or —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Understaffed</w:t>
            </w:r>
          </w:p>
        </w:tc>
        <w:tc>
          <w:tcPr>
            <w:tcW w:type="dxa" w:w="210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0"/>
                <w:szCs w:val="20"/>
              </w:rPr>
              <w:t xml:space="preserve">Owner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Heavily involved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— or —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Hands-off</w:t>
            </w:r>
          </w:p>
        </w:tc>
        <w:tc>
          <w:tcPr>
            <w:tcW w:type="dxa" w:w="21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0"/>
                <w:szCs w:val="20"/>
              </w:rPr>
              <w:t xml:space="preserve">Market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Current market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— or —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New market</w:t>
            </w:r>
          </w:p>
        </w:tc>
      </w:tr>
    </w:tbl>
    <w:p>
      <w:pPr>
        <w:spacing w:after="60" w:before="0"/>
      </w:pPr>
    </w:p>
    <w:p>
      <w:pPr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8"/>
          <w:szCs w:val="18"/>
        </w:rPr>
        <w:t xml:space="preserve">Also: our marketing to get events booked, not just vendor services.</w:t>
      </w:r>
    </w:p>
    <w:p>
      <w:pPr>
        <w:pStyle w:val="Heading1"/>
        <w:pBdr>
          <w:bottom w:val="single" w:color="2A78D6" w:sz="12" w:space="4"/>
        </w:pBd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A78D6"/>
          <w:sz w:val="30"/>
          <w:szCs w:val="30"/>
        </w:rPr>
        <w:t xml:space="preserve">2. Key terms</w:t>
      </w:r>
    </w:p>
    <w:p>
      <w:pPr>
        <w:spacing w:after="60" w:before="60"/>
        <w:jc w:val="center"/>
      </w:pPr>
      <w:r>
        <w:drawing>
          <wp:inline distT="0" distB="0" distL="0" distR="0">
            <wp:extent cx="630555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7912"/>
      </w:tblGrid>
      <w:tr>
        <w:tc>
          <w:tcPr>
            <w:tcW w:type="dxa" w:w="26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0"/>
                <w:szCs w:val="20"/>
              </w:rPr>
              <w:t xml:space="preserve">Year 1 / 2 / 3</w:t>
            </w:r>
          </w:p>
        </w:tc>
        <w:tc>
          <w:tcPr>
            <w:tcW w:type="dxa" w:w="79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Proforma years. Year 1 starts the day we close — the moment we own it.</w:t>
            </w:r>
          </w:p>
        </w:tc>
      </w:tr>
      <w:tr>
        <w:tc>
          <w:tcPr>
            <w:tcW w:type="dxa" w:w="26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0"/>
                <w:szCs w:val="20"/>
              </w:rPr>
              <w:t xml:space="preserve">OC events</w:t>
            </w:r>
          </w:p>
        </w:tc>
        <w:tc>
          <w:tcPr>
            <w:tcW w:type="dxa" w:w="79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Original Contract events: already on the books before close. We want a healthy number — you can only book so many events into a year.</w:t>
            </w:r>
          </w:p>
        </w:tc>
      </w:tr>
      <w:tr>
        <w:tc>
          <w:tcPr>
            <w:tcW w:type="dxa" w:w="26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0"/>
                <w:szCs w:val="20"/>
              </w:rPr>
              <w:t xml:space="preserve">New contract</w:t>
            </w:r>
          </w:p>
        </w:tc>
        <w:tc>
          <w:tcPr>
            <w:tcW w:type="dxa" w:w="79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Anything we book after close, whether it lands in Year 1, 2 or 3.</w:t>
            </w:r>
          </w:p>
        </w:tc>
      </w:tr>
    </w:tbl>
    <w:p>
      <w:pPr>
        <w:pStyle w:val="Heading1"/>
        <w:pBdr>
          <w:bottom w:val="single" w:color="2A78D6" w:sz="12" w:space="4"/>
        </w:pBdr>
        <w:spacing w:after="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A78D6"/>
          <w:sz w:val="30"/>
          <w:szCs w:val="30"/>
        </w:rPr>
        <w:t xml:space="preserve">3. Events — the three numbers</w:t>
      </w:r>
    </w:p>
    <w:p>
      <w:pPr>
        <w:spacing w:after="10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8"/>
          <w:szCs w:val="18"/>
        </w:rPr>
        <w:t xml:space="preserve">First thing we look at when projecting forward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44"/>
                <w:szCs w:val="44"/>
              </w:rPr>
              <w:t xml:space="preserve">1</w:t>
            </w:r>
          </w:p>
          <w:p>
            <w:pPr>
              <w:spacing w:after="6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22"/>
                <w:szCs w:val="22"/>
              </w:rPr>
              <w:t xml:space="preserve">Historical average</w:t>
            </w:r>
          </w:p>
          <w:p>
            <w:pPr>
              <w:spacing w:after="3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Events per year over their history</w:t>
            </w:r>
          </w:p>
        </w:tc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44"/>
                <w:szCs w:val="44"/>
              </w:rPr>
              <w:t xml:space="preserve">2</w:t>
            </w:r>
          </w:p>
          <w:p>
            <w:pPr>
              <w:spacing w:after="6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22"/>
                <w:szCs w:val="22"/>
              </w:rPr>
              <w:t xml:space="preserve">Last 12 months</w:t>
            </w:r>
          </w:p>
          <w:p>
            <w:pPr>
              <w:spacing w:after="3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Events actually held</w:t>
            </w:r>
          </w:p>
        </w:tc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44"/>
                <w:szCs w:val="44"/>
              </w:rPr>
              <w:t xml:space="preserve">3</w:t>
            </w:r>
          </w:p>
          <w:p>
            <w:pPr>
              <w:spacing w:after="6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22"/>
                <w:szCs w:val="22"/>
              </w:rPr>
              <w:t xml:space="preserve">Next 12 months</w:t>
            </w:r>
          </w:p>
          <w:p>
            <w:pPr>
              <w:spacing w:after="3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Events currently booked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78D6" w:sz="12" w:space="4"/>
        </w:pBdr>
        <w:spacing w:after="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A78D6"/>
          <w:sz w:val="30"/>
          <w:szCs w:val="30"/>
        </w:rPr>
        <w:t xml:space="preserve">4. Revenue &amp; ancillary services</w:t>
      </w:r>
    </w:p>
    <w:p>
      <w:pPr>
        <w:spacing w:after="10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8"/>
          <w:szCs w:val="18"/>
        </w:rPr>
        <w:t xml:space="preserve">What they offer today · when we can implement · how fast we attach</w:t>
      </w:r>
    </w:p>
    <w:p>
      <w:pPr>
        <w:spacing w:after="20" w:before="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0B0B"/>
          <w:sz w:val="20"/>
          <w:szCs w:val="20"/>
        </w:rPr>
        <w:t xml:space="preserve">Today: in-house bar? Required caterer? What else do they offer, and how?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0B0B"/>
          <w:sz w:val="20"/>
          <w:szCs w:val="20"/>
        </w:rPr>
        <w:t xml:space="preserve">Then: what can we implement, and when?</w:t>
      </w:r>
    </w:p>
    <w:p>
      <w:pPr>
        <w:spacing w:after="60" w:before="60"/>
        <w:jc w:val="center"/>
      </w:pPr>
      <w:r>
        <w:drawing>
          <wp:inline distT="0" distB="0" distL="0" distR="0">
            <wp:extent cx="603885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603885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7812"/>
      </w:tblGrid>
      <w:tr>
        <w:tc>
          <w:tcPr>
            <w:tcW w:type="dxa" w:w="27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0"/>
                <w:szCs w:val="20"/>
              </w:rPr>
              <w:t xml:space="preserve">Attachment rate</w:t>
            </w:r>
          </w:p>
        </w:tc>
        <w:tc>
          <w:tcPr>
            <w:tcW w:type="dxa" w:w="78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Ramp up to the Walters average attachment for each service by Year 3. Tweak up or down for what they do today and what we truly believe we can do.</w:t>
            </w:r>
          </w:p>
        </w:tc>
      </w:tr>
      <w:tr>
        <w:tc>
          <w:tcPr>
            <w:tcW w:type="dxa" w:w="27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0"/>
                <w:szCs w:val="20"/>
              </w:rPr>
              <w:t xml:space="preserve">$ per ancillary</w:t>
            </w:r>
          </w:p>
        </w:tc>
        <w:tc>
          <w:tcPr>
            <w:tcW w:type="dxa" w:w="78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Use the Walters average $ per event for that service. Small venue → tweak down. Almost never tweak up. Sanity-check the implied $ per event against what the owner says brides actually spend.</w:t>
            </w:r>
          </w:p>
        </w:tc>
      </w:tr>
      <w:tr>
        <w:tc>
          <w:tcPr>
            <w:tcW w:type="dxa" w:w="27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0"/>
                <w:szCs w:val="20"/>
              </w:rPr>
              <w:t xml:space="preserve">Don't "Walterize" too fast</w:t>
            </w:r>
          </w:p>
        </w:tc>
        <w:tc>
          <w:tcPr>
            <w:tcW w:type="dxa" w:w="78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Flipping every package to standard at close can lose the brides that venue attracts. Test and attach slowly — never assume catering is 100% on day one.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78D6" w:sz="12" w:space="4"/>
        </w:pBdr>
        <w:spacing w:after="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A78D6"/>
          <w:sz w:val="30"/>
          <w:szCs w:val="30"/>
        </w:rPr>
        <w:t xml:space="preserve">5. Current vs. new market</w:t>
      </w:r>
    </w:p>
    <w:p>
      <w:pPr>
        <w:spacing w:after="10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8"/>
          <w:szCs w:val="18"/>
        </w:rPr>
        <w:t xml:space="preserve">Current market = within 90 minutes of our hubs</w:t>
      </w:r>
    </w:p>
    <w:p>
      <w:pPr>
        <w:spacing w:after="60" w:before="60"/>
        <w:jc w:val="center"/>
      </w:pPr>
      <w:r>
        <w:drawing>
          <wp:inline distT="0" distB="0" distL="0" distR="0">
            <wp:extent cx="58483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00"/>
        <w:gridCol w:w="7812"/>
      </w:tblGrid>
      <w:tr>
        <w:tc>
          <w:tcPr>
            <w:tcW w:type="dxa" w:w="27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0"/>
                <w:szCs w:val="20"/>
              </w:rPr>
              <w:t xml:space="preserve">Dallas hubs</w:t>
            </w:r>
          </w:p>
        </w:tc>
        <w:tc>
          <w:tcPr>
            <w:tcW w:type="dxa" w:w="78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The Olana (bakery + floral) · one of our three catering hubs, whichever is closest</w:t>
            </w:r>
          </w:p>
        </w:tc>
      </w:tr>
      <w:tr>
        <w:tc>
          <w:tcPr>
            <w:tcW w:type="dxa" w:w="27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0"/>
                <w:szCs w:val="20"/>
              </w:rPr>
              <w:t xml:space="preserve">Rule</w:t>
            </w:r>
          </w:p>
        </w:tc>
        <w:tc>
          <w:tcPr>
            <w:tcW w:type="dxa" w:w="78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Model each ancillary against its own hub. 30 min from catering but 1–2 hrs from bakery → catering yes, bakery $0.</w:t>
            </w:r>
          </w:p>
        </w:tc>
      </w:tr>
      <w:tr>
        <w:tc>
          <w:tcPr>
            <w:tcW w:type="dxa" w:w="27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0"/>
                <w:szCs w:val="20"/>
              </w:rPr>
              <w:t xml:space="preserve">New market</w:t>
            </w:r>
          </w:p>
        </w:tc>
        <w:tc>
          <w:tcPr>
            <w:tcW w:type="dxa" w:w="78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20"/>
                <w:szCs w:val="20"/>
              </w:rPr>
              <w:t xml:space="preserve">Think further out. Needs to be a venue that already does well on its own; ancillaries may not come for a couple of years, once volume exists.</w:t>
            </w:r>
          </w:p>
        </w:tc>
      </w:tr>
    </w:tbl>
    <w:p>
      <w:pPr>
        <w:pStyle w:val="Heading1"/>
        <w:pBdr>
          <w:bottom w:val="single" w:color="2A78D6" w:sz="12" w:space="4"/>
        </w:pBdr>
        <w:spacing w:after="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A78D6"/>
          <w:sz w:val="30"/>
          <w:szCs w:val="30"/>
        </w:rPr>
        <w:t xml:space="preserve">6. Expenses</w:t>
      </w:r>
    </w:p>
    <w:p>
      <w:pPr>
        <w:spacing w:after="10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8"/>
          <w:szCs w:val="18"/>
        </w:rPr>
        <w:t xml:space="preserve">A mix of what they do today and what we can and should do post-close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2"/>
                <w:szCs w:val="22"/>
              </w:rPr>
              <w:t xml:space="preserve">COGS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Venue-rental-only → little COGS today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Add COGS for each ancillary we attach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Required caterer? Carry their per-head cost on every OC event; set what we charge going forward</w:t>
            </w:r>
          </w:p>
        </w:tc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2"/>
                <w:szCs w:val="22"/>
              </w:rPr>
              <w:t xml:space="preserve">Payroll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Don't assume big cuts — they're likely staffed about where we'd be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Overstaffed or understaffed?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Owner's pay and replacement cost → see 7</w:t>
            </w:r>
          </w:p>
        </w:tc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78D6"/>
                <w:sz w:val="22"/>
                <w:szCs w:val="22"/>
              </w:rPr>
              <w:t xml:space="preserve">Operating expenses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Multiple lines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Start from what they spend today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Adjust to how we'd run it post-close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2A78D6" w:sz="12" w:space="4"/>
        </w:pBdr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A78D6"/>
          <w:sz w:val="30"/>
          <w:szCs w:val="30"/>
        </w:rPr>
        <w:t xml:space="preserve">7. The owner question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20"/>
                <w:szCs w:val="20"/>
              </w:rPr>
              <w:t xml:space="preserve">How involved are they today?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Day-to-day operations, sales, or both?</w:t>
            </w:r>
          </w:p>
        </w:tc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20"/>
                <w:szCs w:val="20"/>
              </w:rPr>
              <w:t xml:space="preserve">What do they pay themselves?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Is it in payroll — or not?</w:t>
            </w:r>
          </w:p>
        </w:tc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20"/>
                <w:szCs w:val="20"/>
              </w:rPr>
              <w:t xml:space="preserve">If they walk away…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Who replaces them, and at what cost?</w:t>
            </w:r>
          </w:p>
        </w:tc>
      </w:tr>
    </w:tbl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a54a977f24efb13dddfd749f560bd6e0fb2ef4.png"/><Relationship Id="rId8" Type="http://schemas.openxmlformats.org/officeDocument/2006/relationships/image" Target="media/aaff11c1ad233fa05aef3581adf37c5ed5c9e9e8.png"/><Relationship Id="rId9" Type="http://schemas.openxmlformats.org/officeDocument/2006/relationships/image" Target="media/f9589653b2de5c60e45824915d35114df440a7d6.png"/><Relationship Id="rId10" Type="http://schemas.openxmlformats.org/officeDocument/2006/relationships/image" Target="media/121162b61c5ac416a6f615ddafdcd94804e76b7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2026-09-07T14:57:41.974Z</dcterms:created>
  <dcterms:modified xsi:type="dcterms:W3CDTF">2026-09-07T14:57:41.974Z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