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CaterFlow:</w:t>
      </w:r>
      <w:r>
        <w:t xml:space="preserve"> </w:t>
      </w:r>
      <w:r>
        <w:t xml:space="preserve">MongoDB</w:t>
      </w:r>
      <w:r>
        <w:t xml:space="preserve"> </w:t>
      </w:r>
      <w:r>
        <w:t xml:space="preserve">Migration,</w:t>
      </w:r>
      <w:r>
        <w:t xml:space="preserve"> </w:t>
      </w:r>
      <w:r>
        <w:t xml:space="preserve">Options,</w:t>
      </w:r>
      <w:r>
        <w:t xml:space="preserve"> </w:t>
      </w:r>
      <w:r>
        <w:t xml:space="preserve">Considerations</w:t>
      </w:r>
      <w:r>
        <w:t xml:space="preserve"> </w:t>
      </w:r>
      <w:r>
        <w:t xml:space="preserve">and</w:t>
      </w:r>
      <w:r>
        <w:t xml:space="preserve"> </w:t>
      </w:r>
      <w:r>
        <w:t xml:space="preserve">Pricing</w:t>
      </w:r>
    </w:p>
    <w:p>
      <w:pPr>
        <w:pStyle w:val="Subtitle"/>
      </w:pPr>
      <w:r>
        <w:t xml:space="preserve">Prepared</w:t>
      </w:r>
      <w:r>
        <w:t xml:space="preserve"> </w:t>
      </w:r>
      <w:r>
        <w:t xml:space="preserve">for</w:t>
      </w:r>
      <w:r>
        <w:t xml:space="preserve"> </w:t>
      </w:r>
      <w:r>
        <w:t xml:space="preserve">Eclipse</w:t>
      </w:r>
      <w:r>
        <w:t xml:space="preserve"> </w:t>
      </w:r>
      <w:r>
        <w:t xml:space="preserve">Catering</w:t>
      </w:r>
      <w:r>
        <w:t xml:space="preserve"> </w:t>
      </w:r>
      <w:r>
        <w:t xml:space="preserve">by</w:t>
      </w:r>
      <w:r>
        <w:t xml:space="preserve"> </w:t>
      </w:r>
      <w:r>
        <w:t xml:space="preserve">G-Solutions²</w:t>
      </w:r>
    </w:p>
    <w:p>
      <w:pPr>
        <w:pStyle w:val="Date"/>
      </w:pPr>
      <w:r>
        <w:t xml:space="preserve">4</w:t>
      </w:r>
      <w:r>
        <w:t xml:space="preserve"> </w:t>
      </w:r>
      <w:r>
        <w:t xml:space="preserve">October</w:t>
      </w:r>
      <w:r>
        <w:t xml:space="preserve"> </w:t>
      </w:r>
      <w:r>
        <w:t xml:space="preserve">2026</w:t>
      </w:r>
    </w:p>
    <w:bookmarkStart w:id="20" w:name="executive-summary"/>
    <w:p>
      <w:pPr>
        <w:pStyle w:val="Heading2"/>
      </w:pPr>
      <w:r>
        <w:t xml:space="preserve">Executive summary</w:t>
      </w:r>
    </w:p>
    <w:p>
      <w:pPr>
        <w:pStyle w:val="FirstParagraph"/>
      </w:pPr>
      <w:r>
        <w:t>Moving CaterFlow’s live data from Sanity to MongoDB removes the 25,000-document Sanity ceiling that every new feature pushes toward, and it ends the two-database split behind the stock and Reports errors. The quoted fixed fee is SZL 20,000 for 96–139 estimated hours.</w:t>
      </w:r>
    </w:p>
    <w:tbl>
      <w:tblPr>
        <w:tblStyle w:val="Table"/>
        <w:tblW w:type="pct" w:w="5000"/>
        <w:tblLook w:firstRow="1" w:lastRow="0" w:firstColumn="0" w:lastColumn="0" w:noHBand="0" w:noVBand="0" w:val="0020"/>
        <w:jc w:val="start"/>
        <w:tblBorders>
          <w:top w:val="single" w:sz="4" w:color="C9D6D0"/>
          <w:left w:val="single" w:sz="4" w:color="C9D6D0"/>
          <w:bottom w:val="single" w:sz="4" w:color="C9D6D0"/>
          <w:right w:val="single" w:sz="4" w:color="C9D6D0"/>
          <w:insideH w:val="single" w:sz="4" w:color="C9D6D0"/>
          <w:insideV w:val="single" w:sz="4" w:color="C9D6D0"/>
        </w:tblBorders>
      </w:tblPr>
      <w:tblGrid>
        <w:gridCol w:w="3960"/>
        <w:gridCol w:w="3960"/>
      </w:tblGrid>
      <w:tr>
        <w:trPr>
          <w:tblHeader w:val="true"/>
        </w:trPr>
        <w:tc>
          <w:tcPr>
            <w:shd w:val="clear" w:color="auto" w:fill="0E3B30"/>
          </w:tcPr>
          <w:p>
            <w:pPr>
              <w:pStyle w:val="Compact"/>
              <w:jc w:val="left"/>
            </w:pPr>
            <w:r>
              <w:rPr>
                <w:b/>
                <w:color w:val="FFFFFF"/>
                <w:sz w:val="19"/>
              </w:rPr>
              <w:t xml:space="preserve">Question</w:t>
            </w:r>
          </w:p>
        </w:tc>
        <w:tc>
          <w:tcPr>
            <w:shd w:val="clear" w:color="auto" w:fill="0E3B30"/>
          </w:tcPr>
          <w:p>
            <w:pPr>
              <w:pStyle w:val="Compact"/>
              <w:jc w:val="left"/>
            </w:pPr>
            <w:r>
              <w:rPr>
                <w:b/>
                <w:color w:val="FFFFFF"/>
                <w:sz w:val="19"/>
              </w:rPr>
              <w:t xml:space="preserve">Answer</w:t>
            </w:r>
          </w:p>
        </w:tc>
      </w:tr>
      <w:tr>
        <w:tc>
          <w:tcPr/>
          <w:p>
            <w:pPr>
              <w:pStyle w:val="Compact"/>
              <w:jc w:val="left"/>
            </w:pPr>
            <w:r>
              <w:rPr>
                <w:sz w:val="19"/>
              </w:rPr>
              <w:t xml:space="preserve">Why now</w:t>
            </w:r>
          </w:p>
        </w:tc>
        <w:tc>
          <w:tcPr/>
          <w:p>
            <w:pPr>
              <w:pStyle w:val="Compact"/>
              <w:jc w:val="left"/>
            </w:pPr>
            <w:r>
              <w:rPr>
                <w:sz w:val="19"/>
              </w:rPr>
              <w:t>Production was blocked by Sanity’s 25,000-document quota, and archive-and-delete cannot shrink the live count below one 60-day window of new documents, so any feature that stores new records in Sanity raises that floor</w:t>
            </w:r>
          </w:p>
        </w:tc>
      </w:tr>
      <w:tr>
        <w:tc>
          <w:tcPr>
            <w:shd w:val="clear" w:color="auto" w:fill="EAF2EE"/>
          </w:tcPr>
          <w:p>
            <w:pPr>
              <w:pStyle w:val="Compact"/>
              <w:jc w:val="left"/>
            </w:pPr>
            <w:r>
              <w:rPr>
                <w:sz w:val="19"/>
              </w:rPr>
              <w:t xml:space="preserve">What changes</w:t>
            </w:r>
          </w:p>
        </w:tc>
        <w:tc>
          <w:tcPr>
            <w:shd w:val="clear" w:color="auto" w:fill="EAF2EE"/>
          </w:tcPr>
          <w:p>
            <w:pPr>
              <w:pStyle w:val="Compact"/>
              <w:jc w:val="left"/>
            </w:pPr>
            <w:r>
              <w:rPr>
                <w:sz w:val="19"/>
              </w:rPr>
              <w:t xml:space="preserve">64 files, 54 API routes, about 194 GROQ queries, 24 document types, login, file storage and an admin screen move to MongoDB</w:t>
            </w:r>
          </w:p>
        </w:tc>
      </w:tr>
      <w:tr>
        <w:tc>
          <w:tcPr/>
          <w:p>
            <w:pPr>
              <w:pStyle w:val="Compact"/>
              <w:jc w:val="left"/>
            </w:pPr>
            <w:r>
              <w:rPr>
                <w:sz w:val="19"/>
              </w:rPr>
              <w:t xml:space="preserve">Price</w:t>
            </w:r>
          </w:p>
        </w:tc>
        <w:tc>
          <w:tcPr/>
          <w:p>
            <w:pPr>
              <w:pStyle w:val="Compact"/>
              <w:jc w:val="left"/>
            </w:pPr>
            <w:r>
              <w:rPr>
                <w:sz w:val="19"/>
              </w:rPr>
              <w:t xml:space="preserve">SZL 20,000 fixed, billed 10,000 / 5,000 / 5,000</w:t>
            </w:r>
          </w:p>
        </w:tc>
      </w:tr>
      <w:tr>
        <w:tc>
          <w:tcPr>
            <w:shd w:val="clear" w:color="auto" w:fill="EAF2EE"/>
          </w:tcPr>
          <w:p>
            <w:pPr>
              <w:pStyle w:val="Compact"/>
              <w:jc w:val="left"/>
            </w:pPr>
            <w:r>
              <w:rPr>
                <w:sz w:val="19"/>
              </w:rPr>
              <w:t xml:space="preserve">Time</w:t>
            </w:r>
          </w:p>
        </w:tc>
        <w:tc>
          <w:tcPr>
            <w:shd w:val="clear" w:color="auto" w:fill="EAF2EE"/>
          </w:tcPr>
          <w:p>
            <w:pPr>
              <w:pStyle w:val="Compact"/>
              <w:jc w:val="left"/>
            </w:pPr>
            <w:r>
              <w:rPr>
                <w:sz w:val="19"/>
              </w:rPr>
              <w:t xml:space="preserve">About 3–4 weeks of build at a full-time pace, plus an agreed rollback window</w:t>
            </w:r>
          </w:p>
        </w:tc>
      </w:tr>
      <w:tr>
        <w:tc>
          <w:tcPr/>
          <w:p>
            <w:pPr>
              <w:pStyle w:val="Compact"/>
              <w:jc w:val="left"/>
            </w:pPr>
            <w:r>
              <w:rPr>
                <w:sz w:val="19"/>
              </w:rPr>
              <w:t xml:space="preserve">Hosting</w:t>
            </w:r>
          </w:p>
        </w:tc>
        <w:tc>
          <w:tcPr/>
          <w:p>
            <w:pPr>
              <w:pStyle w:val="Compact"/>
              <w:jc w:val="left"/>
            </w:pPr>
            <w:r>
              <w:rPr>
                <w:sz w:val="19"/>
              </w:rPr>
              <w:t xml:space="preserve">Not in the quote: Atlas, a rented server or an office server are all possible (section 6)</w:t>
            </w:r>
          </w:p>
        </w:tc>
      </w:tr>
      <w:tr>
        <w:tc>
          <w:tcPr>
            <w:shd w:val="clear" w:color="auto" w:fill="EAF2EE"/>
          </w:tcPr>
          <w:p>
            <w:pPr>
              <w:pStyle w:val="Compact"/>
              <w:jc w:val="left"/>
            </w:pPr>
            <w:r>
              <w:rPr>
                <w:sz w:val="19"/>
              </w:rPr>
              <w:t xml:space="preserve">Saving</w:t>
            </w:r>
          </w:p>
        </w:tc>
        <w:tc>
          <w:tcPr>
            <w:shd w:val="clear" w:color="auto" w:fill="EAF2EE"/>
          </w:tcPr>
          <w:p>
            <w:pPr>
              <w:pStyle w:val="Compact"/>
              <w:jc w:val="left"/>
            </w:pPr>
            <w:r>
              <w:rPr>
                <w:sz w:val="19"/>
              </w:rPr>
              <w:t xml:space="preserve">The Sanity subscription is cancelled once the migration is verified</w:t>
            </w:r>
          </w:p>
        </w:tc>
      </w:tr>
    </w:tbl>
    <w:p>
      <w:pPr>
        <w:pStyle w:val="BodyText"/>
      </w:pPr>
      <w:r>
        <w:t xml:space="preserve">The migration work is the same whichever way MongoDB is hosted, because the app only needs a connection string. Hosting is a separate decision with its own cost and risk, and an office server is viable only if three conditions are met: an off-site backup, a private link instead of an open port, and a UPS.</w:t>
      </w:r>
    </w:p>
    <w:bookmarkEnd w:id="20"/>
    <w:bookmarkStart w:id="24" w:name="why-this-matters"/>
    <w:p>
      <w:pPr>
        <w:pStyle w:val="Heading2"/>
      </w:pPr>
      <w:r>
        <w:t xml:space="preserve">Why this matters</w:t>
      </w:r>
    </w:p>
    <w:p>
      <w:pPr>
        <w:pStyle w:val="FirstParagraph"/>
      </w:pPr>
      <w:r>
        <w:t xml:space="preserve">Sanity is a content platform with a document quota, and CaterFlow now treats it as a transactional database that grows every day. Three problems follow from that, and each gets worse as functionality is added.</w:t>
      </w:r>
    </w:p>
    <w:bookmarkStart w:id="21" w:name="the-quota-is-already-binding"/>
    <w:p>
      <w:pPr>
        <w:pStyle w:val="Heading3"/>
      </w:pPr>
      <w:r>
        <w:t xml:space="preserve">1. The quota is already binding</w:t>
      </w:r>
    </w:p>
    <w:p>
      <w:pPr>
        <w:pStyle w:val="FirstParagraph"/>
      </w:pPr>
      <w:r>
        <w:t>The retention report (22 September 2026) found the production app blocked by Sanity’s document quota. CaterFlow’s Sanity plan allows 25,000 documents. The report’s assumed document-limit tier was contradicted; the 25,000 limit has since been confirmed.</w:t>
      </w:r>
    </w:p>
    <w:p>
      <w:pPr>
        <w:pStyle w:val="BodyText"/>
      </w:pPr>
      <w:r>
        <w:t xml:space="preserve">The archive-and-delete pipeline is the workaround. It copies documents older than 60 days into MongoDB and deletes them from Sanity. The report found it had effectively never worked: the deletion step checked the archive date instead of the business date, so only a small fraction of the documents that should have been deletable were.</w:t>
      </w:r>
    </w:p>
    <w:p>
      <w:pPr>
        <w:pStyle w:val="BodyText"/>
      </w:pPr>
      <w:r>
        <w:t xml:space="preserve">That bug is fixed in code but not yet deployed. The report itself calls the fix</w:t>
      </w:r>
      <w:r>
        <w:t xml:space="preserve"> </w:t>
      </w:r>
      <w:r>
        <w:t xml:space="preserve">“</w:t>
      </w:r>
      <w:r>
        <w:t xml:space="preserve">necessary but not sufficient</w:t>
      </w:r>
      <w:r>
        <w:t xml:space="preserve">”</w:t>
      </w:r>
      <w:r>
        <w:t xml:space="preserve">.</w:t>
      </w:r>
    </w:p>
    <w:bookmarkEnd w:id="21"/>
    <w:bookmarkStart w:id="22" w:name="new-data-outgrows-the-cleanup"/>
    <w:p>
      <w:pPr>
        <w:pStyle w:val="Heading3"/>
      </w:pPr>
      <w:r>
        <w:t xml:space="preserve">2. New data outgrows the cleanup</w:t>
      </w:r>
    </w:p>
    <w:p>
      <w:pPr>
        <w:pStyle w:val="FirstParagraph"/>
      </w:pPr>
      <w:r>
        <w:t xml:space="preserve">Archive-and-delete caps the live count at roughly one 60-day window of new documents. It cannot go below that, and several kinds of document are never deleted:</w:t>
      </w:r>
    </w:p>
    <w:p>
      <w:pPr>
        <w:numPr>
          <w:ilvl w:val="0"/>
          <w:numId w:val="1001"/>
        </w:numPr>
        <w:pStyle w:val="Compact"/>
      </w:pPr>
      <w:r>
        <w:t xml:space="preserve">Master data: stock items, users, bins, suppliers, categories and sites.</w:t>
      </w:r>
    </w:p>
    <w:p>
      <w:pPr>
        <w:numPr>
          <w:ilvl w:val="0"/>
          <w:numId w:val="1001"/>
        </w:numPr>
        <w:pStyle w:val="Compact"/>
      </w:pPr>
      <w:r>
        <w:t xml:space="preserve">Drafts and in-progress records, which are excluded from deletion.</w:t>
      </w:r>
    </w:p>
    <w:p>
      <w:pPr>
        <w:numPr>
          <w:ilvl w:val="0"/>
          <w:numId w:val="1001"/>
        </w:numPr>
        <w:pStyle w:val="Compact"/>
      </w:pPr>
      <w:r>
        <w:t xml:space="preserve">Purchase orders, which wait for their goods receipts.</w:t>
      </w:r>
    </w:p>
    <w:p>
      <w:pPr>
        <w:numPr>
          <w:ilvl w:val="0"/>
          <w:numId w:val="1001"/>
        </w:numPr>
        <w:pStyle w:val="Compact"/>
      </w:pPr>
      <w:r>
        <w:t xml:space="preserve">Anything whose Mongo copy is not yet written, because the archive step runs under Vercel’s execution time limit and has already lost progress once.</w:t>
      </w:r>
    </w:p>
    <w:p>
      <w:pPr>
        <w:pStyle w:val="FirstParagraph"/>
      </w:pPr>
      <w:r>
        <w:t xml:space="preserve">Every feature that writes documents raises that floor. The reports plan already proposes period-close and opening-balance records, which add Sanity documents unless they are stored in MongoDB. Its monthly stock ledger is planned for the MongoDB archive, so it would not count. Shortening retention to make room would only push more history into the archive and widen the split described next.</w:t>
      </w:r>
    </w:p>
    <w:bookmarkEnd w:id="22"/>
    <w:bookmarkStart w:id="23" w:name="two-stores-cause-wrong-numbers"/>
    <w:p>
      <w:pPr>
        <w:pStyle w:val="Heading3"/>
      </w:pPr>
      <w:r>
        <w:t xml:space="preserve">3. Two stores cause wrong numbers</w:t>
      </w:r>
    </w:p>
    <w:p>
      <w:pPr>
        <w:pStyle w:val="FirstParagraph"/>
      </w:pPr>
      <w:r>
        <w:t xml:space="preserve">The accuracy audit (4 October 2026) traces the Reports errors and several stock errors to documents older than 60 days living only in MongoDB while most code reads Sanity only. Its four most serious findings (S1) include:</w:t>
      </w:r>
    </w:p>
    <w:p>
      <w:pPr>
        <w:numPr>
          <w:ilvl w:val="0"/>
          <w:numId w:val="1002"/>
        </w:numPr>
        <w:pStyle w:val="Compact"/>
      </w:pPr>
      <w:r>
        <w:t xml:space="preserve">F-01: an emergency recalculation would rebuild stock from only the last 60 days of documents, understating everything received earlier.</w:t>
      </w:r>
    </w:p>
    <w:p>
      <w:pPr>
        <w:numPr>
          <w:ilvl w:val="0"/>
          <w:numId w:val="1002"/>
        </w:numPr>
        <w:pStyle w:val="Compact"/>
      </w:pPr>
      <w:r>
        <w:t xml:space="preserve">F-02: archived events are appended with no de-duplication, so a document present in both stores is counted twice.</w:t>
      </w:r>
    </w:p>
    <w:p>
      <w:pPr>
        <w:numPr>
          <w:ilvl w:val="0"/>
          <w:numId w:val="1002"/>
        </w:numPr>
        <w:pStyle w:val="Compact"/>
      </w:pPr>
      <w:r>
        <w:t xml:space="preserve">F-04:</w:t>
      </w:r>
      <w:r>
        <w:t xml:space="preserve"> </w:t>
      </w:r>
      <w:r>
        <w:t xml:space="preserve">“</w:t>
      </w:r>
      <w:r>
        <w:t xml:space="preserve">stock as of date</w:t>
      </w:r>
      <w:r>
        <w:t xml:space="preserve">”</w:t>
      </w:r>
      <w:r>
        <w:t xml:space="preserve"> </w:t>
      </w:r>
      <w:r>
        <w:t xml:space="preserve">and stock history are Sanity-only, so anything older than 60 days is wrong or empty.</w:t>
      </w:r>
    </w:p>
    <w:p>
      <w:pPr>
        <w:pStyle w:val="FirstParagraph"/>
      </w:pPr>
      <w:r>
        <w:t xml:space="preserve">These are consequences of the design, not isolated bugs. Each new feature that needs history must again query both stores, merge them and de-duplicate, and each place that forgets to do so produces another wrong number.</w:t>
      </w:r>
    </w:p>
    <w:bookmarkEnd w:id="23"/>
    <w:bookmarkEnd w:id="24"/>
    <w:bookmarkStart w:id="26" w:name="why-mongodb"/>
    <w:p>
      <w:pPr>
        <w:pStyle w:val="Heading2"/>
      </w:pPr>
      <w:r>
        <w:t xml:space="preserve">Why MongoDB</w:t>
      </w:r>
    </w:p>
    <w:p>
      <w:pPr>
        <w:pStyle w:val="FirstParagraph"/>
      </w:pPr>
      <w:r>
        <w:t xml:space="preserve">MongoDB fits because it removes the document ceiling and the second store, and the app already speaks to it. It is not chosen because it is faster by default; the speed gain comes from how the data is organised and queried.</w:t>
      </w:r>
    </w:p>
    <w:p>
      <w:pPr>
        <w:numPr>
          <w:ilvl w:val="0"/>
          <w:numId w:val="1003"/>
        </w:numPr>
        <w:pStyle w:val="Compact"/>
      </w:pPr>
      <w:r>
        <w:rPr>
          <w:bCs/>
          <w:b/>
        </w:rPr>
        <w:t xml:space="preserve">One store, no merge.</w:t>
      </w:r>
      <w:r>
        <w:t xml:space="preserve"> </w:t>
      </w:r>
      <w:r>
        <w:t xml:space="preserve">Live and historical documents sit in the same collections, so</w:t>
      </w:r>
      <w:r>
        <w:t xml:space="preserve"> </w:t>
      </w:r>
      <w:r>
        <w:t xml:space="preserve">“</w:t>
      </w:r>
      <w:r>
        <w:t xml:space="preserve">stock as of a date</w:t>
      </w:r>
      <w:r>
        <w:t xml:space="preserve">”</w:t>
      </w:r>
      <w:r>
        <w:t xml:space="preserve"> </w:t>
      </w:r>
      <w:r>
        <w:t xml:space="preserve">is one query. This removes the cause of F-01, F-02 and F-04 in the accuracy audit.</w:t>
      </w:r>
    </w:p>
    <w:p>
      <w:pPr>
        <w:numPr>
          <w:ilvl w:val="0"/>
          <w:numId w:val="1003"/>
        </w:numPr>
        <w:pStyle w:val="Compact"/>
      </w:pPr>
      <w:r>
        <w:rPr>
          <w:bCs/>
          <w:b/>
        </w:rPr>
        <w:t xml:space="preserve">No document quota.</w:t>
      </w:r>
      <w:r>
        <w:t xml:space="preserve"> </w:t>
      </w:r>
      <w:r>
        <w:t xml:space="preserve">Capacity is a question of disk, memory and throughput, so a new feature no longer needs a retention calculation first.</w:t>
      </w:r>
    </w:p>
    <w:p>
      <w:pPr>
        <w:numPr>
          <w:ilvl w:val="0"/>
          <w:numId w:val="1003"/>
        </w:numPr>
        <w:pStyle w:val="Compact"/>
      </w:pPr>
      <w:r>
        <w:rPr>
          <w:bCs/>
          <w:b/>
        </w:rPr>
        <w:t xml:space="preserve">Server-side aggregation.</w:t>
      </w:r>
      <w:r>
        <w:t xml:space="preserve"> </w:t>
      </w:r>
      <w:r>
        <w:t xml:space="preserve">Aggregation pipelines with</w:t>
      </w:r>
      <w:r>
        <w:t xml:space="preserve"> </w:t>
      </w:r>
      <w:r>
        <w:rPr>
          <w:rStyle w:val="VerbatimChar"/>
        </w:rPr>
        <w:t xml:space="preserve">$group</w:t>
      </w:r>
      <w:r>
        <w:t xml:space="preserve"> </w:t>
      </w:r>
      <w:r>
        <w:t xml:space="preserve">and</w:t>
      </w:r>
      <w:r>
        <w:t xml:space="preserve"> </w:t>
      </w:r>
      <w:r>
        <w:rPr>
          <w:rStyle w:val="VerbatimChar"/>
        </w:rPr>
        <w:t xml:space="preserve">$lookup</w:t>
      </w:r>
      <w:r>
        <w:t xml:space="preserve"> </w:t>
      </w:r>
      <w:r>
        <w:t xml:space="preserve">let the server return a 1 KB summary instead of the full history. The reports plan needs exactly this for its financial summary and for a pre-aggregated monthly stock ledger.</w:t>
      </w:r>
    </w:p>
    <w:p>
      <w:pPr>
        <w:numPr>
          <w:ilvl w:val="0"/>
          <w:numId w:val="1003"/>
        </w:numPr>
        <w:pStyle w:val="Compact"/>
      </w:pPr>
      <w:r>
        <w:rPr>
          <w:bCs/>
          <w:b/>
        </w:rPr>
        <w:t xml:space="preserve">Indexes on the real access patterns.</w:t>
      </w:r>
      <w:r>
        <w:t xml:space="preserve"> </w:t>
      </w:r>
      <w:r>
        <w:t xml:space="preserve">Date, site and bin indexes make range queries cheap as history grows. GROQ over a large content dataset offers no equivalent control.</w:t>
      </w:r>
    </w:p>
    <w:p>
      <w:pPr>
        <w:numPr>
          <w:ilvl w:val="0"/>
          <w:numId w:val="1003"/>
        </w:numPr>
        <w:pStyle w:val="Compact"/>
      </w:pPr>
      <w:r>
        <w:rPr>
          <w:bCs/>
          <w:b/>
        </w:rPr>
        <w:t xml:space="preserve">Transactions.</w:t>
      </w:r>
      <w:r>
        <w:t xml:space="preserve"> </w:t>
      </w:r>
      <w:r>
        <w:t xml:space="preserve">On a replica set, a receipt that updates a document and a stock figure can succeed or fail together, which is the integrity the stock engine needs.</w:t>
      </w:r>
    </w:p>
    <w:p>
      <w:pPr>
        <w:numPr>
          <w:ilvl w:val="0"/>
          <w:numId w:val="1003"/>
        </w:numPr>
        <w:pStyle w:val="Compact"/>
      </w:pPr>
      <w:r>
        <w:rPr>
          <w:bCs/>
          <w:b/>
        </w:rPr>
        <w:t xml:space="preserve">Existing footprint.</w:t>
      </w:r>
      <w:r>
        <w:t xml:space="preserve"> </w:t>
      </w:r>
      <w:r>
        <w:t xml:space="preserve">The app already uses the native</w:t>
      </w:r>
      <w:r>
        <w:t xml:space="preserve"> </w:t>
      </w:r>
      <w:r>
        <w:rPr>
          <w:rStyle w:val="VerbatimChar"/>
        </w:rPr>
        <w:t xml:space="preserve">mongodb</w:t>
      </w:r>
      <w:r>
        <w:t xml:space="preserve"> </w:t>
      </w:r>
      <w:r>
        <w:t xml:space="preserve">driver for archive run history (</w:t>
      </w:r>
      <w:r>
        <w:rPr>
          <w:rStyle w:val="VerbatimChar"/>
        </w:rPr>
        <w:t xml:space="preserve">mongoClient.ts</w:t>
      </w:r>
      <w:r>
        <w:t xml:space="preserve">,</w:t>
      </w:r>
      <w:r>
        <w:t xml:space="preserve"> </w:t>
      </w:r>
      <w:r>
        <w:rPr>
          <w:rStyle w:val="VerbatimChar"/>
        </w:rPr>
        <w:t xml:space="preserve">archiveService.ts</w:t>
      </w:r>
      <w:r>
        <w:t xml:space="preserve">, and the</w:t>
      </w:r>
      <w:r>
        <w:t xml:space="preserve"> </w:t>
      </w:r>
      <w:r>
        <w:rPr>
          <w:rStyle w:val="VerbatimChar"/>
        </w:rPr>
        <w:t xml:space="preserve">scripts/*_mongo.js</w:t>
      </w:r>
      <w:r>
        <w:t xml:space="preserve"> </w:t>
      </w:r>
      <w:r>
        <w:t xml:space="preserve">ETL scripts), so the connection pattern and migration script shape already exist.</w:t>
      </w:r>
    </w:p>
    <w:p>
      <w:pPr>
        <w:numPr>
          <w:ilvl w:val="0"/>
          <w:numId w:val="1003"/>
        </w:numPr>
        <w:pStyle w:val="Compact"/>
      </w:pPr>
      <w:r>
        <w:rPr>
          <w:bCs/>
          <w:b/>
        </w:rPr>
        <w:t xml:space="preserve">Retire the workaround.</w:t>
      </w:r>
      <w:r>
        <w:t xml:space="preserve"> </w:t>
      </w:r>
      <w:r>
        <w:t xml:space="preserve">The archive, delete, resume and lock machinery exists only to stay under Sanity’s quota. On one store most of it can be removed, along with the class of retention bugs it produced.</w:t>
      </w:r>
    </w:p>
    <w:p>
      <w:pPr>
        <w:numPr>
          <w:ilvl w:val="0"/>
          <w:numId w:val="1003"/>
        </w:numPr>
        <w:pStyle w:val="Compact"/>
      </w:pPr>
      <w:r>
        <w:rPr>
          <w:bCs/>
          <w:b/>
        </w:rPr>
        <w:t xml:space="preserve">Portability.</w:t>
      </w:r>
      <w:r>
        <w:t xml:space="preserve"> </w:t>
      </w:r>
      <w:r>
        <w:t xml:space="preserve">The app needs only a connection string, so it can run on Atlas, a rented server or an office server and move between them later without code changes.</w:t>
      </w:r>
    </w:p>
    <w:bookmarkStart w:id="25" w:name="what-it-does-not-do"/>
    <w:p>
      <w:pPr>
        <w:pStyle w:val="Heading3"/>
      </w:pPr>
      <w:r>
        <w:t xml:space="preserve">What it does not do</w:t>
      </w:r>
    </w:p>
    <w:p>
      <w:pPr>
        <w:numPr>
          <w:ilvl w:val="0"/>
          <w:numId w:val="1004"/>
        </w:numPr>
        <w:pStyle w:val="Compact"/>
      </w:pPr>
      <w:r>
        <w:t xml:space="preserve">It does not make every query faster automatically. The 194 GROQ queries must be rewritten with sensible indexes, or some will be slower.</w:t>
      </w:r>
    </w:p>
    <w:p>
      <w:pPr>
        <w:numPr>
          <w:ilvl w:val="0"/>
          <w:numId w:val="1004"/>
        </w:numPr>
        <w:pStyle w:val="Compact"/>
      </w:pPr>
      <w:r>
        <w:t xml:space="preserve">It gives no referential integrity by itself. Sanity enforces references at the schema level; MongoDB does not. The plan recommends Mongoose so validation is not re-implemented in each of the 54 routes.</w:t>
      </w:r>
    </w:p>
    <w:p>
      <w:pPr>
        <w:numPr>
          <w:ilvl w:val="0"/>
          <w:numId w:val="1004"/>
        </w:numPr>
        <w:pStyle w:val="Compact"/>
      </w:pPr>
      <w:r>
        <w:t xml:space="preserve">It does not replace Sanity Studio. A minimal internal admin screen is part of the scope for one-off data corrections.</w:t>
      </w:r>
    </w:p>
    <w:bookmarkEnd w:id="25"/>
    <w:bookmarkEnd w:id="26"/>
    <w:bookmarkStart w:id="28" w:name="scope-of-the-migration"/>
    <w:p>
      <w:pPr>
        <w:pStyle w:val="Heading2"/>
      </w:pPr>
      <w:r>
        <w:t xml:space="preserve">Scope of the migration</w:t>
      </w:r>
    </w:p>
    <w:p>
      <w:pPr>
        <w:pStyle w:val="FirstParagraph"/>
      </w:pPr>
      <w:r>
        <w:t xml:space="preserve">The migration touches almost the entire application, because Sanity is used for login, every operational record and file storage. The figures below come from the codebase as read in September 2026.</w:t>
      </w:r>
    </w:p>
    <w:p>
      <w:pPr>
        <w:numPr>
          <w:ilvl w:val="0"/>
          <w:numId w:val="1005"/>
        </w:numPr>
        <w:pStyle w:val="Compact"/>
      </w:pPr>
      <w:r>
        <w:rPr>
          <w:bCs/>
          <w:b/>
        </w:rPr>
        <w:t xml:space="preserve">64 files</w:t>
      </w:r>
      <w:r>
        <w:t xml:space="preserve"> </w:t>
      </w:r>
      <w:r>
        <w:t xml:space="preserve">under</w:t>
      </w:r>
      <w:r>
        <w:t xml:space="preserve"> </w:t>
      </w:r>
      <w:r>
        <w:rPr>
          <w:rStyle w:val="VerbatimChar"/>
        </w:rPr>
        <w:t xml:space="preserve">src/</w:t>
      </w:r>
      <w:r>
        <w:t xml:space="preserve"> </w:t>
      </w:r>
      <w:r>
        <w:t xml:space="preserve">import Sanity, including all 54 API route files plus</w:t>
      </w:r>
      <w:r>
        <w:t xml:space="preserve"> </w:t>
      </w:r>
      <w:r>
        <w:rPr>
          <w:rStyle w:val="VerbatimChar"/>
        </w:rPr>
        <w:t xml:space="preserve">lib/sanity.ts</w:t>
      </w:r>
      <w:r>
        <w:t xml:space="preserve">,</w:t>
      </w:r>
      <w:r>
        <w:t xml:space="preserve"> </w:t>
      </w:r>
      <w:r>
        <w:rPr>
          <w:rStyle w:val="VerbatimChar"/>
        </w:rPr>
        <w:t xml:space="preserve">lib/auth.ts</w:t>
      </w:r>
      <w:r>
        <w:t xml:space="preserve">,</w:t>
      </w:r>
      <w:r>
        <w:t xml:space="preserve"> </w:t>
      </w:r>
      <w:r>
        <w:rPr>
          <w:rStyle w:val="VerbatimChar"/>
        </w:rPr>
        <w:t xml:space="preserve">lib/queries.ts</w:t>
      </w:r>
      <w:r>
        <w:t xml:space="preserve">,</w:t>
      </w:r>
      <w:r>
        <w:t xml:space="preserve"> </w:t>
      </w:r>
      <w:r>
        <w:rPr>
          <w:rStyle w:val="VerbatimChar"/>
        </w:rPr>
        <w:t xml:space="preserve">lib/stockCalculations.ts</w:t>
      </w:r>
      <w:r>
        <w:t xml:space="preserve">,</w:t>
      </w:r>
      <w:r>
        <w:t xml:space="preserve"> </w:t>
      </w:r>
      <w:r>
        <w:rPr>
          <w:rStyle w:val="VerbatimChar"/>
        </w:rPr>
        <w:t xml:space="preserve">lib/archiveValidation.ts</w:t>
      </w:r>
      <w:r>
        <w:t xml:space="preserve"> </w:t>
      </w:r>
      <w:r>
        <w:t xml:space="preserve">and</w:t>
      </w:r>
      <w:r>
        <w:t xml:space="preserve"> </w:t>
      </w:r>
      <w:r>
        <w:rPr>
          <w:rStyle w:val="VerbatimChar"/>
        </w:rPr>
        <w:t xml:space="preserve">lib/archiveService.ts</w:t>
      </w:r>
      <w:r>
        <w:t xml:space="preserve">.</w:t>
      </w:r>
    </w:p>
    <w:p>
      <w:pPr>
        <w:numPr>
          <w:ilvl w:val="0"/>
          <w:numId w:val="1005"/>
        </w:numPr>
        <w:pStyle w:val="Compact"/>
      </w:pPr>
      <w:r>
        <w:rPr>
          <w:bCs/>
          <w:b/>
        </w:rPr>
        <w:t xml:space="preserve">About 194 GROQ query blocks and 211</w:t>
      </w:r>
      <w:r>
        <w:rPr>
          <w:bCs/>
          <w:b/>
        </w:rPr>
        <w:t xml:space="preserve"> </w:t>
      </w:r>
      <w:r>
        <w:rPr>
          <w:rStyle w:val="VerbatimChar"/>
          <w:bCs/>
          <w:b/>
        </w:rPr>
        <w:t xml:space="preserve">.fetch()</w:t>
      </w:r>
      <w:r>
        <w:rPr>
          <w:bCs/>
          <w:b/>
        </w:rPr>
        <w:t xml:space="preserve"> </w:t>
      </w:r>
      <w:r>
        <w:rPr>
          <w:bCs/>
          <w:b/>
        </w:rPr>
        <w:t xml:space="preserve">calls</w:t>
      </w:r>
      <w:r>
        <w:t xml:space="preserve"> </w:t>
      </w:r>
      <w:r>
        <w:t xml:space="preserve">must each be rewritten as MongoDB queries or aggregation pipelines. GROQ reference joins have no drop-in equivalent.</w:t>
      </w:r>
    </w:p>
    <w:p>
      <w:pPr>
        <w:numPr>
          <w:ilvl w:val="0"/>
          <w:numId w:val="1005"/>
        </w:numPr>
        <w:pStyle w:val="Compact"/>
      </w:pPr>
      <w:r>
        <w:rPr>
          <w:bCs/>
          <w:b/>
        </w:rPr>
        <w:t xml:space="preserve">24 document and object types</w:t>
      </w:r>
      <w:r>
        <w:t xml:space="preserve"> </w:t>
      </w:r>
      <w:r>
        <w:t xml:space="preserve">become collections, with a decision for each Sanity</w:t>
      </w:r>
      <w:r>
        <w:t xml:space="preserve"> </w:t>
      </w:r>
      <w:r>
        <w:rPr>
          <w:rStyle w:val="VerbatimChar"/>
        </w:rPr>
        <w:t xml:space="preserve">reference</w:t>
      </w:r>
      <w:r>
        <w:t xml:space="preserve"> </w:t>
      </w:r>
      <w:r>
        <w:t xml:space="preserve">on whether it becomes an ObjectId reference or an embedded subdocument. Line items such as counted, received and dispatched items are strong candidates for embedding because they are only read through their parent.</w:t>
      </w:r>
    </w:p>
    <w:p>
      <w:pPr>
        <w:numPr>
          <w:ilvl w:val="0"/>
          <w:numId w:val="1005"/>
        </w:numPr>
        <w:pStyle w:val="Compact"/>
      </w:pPr>
      <w:r>
        <w:rPr>
          <w:bCs/>
          <w:b/>
        </w:rPr>
        <w:t xml:space="preserve">Authentication</w:t>
      </w:r>
      <w:r>
        <w:t xml:space="preserve"> </w:t>
      </w:r>
      <w:r>
        <w:t xml:space="preserve">is stored in the</w:t>
      </w:r>
      <w:r>
        <w:t xml:space="preserve"> </w:t>
      </w:r>
      <w:r>
        <w:rPr>
          <w:rStyle w:val="VerbatimChar"/>
        </w:rPr>
        <w:t xml:space="preserve">AppUser</w:t>
      </w:r>
      <w:r>
        <w:t xml:space="preserve"> </w:t>
      </w:r>
      <w:r>
        <w:t xml:space="preserve">Sanity document (login, password reset, verification codes). It moves to a MongoDB</w:t>
      </w:r>
      <w:r>
        <w:t xml:space="preserve"> </w:t>
      </w:r>
      <w:r>
        <w:rPr>
          <w:rStyle w:val="VerbatimChar"/>
        </w:rPr>
        <w:t xml:space="preserve">users</w:t>
      </w:r>
      <w:r>
        <w:t xml:space="preserve"> </w:t>
      </w:r>
      <w:r>
        <w:t xml:space="preserve">collection and every role-gated route is re-tested.</w:t>
      </w:r>
    </w:p>
    <w:p>
      <w:pPr>
        <w:numPr>
          <w:ilvl w:val="0"/>
          <w:numId w:val="1005"/>
        </w:numPr>
        <w:pStyle w:val="Compact"/>
      </w:pPr>
      <w:r>
        <w:rPr>
          <w:bCs/>
          <w:b/>
        </w:rPr>
        <w:t xml:space="preserve">Roughly 24,800+ documents</w:t>
      </w:r>
      <w:r>
        <w:t xml:space="preserve"> </w:t>
      </w:r>
      <w:r>
        <w:t xml:space="preserve">in the production data (stock items, users, bins, suppliers, categories, sites and thousands of nested transaction records) are migrated with IDs and references remapped.</w:t>
      </w:r>
    </w:p>
    <w:p>
      <w:pPr>
        <w:numPr>
          <w:ilvl w:val="0"/>
          <w:numId w:val="1005"/>
        </w:numPr>
        <w:pStyle w:val="Compact"/>
      </w:pPr>
      <w:r>
        <w:rPr>
          <w:bCs/>
          <w:b/>
        </w:rPr>
        <w:t xml:space="preserve">File and image storage</w:t>
      </w:r>
      <w:r>
        <w:t xml:space="preserve"> </w:t>
      </w:r>
      <w:r>
        <w:t xml:space="preserve">needs a replacement provider (S3, Cloudinary or UploadThing), and any attachment that still points at Sanity’s CDN is moved.</w:t>
      </w:r>
    </w:p>
    <w:p>
      <w:pPr>
        <w:numPr>
          <w:ilvl w:val="0"/>
          <w:numId w:val="1005"/>
        </w:numPr>
        <w:pStyle w:val="Compact"/>
      </w:pPr>
      <w:r>
        <w:rPr>
          <w:bCs/>
          <w:b/>
        </w:rPr>
        <w:t xml:space="preserve">An admin screen</w:t>
      </w:r>
      <w:r>
        <w:t xml:space="preserve"> </w:t>
      </w:r>
      <w:r>
        <w:t xml:space="preserve">replaces Sanity Studio’s role for one-off manual corrections. The code shows no sign that the client uses Studio directly, so no retraining is expected, but this should be confirmed with them.</w:t>
      </w:r>
    </w:p>
    <w:bookmarkStart w:id="27" w:name="phases"/>
    <w:p>
      <w:pPr>
        <w:pStyle w:val="Heading3"/>
      </w:pPr>
      <w:r>
        <w:t xml:space="preserve">Phases</w:t>
      </w:r>
    </w:p>
    <w:p>
      <w:pPr>
        <w:pStyle w:val="FirstParagraph"/>
      </w:pPr>
      <w:r>
        <w:t xml:space="preserve">CaterFlow keeps running on Sanity through most of the project and switches only after each phase is verified, which avoids one high-risk cutover.</w:t>
      </w:r>
    </w:p>
    <w:tbl>
      <w:tblPr>
        <w:tblStyle w:val="Table"/>
        <w:tblW w:type="pct" w:w="5000"/>
        <w:tblLook w:firstRow="1" w:lastRow="0" w:firstColumn="0" w:lastColumn="0" w:noHBand="0" w:noVBand="0" w:val="0020"/>
        <w:jc w:val="start"/>
        <w:tblBorders>
          <w:top w:val="single" w:sz="4" w:color="C9D6D0"/>
          <w:left w:val="single" w:sz="4" w:color="C9D6D0"/>
          <w:bottom w:val="single" w:sz="4" w:color="C9D6D0"/>
          <w:right w:val="single" w:sz="4" w:color="C9D6D0"/>
          <w:insideH w:val="single" w:sz="4" w:color="C9D6D0"/>
          <w:insideV w:val="single" w:sz="4" w:color="C9D6D0"/>
        </w:tblBorders>
      </w:tblPr>
      <w:tblGrid>
        <w:gridCol w:w="2640"/>
        <w:gridCol w:w="2640"/>
        <w:gridCol w:w="2640"/>
      </w:tblGrid>
      <w:tr>
        <w:trPr>
          <w:tblHeader w:val="true"/>
        </w:trPr>
        <w:tc>
          <w:tcPr>
            <w:shd w:val="clear" w:color="auto" w:fill="0E3B30"/>
          </w:tcPr>
          <w:p>
            <w:pPr>
              <w:pStyle w:val="Compact"/>
              <w:jc w:val="left"/>
            </w:pPr>
            <w:r>
              <w:rPr>
                <w:b/>
                <w:color w:val="FFFFFF"/>
                <w:sz w:val="19"/>
              </w:rPr>
              <w:t xml:space="preserve">Phase</w:t>
            </w:r>
          </w:p>
        </w:tc>
        <w:tc>
          <w:tcPr>
            <w:shd w:val="clear" w:color="auto" w:fill="0E3B30"/>
          </w:tcPr>
          <w:p>
            <w:pPr>
              <w:pStyle w:val="Compact"/>
              <w:jc w:val="left"/>
            </w:pPr>
            <w:r>
              <w:rPr>
                <w:b/>
                <w:color w:val="FFFFFF"/>
                <w:sz w:val="19"/>
              </w:rPr>
              <w:t xml:space="preserve">What happens</w:t>
            </w:r>
          </w:p>
        </w:tc>
        <w:tc>
          <w:tcPr>
            <w:shd w:val="clear" w:color="auto" w:fill="0E3B30"/>
          </w:tcPr>
          <w:p>
            <w:pPr>
              <w:pStyle w:val="Compact"/>
              <w:jc w:val="left"/>
            </w:pPr>
            <w:r>
              <w:rPr>
                <w:b/>
                <w:color w:val="FFFFFF"/>
                <w:sz w:val="19"/>
              </w:rPr>
              <w:t xml:space="preserve">Done when</w:t>
            </w:r>
          </w:p>
        </w:tc>
      </w:tr>
      <w:tr>
        <w:tc>
          <w:tcPr/>
          <w:p>
            <w:pPr>
              <w:pStyle w:val="Compact"/>
              <w:jc w:val="left"/>
            </w:pPr>
            <w:r>
              <w:rPr>
                <w:sz w:val="19"/>
              </w:rPr>
              <w:t xml:space="preserve">1. Foundation</w:t>
            </w:r>
          </w:p>
        </w:tc>
        <w:tc>
          <w:tcPr/>
          <w:p>
            <w:pPr>
              <w:pStyle w:val="Compact"/>
              <w:jc w:val="left"/>
            </w:pPr>
            <w:r>
              <w:rPr>
                <w:sz w:val="19"/>
              </w:rPr>
              <w:t xml:space="preserve">Collection design, validation approach, auth rewrite, migration scripts run against a staging MongoDB. Nothing client-facing changes</w:t>
            </w:r>
          </w:p>
        </w:tc>
        <w:tc>
          <w:tcPr/>
          <w:p>
            <w:pPr>
              <w:pStyle w:val="Compact"/>
              <w:jc w:val="left"/>
            </w:pPr>
            <w:r>
              <w:rPr>
                <w:sz w:val="19"/>
              </w:rPr>
              <w:t xml:space="preserve">Row counts and references match the production export</w:t>
            </w:r>
          </w:p>
        </w:tc>
      </w:tr>
      <w:tr>
        <w:tc>
          <w:tcPr>
            <w:shd w:val="clear" w:color="auto" w:fill="EAF2EE"/>
          </w:tcPr>
          <w:p>
            <w:pPr>
              <w:pStyle w:val="Compact"/>
              <w:jc w:val="left"/>
            </w:pPr>
            <w:r>
              <w:rPr>
                <w:sz w:val="19"/>
              </w:rPr>
              <w:t xml:space="preserve">2. Core operations</w:t>
            </w:r>
          </w:p>
        </w:tc>
        <w:tc>
          <w:tcPr>
            <w:shd w:val="clear" w:color="auto" w:fill="EAF2EE"/>
          </w:tcPr>
          <w:p>
            <w:pPr>
              <w:pStyle w:val="Compact"/>
              <w:jc w:val="left"/>
            </w:pPr>
            <w:r>
              <w:rPr>
                <w:sz w:val="19"/>
              </w:rPr>
              <w:t xml:space="preserve">Stock, procurement and requisition summary, purchase orders and goods receipt routes rewritten with identical response shapes</w:t>
            </w:r>
          </w:p>
        </w:tc>
        <w:tc>
          <w:tcPr>
            <w:shd w:val="clear" w:color="auto" w:fill="EAF2EE"/>
          </w:tcPr>
          <w:p>
            <w:pPr>
              <w:pStyle w:val="Compact"/>
              <w:jc w:val="left"/>
            </w:pPr>
            <w:r>
              <w:rPr>
                <w:sz w:val="19"/>
              </w:rPr>
              <w:t xml:space="preserve">Each route passes a smoke test against its UI page</w:t>
            </w:r>
          </w:p>
        </w:tc>
      </w:tr>
      <w:tr>
        <w:tc>
          <w:tcPr/>
          <w:p>
            <w:pPr>
              <w:pStyle w:val="Compact"/>
              <w:jc w:val="left"/>
            </w:pPr>
            <w:r>
              <w:rPr>
                <w:sz w:val="19"/>
              </w:rPr>
              <w:t xml:space="preserve">3. Remaining routes and admin</w:t>
            </w:r>
          </w:p>
        </w:tc>
        <w:tc>
          <w:tcPr/>
          <w:p>
            <w:pPr>
              <w:pStyle w:val="Compact"/>
              <w:jc w:val="left"/>
            </w:pPr>
            <w:r>
              <w:rPr>
                <w:sz w:val="19"/>
              </w:rPr>
              <w:t xml:space="preserve">Dispatch, transfers, adjustments, reports, admin screens and file storage</w:t>
            </w:r>
          </w:p>
        </w:tc>
        <w:tc>
          <w:tcPr/>
          <w:p>
            <w:pPr>
              <w:pStyle w:val="Compact"/>
              <w:jc w:val="left"/>
            </w:pPr>
            <w:r>
              <w:rPr>
                <w:sz w:val="19"/>
              </w:rPr>
              <w:t xml:space="preserve">Regression matrix passes</w:t>
            </w:r>
          </w:p>
        </w:tc>
      </w:tr>
      <w:tr>
        <w:tc>
          <w:tcPr>
            <w:shd w:val="clear" w:color="auto" w:fill="EAF2EE"/>
          </w:tcPr>
          <w:p>
            <w:pPr>
              <w:pStyle w:val="Compact"/>
              <w:jc w:val="left"/>
            </w:pPr>
            <w:r>
              <w:rPr>
                <w:sz w:val="19"/>
              </w:rPr>
              <w:t xml:space="preserve">4. QA and cutover</w:t>
            </w:r>
          </w:p>
        </w:tc>
        <w:tc>
          <w:tcPr>
            <w:shd w:val="clear" w:color="auto" w:fill="EAF2EE"/>
          </w:tcPr>
          <w:p>
            <w:pPr>
              <w:pStyle w:val="Compact"/>
              <w:jc w:val="left"/>
            </w:pPr>
            <w:r>
              <w:rPr>
                <w:sz w:val="19"/>
              </w:rPr>
              <w:t xml:space="preserve">Full regression, production migration, switch to MongoDB only, Sanity kept read-only as a rollback for an agreed period, then decommissioned</w:t>
            </w:r>
          </w:p>
        </w:tc>
        <w:tc>
          <w:tcPr>
            <w:shd w:val="clear" w:color="auto" w:fill="EAF2EE"/>
          </w:tcPr>
          <w:p>
            <w:pPr>
              <w:pStyle w:val="Compact"/>
              <w:jc w:val="left"/>
            </w:pPr>
            <w:r>
              <w:rPr>
                <w:sz w:val="19"/>
              </w:rPr>
              <w:t xml:space="preserve">Production counts and integrity verified, rollback window agreed</w:t>
            </w:r>
          </w:p>
        </w:tc>
      </w:tr>
    </w:tbl>
    <w:p>
      <w:pPr>
        <w:pStyle w:val="BodyText"/>
      </w:pPr>
      <w:r>
        <w:t xml:space="preserve">The regression matrix covers login, password reset and roles; procurement through requisition summary, purchase order and goods receipt; bin counts and stock adjustments; dispatch and internal transfers; and the reports page. It is re-run at the end of each phase, not only at the end of the project.</w:t>
      </w:r>
    </w:p>
    <w:bookmarkEnd w:id="27"/>
    <w:bookmarkEnd w:id="28"/>
    <w:bookmarkStart w:id="35" w:name="why-the-price-is-what-it-is"/>
    <w:p>
      <w:pPr>
        <w:pStyle w:val="Heading2"/>
      </w:pPr>
      <w:r>
        <w:t xml:space="preserve">Why the price is what it is</w:t>
      </w:r>
    </w:p>
    <w:p>
      <w:pPr>
        <w:pStyle w:val="FirstParagraph"/>
      </w:pPr>
      <w:r>
        <w:t xml:space="preserve">The SZL 20,000 fee is 96–139 estimated hours at a discounted project rate of SZL 170 per hour, fixed so the client carries no overrun risk. Quote ref CATERFLOW-MIGRATION-2026-09-15, dated 15 September 2026.</w:t>
      </w:r>
    </w:p>
    <w:tbl>
      <w:tblPr>
        <w:tblStyle w:val="Table"/>
        <w:tblW w:type="pct" w:w="5000"/>
        <w:tblLook w:firstRow="1" w:lastRow="0" w:firstColumn="0" w:lastColumn="0" w:noHBand="0" w:noVBand="0" w:val="0020"/>
        <w:jc w:val="start"/>
        <w:tblBorders>
          <w:top w:val="single" w:sz="4" w:color="C9D6D0"/>
          <w:left w:val="single" w:sz="4" w:color="C9D6D0"/>
          <w:bottom w:val="single" w:sz="4" w:color="C9D6D0"/>
          <w:right w:val="single" w:sz="4" w:color="C9D6D0"/>
          <w:insideH w:val="single" w:sz="4" w:color="C9D6D0"/>
          <w:insideV w:val="single" w:sz="4" w:color="C9D6D0"/>
        </w:tblBorders>
      </w:tblPr>
      <w:tblGrid>
        <w:gridCol w:w="1980"/>
        <w:gridCol w:w="1980"/>
        <w:gridCol w:w="1980"/>
        <w:gridCol w:w="1980"/>
      </w:tblGrid>
      <w:tr>
        <w:trPr>
          <w:tblHeader w:val="true"/>
        </w:trPr>
        <w:tc>
          <w:tcPr>
            <w:shd w:val="clear" w:color="auto" w:fill="0E3B30"/>
          </w:tcPr>
          <w:p>
            <w:pPr>
              <w:pStyle w:val="Compact"/>
              <w:jc w:val="left"/>
            </w:pPr>
            <w:r>
              <w:rPr>
                <w:b/>
                <w:color w:val="FFFFFF"/>
                <w:sz w:val="19"/>
              </w:rPr>
              <w:t xml:space="preserve">Workstream</w:t>
            </w:r>
          </w:p>
        </w:tc>
        <w:tc>
          <w:tcPr>
            <w:shd w:val="clear" w:color="auto" w:fill="0E3B30"/>
          </w:tcPr>
          <w:p>
            <w:pPr>
              <w:pStyle w:val="Compact"/>
              <w:jc w:val="left"/>
            </w:pPr>
            <w:r>
              <w:rPr>
                <w:b/>
                <w:color w:val="FFFFFF"/>
                <w:sz w:val="19"/>
              </w:rPr>
              <w:t xml:space="preserve">Hours</w:t>
            </w:r>
          </w:p>
        </w:tc>
        <w:tc>
          <w:tcPr>
            <w:shd w:val="clear" w:color="auto" w:fill="0E3B30"/>
          </w:tcPr>
          <w:p>
            <w:pPr>
              <w:pStyle w:val="Compact"/>
              <w:jc w:val="left"/>
            </w:pPr>
            <w:r>
              <w:rPr>
                <w:b/>
                <w:color w:val="FFFFFF"/>
                <w:sz w:val="19"/>
              </w:rPr>
              <w:t xml:space="preserve">Fee (SZL)</w:t>
            </w:r>
          </w:p>
        </w:tc>
        <w:tc>
          <w:tcPr>
            <w:shd w:val="clear" w:color="auto" w:fill="0E3B30"/>
          </w:tcPr>
          <w:p>
            <w:pPr>
              <w:pStyle w:val="Compact"/>
              <w:jc w:val="left"/>
            </w:pPr>
            <w:r>
              <w:rPr>
                <w:b/>
                <w:color w:val="FFFFFF"/>
                <w:sz w:val="19"/>
              </w:rPr>
              <w:t xml:space="preserve">Share of fee</w:t>
            </w:r>
          </w:p>
        </w:tc>
      </w:tr>
      <w:tr>
        <w:tc>
          <w:tcPr/>
          <w:p>
            <w:pPr>
              <w:pStyle w:val="Compact"/>
              <w:jc w:val="left"/>
            </w:pPr>
            <w:r>
              <w:rPr>
                <w:sz w:val="19"/>
              </w:rPr>
              <w:t xml:space="preserve">API route rewrite (54 routes, about 194 queries)</w:t>
            </w:r>
          </w:p>
        </w:tc>
        <w:tc>
          <w:tcPr/>
          <w:p>
            <w:pPr>
              <w:pStyle w:val="Compact"/>
              <w:jc w:val="left"/>
            </w:pPr>
            <w:r>
              <w:rPr>
                <w:sz w:val="19"/>
              </w:rPr>
              <w:t xml:space="preserve">40–55</w:t>
            </w:r>
          </w:p>
        </w:tc>
        <w:tc>
          <w:tcPr/>
          <w:p>
            <w:pPr>
              <w:pStyle w:val="Compact"/>
              <w:jc w:val="left"/>
            </w:pPr>
            <w:r>
              <w:rPr>
                <w:sz w:val="19"/>
              </w:rPr>
              <w:t xml:space="preserve">8,000</w:t>
            </w:r>
          </w:p>
        </w:tc>
        <w:tc>
          <w:tcPr/>
          <w:p>
            <w:pPr>
              <w:pStyle w:val="Compact"/>
              <w:jc w:val="left"/>
            </w:pPr>
            <w:r>
              <w:rPr>
                <w:sz w:val="19"/>
              </w:rPr>
              <w:t xml:space="preserve">40%</w:t>
            </w:r>
          </w:p>
        </w:tc>
      </w:tr>
      <w:tr>
        <w:tc>
          <w:tcPr>
            <w:shd w:val="clear" w:color="auto" w:fill="EAF2EE"/>
          </w:tcPr>
          <w:p>
            <w:pPr>
              <w:pStyle w:val="Compact"/>
              <w:jc w:val="left"/>
            </w:pPr>
            <w:r>
              <w:rPr>
                <w:sz w:val="19"/>
              </w:rPr>
              <w:t xml:space="preserve">Testing and QA</w:t>
            </w:r>
          </w:p>
        </w:tc>
        <w:tc>
          <w:tcPr>
            <w:shd w:val="clear" w:color="auto" w:fill="EAF2EE"/>
          </w:tcPr>
          <w:p>
            <w:pPr>
              <w:pStyle w:val="Compact"/>
              <w:jc w:val="left"/>
            </w:pPr>
            <w:r>
              <w:rPr>
                <w:sz w:val="19"/>
              </w:rPr>
              <w:t xml:space="preserve">12–18</w:t>
            </w:r>
          </w:p>
        </w:tc>
        <w:tc>
          <w:tcPr>
            <w:shd w:val="clear" w:color="auto" w:fill="EAF2EE"/>
          </w:tcPr>
          <w:p>
            <w:pPr>
              <w:pStyle w:val="Compact"/>
              <w:jc w:val="left"/>
            </w:pPr>
            <w:r>
              <w:rPr>
                <w:sz w:val="19"/>
              </w:rPr>
              <w:t xml:space="preserve">2,500</w:t>
            </w:r>
          </w:p>
        </w:tc>
        <w:tc>
          <w:tcPr>
            <w:shd w:val="clear" w:color="auto" w:fill="EAF2EE"/>
          </w:tcPr>
          <w:p>
            <w:pPr>
              <w:pStyle w:val="Compact"/>
              <w:jc w:val="left"/>
            </w:pPr>
            <w:r>
              <w:rPr>
                <w:sz w:val="19"/>
              </w:rPr>
              <w:t xml:space="preserve">12.5%</w:t>
            </w:r>
          </w:p>
        </w:tc>
      </w:tr>
      <w:tr>
        <w:tc>
          <w:tcPr/>
          <w:p>
            <w:pPr>
              <w:pStyle w:val="Compact"/>
              <w:jc w:val="left"/>
            </w:pPr>
            <w:r>
              <w:rPr>
                <w:sz w:val="19"/>
              </w:rPr>
              <w:t xml:space="preserve">Mongo schema and model design</w:t>
            </w:r>
          </w:p>
        </w:tc>
        <w:tc>
          <w:tcPr/>
          <w:p>
            <w:pPr>
              <w:pStyle w:val="Compact"/>
              <w:jc w:val="left"/>
            </w:pPr>
            <w:r>
              <w:rPr>
                <w:sz w:val="19"/>
              </w:rPr>
              <w:t xml:space="preserve">10–14</w:t>
            </w:r>
          </w:p>
        </w:tc>
        <w:tc>
          <w:tcPr/>
          <w:p>
            <w:pPr>
              <w:pStyle w:val="Compact"/>
              <w:jc w:val="left"/>
            </w:pPr>
            <w:r>
              <w:rPr>
                <w:sz w:val="19"/>
              </w:rPr>
              <w:t xml:space="preserve">2,000</w:t>
            </w:r>
          </w:p>
        </w:tc>
        <w:tc>
          <w:tcPr/>
          <w:p>
            <w:pPr>
              <w:pStyle w:val="Compact"/>
              <w:jc w:val="left"/>
            </w:pPr>
            <w:r>
              <w:rPr>
                <w:sz w:val="19"/>
              </w:rPr>
              <w:t xml:space="preserve">10%</w:t>
            </w:r>
          </w:p>
        </w:tc>
      </w:tr>
      <w:tr>
        <w:tc>
          <w:tcPr>
            <w:shd w:val="clear" w:color="auto" w:fill="EAF2EE"/>
          </w:tcPr>
          <w:p>
            <w:pPr>
              <w:pStyle w:val="Compact"/>
              <w:jc w:val="left"/>
            </w:pPr>
            <w:r>
              <w:rPr>
                <w:sz w:val="19"/>
              </w:rPr>
              <w:t xml:space="preserve">Data migration and validation</w:t>
            </w:r>
          </w:p>
        </w:tc>
        <w:tc>
          <w:tcPr>
            <w:shd w:val="clear" w:color="auto" w:fill="EAF2EE"/>
          </w:tcPr>
          <w:p>
            <w:pPr>
              <w:pStyle w:val="Compact"/>
              <w:jc w:val="left"/>
            </w:pPr>
            <w:r>
              <w:rPr>
                <w:sz w:val="19"/>
              </w:rPr>
              <w:t xml:space="preserve">10–14</w:t>
            </w:r>
          </w:p>
        </w:tc>
        <w:tc>
          <w:tcPr>
            <w:shd w:val="clear" w:color="auto" w:fill="EAF2EE"/>
          </w:tcPr>
          <w:p>
            <w:pPr>
              <w:pStyle w:val="Compact"/>
              <w:jc w:val="left"/>
            </w:pPr>
            <w:r>
              <w:rPr>
                <w:sz w:val="19"/>
              </w:rPr>
              <w:t xml:space="preserve">2,000</w:t>
            </w:r>
          </w:p>
        </w:tc>
        <w:tc>
          <w:tcPr>
            <w:shd w:val="clear" w:color="auto" w:fill="EAF2EE"/>
          </w:tcPr>
          <w:p>
            <w:pPr>
              <w:pStyle w:val="Compact"/>
              <w:jc w:val="left"/>
            </w:pPr>
            <w:r>
              <w:rPr>
                <w:sz w:val="19"/>
              </w:rPr>
              <w:t xml:space="preserve">10%</w:t>
            </w:r>
          </w:p>
        </w:tc>
      </w:tr>
      <w:tr>
        <w:tc>
          <w:tcPr/>
          <w:p>
            <w:pPr>
              <w:pStyle w:val="Compact"/>
              <w:jc w:val="left"/>
            </w:pPr>
            <w:r>
              <w:rPr>
                <w:sz w:val="19"/>
              </w:rPr>
              <w:t xml:space="preserve">Admin data-browsing UI</w:t>
            </w:r>
          </w:p>
        </w:tc>
        <w:tc>
          <w:tcPr/>
          <w:p>
            <w:pPr>
              <w:pStyle w:val="Compact"/>
              <w:jc w:val="left"/>
            </w:pPr>
            <w:r>
              <w:rPr>
                <w:sz w:val="19"/>
              </w:rPr>
              <w:t xml:space="preserve">8–14</w:t>
            </w:r>
          </w:p>
        </w:tc>
        <w:tc>
          <w:tcPr/>
          <w:p>
            <w:pPr>
              <w:pStyle w:val="Compact"/>
              <w:jc w:val="left"/>
            </w:pPr>
            <w:r>
              <w:rPr>
                <w:sz w:val="19"/>
              </w:rPr>
              <w:t xml:space="preserve">1,900</w:t>
            </w:r>
          </w:p>
        </w:tc>
        <w:tc>
          <w:tcPr/>
          <w:p>
            <w:pPr>
              <w:pStyle w:val="Compact"/>
              <w:jc w:val="left"/>
            </w:pPr>
            <w:r>
              <w:rPr>
                <w:sz w:val="19"/>
              </w:rPr>
              <w:t xml:space="preserve">9.5%</w:t>
            </w:r>
          </w:p>
        </w:tc>
      </w:tr>
      <w:tr>
        <w:tc>
          <w:tcPr>
            <w:shd w:val="clear" w:color="auto" w:fill="EAF2EE"/>
          </w:tcPr>
          <w:p>
            <w:pPr>
              <w:pStyle w:val="Compact"/>
              <w:jc w:val="left"/>
            </w:pPr>
            <w:r>
              <w:rPr>
                <w:sz w:val="19"/>
              </w:rPr>
              <w:t xml:space="preserve">File and image storage replacement</w:t>
            </w:r>
          </w:p>
        </w:tc>
        <w:tc>
          <w:tcPr>
            <w:shd w:val="clear" w:color="auto" w:fill="EAF2EE"/>
          </w:tcPr>
          <w:p>
            <w:pPr>
              <w:pStyle w:val="Compact"/>
              <w:jc w:val="left"/>
            </w:pPr>
            <w:r>
              <w:rPr>
                <w:sz w:val="19"/>
              </w:rPr>
              <w:t xml:space="preserve">6–10</w:t>
            </w:r>
          </w:p>
        </w:tc>
        <w:tc>
          <w:tcPr>
            <w:shd w:val="clear" w:color="auto" w:fill="EAF2EE"/>
          </w:tcPr>
          <w:p>
            <w:pPr>
              <w:pStyle w:val="Compact"/>
              <w:jc w:val="left"/>
            </w:pPr>
            <w:r>
              <w:rPr>
                <w:sz w:val="19"/>
              </w:rPr>
              <w:t xml:space="preserve">1,400</w:t>
            </w:r>
          </w:p>
        </w:tc>
        <w:tc>
          <w:tcPr>
            <w:shd w:val="clear" w:color="auto" w:fill="EAF2EE"/>
          </w:tcPr>
          <w:p>
            <w:pPr>
              <w:pStyle w:val="Compact"/>
              <w:jc w:val="left"/>
            </w:pPr>
            <w:r>
              <w:rPr>
                <w:sz w:val="19"/>
              </w:rPr>
              <w:t xml:space="preserve">7%</w:t>
            </w:r>
          </w:p>
        </w:tc>
      </w:tr>
      <w:tr>
        <w:tc>
          <w:tcPr/>
          <w:p>
            <w:pPr>
              <w:pStyle w:val="Compact"/>
              <w:jc w:val="left"/>
            </w:pPr>
            <w:r>
              <w:rPr>
                <w:sz w:val="19"/>
              </w:rPr>
              <w:t xml:space="preserve">Authentication rewrite</w:t>
            </w:r>
          </w:p>
        </w:tc>
        <w:tc>
          <w:tcPr/>
          <w:p>
            <w:pPr>
              <w:pStyle w:val="Compact"/>
              <w:jc w:val="left"/>
            </w:pPr>
            <w:r>
              <w:rPr>
                <w:sz w:val="19"/>
              </w:rPr>
              <w:t xml:space="preserve">6–8</w:t>
            </w:r>
          </w:p>
        </w:tc>
        <w:tc>
          <w:tcPr/>
          <w:p>
            <w:pPr>
              <w:pStyle w:val="Compact"/>
              <w:jc w:val="left"/>
            </w:pPr>
            <w:r>
              <w:rPr>
                <w:sz w:val="19"/>
              </w:rPr>
              <w:t xml:space="preserve">1,200</w:t>
            </w:r>
          </w:p>
        </w:tc>
        <w:tc>
          <w:tcPr/>
          <w:p>
            <w:pPr>
              <w:pStyle w:val="Compact"/>
              <w:jc w:val="left"/>
            </w:pPr>
            <w:r>
              <w:rPr>
                <w:sz w:val="19"/>
              </w:rPr>
              <w:t xml:space="preserve">6%</w:t>
            </w:r>
          </w:p>
        </w:tc>
      </w:tr>
      <w:tr>
        <w:tc>
          <w:tcPr>
            <w:shd w:val="clear" w:color="auto" w:fill="EAF2EE"/>
          </w:tcPr>
          <w:p>
            <w:pPr>
              <w:pStyle w:val="Compact"/>
              <w:jc w:val="left"/>
            </w:pPr>
            <w:r>
              <w:rPr>
                <w:sz w:val="19"/>
              </w:rPr>
              <w:t xml:space="preserve">Cutover and decommission</w:t>
            </w:r>
          </w:p>
        </w:tc>
        <w:tc>
          <w:tcPr>
            <w:shd w:val="clear" w:color="auto" w:fill="EAF2EE"/>
          </w:tcPr>
          <w:p>
            <w:pPr>
              <w:pStyle w:val="Compact"/>
              <w:jc w:val="left"/>
            </w:pPr>
            <w:r>
              <w:rPr>
                <w:sz w:val="19"/>
              </w:rPr>
              <w:t xml:space="preserve">4–6</w:t>
            </w:r>
          </w:p>
        </w:tc>
        <w:tc>
          <w:tcPr>
            <w:shd w:val="clear" w:color="auto" w:fill="EAF2EE"/>
          </w:tcPr>
          <w:p>
            <w:pPr>
              <w:pStyle w:val="Compact"/>
              <w:jc w:val="left"/>
            </w:pPr>
            <w:r>
              <w:rPr>
                <w:sz w:val="19"/>
              </w:rPr>
              <w:t xml:space="preserve">1,000</w:t>
            </w:r>
          </w:p>
        </w:tc>
        <w:tc>
          <w:tcPr>
            <w:shd w:val="clear" w:color="auto" w:fill="EAF2EE"/>
          </w:tcPr>
          <w:p>
            <w:pPr>
              <w:pStyle w:val="Compact"/>
              <w:jc w:val="left"/>
            </w:pPr>
            <w:r>
              <w:rPr>
                <w:sz w:val="19"/>
              </w:rPr>
              <w:t xml:space="preserve">5%</w:t>
            </w:r>
          </w:p>
        </w:tc>
      </w:tr>
      <w:tr>
        <w:tc>
          <w:tcPr/>
          <w:p>
            <w:pPr>
              <w:pStyle w:val="Compact"/>
              <w:jc w:val="left"/>
            </w:pPr>
            <w:r>
              <w:rPr>
                <w:bCs/>
                <w:b/>
                <w:sz w:val="19"/>
              </w:rPr>
              <w:t xml:space="preserve">Total</w:t>
            </w:r>
          </w:p>
        </w:tc>
        <w:tc>
          <w:tcPr/>
          <w:p>
            <w:pPr>
              <w:pStyle w:val="Compact"/>
              <w:jc w:val="left"/>
            </w:pPr>
            <w:r>
              <w:rPr>
                <w:bCs/>
                <w:b/>
                <w:sz w:val="19"/>
              </w:rPr>
              <w:t xml:space="preserve">96–139</w:t>
            </w:r>
          </w:p>
        </w:tc>
        <w:tc>
          <w:tcPr/>
          <w:p>
            <w:pPr>
              <w:pStyle w:val="Compact"/>
              <w:jc w:val="left"/>
            </w:pPr>
            <w:r>
              <w:rPr>
                <w:bCs/>
                <w:b/>
                <w:sz w:val="19"/>
              </w:rPr>
              <w:t xml:space="preserve">20,000</w:t>
            </w:r>
          </w:p>
        </w:tc>
        <w:tc>
          <w:tcPr/>
          <w:p>
            <w:pPr>
              <w:pStyle w:val="Compact"/>
              <w:jc w:val="left"/>
            </w:pPr>
            <w:r>
              <w:rPr>
                <w:bCs/>
                <w:b/>
                <w:sz w:val="19"/>
              </w:rPr>
              <w:t xml:space="preserve">100%</w:t>
            </w:r>
          </w:p>
        </w:tc>
      </w:tr>
    </w:tbl>
    <w:bookmarkStart w:id="29" w:name="how-the-number-was-reached"/>
    <w:p>
      <w:pPr>
        <w:pStyle w:val="Heading3"/>
      </w:pPr>
      <w:r>
        <w:t xml:space="preserve">How the number was reached</w:t>
      </w:r>
    </w:p>
    <w:p>
      <w:pPr>
        <w:numPr>
          <w:ilvl w:val="0"/>
          <w:numId w:val="1006"/>
        </w:numPr>
        <w:pStyle w:val="Compact"/>
      </w:pPr>
      <w:r>
        <w:rPr>
          <w:bCs/>
          <w:b/>
        </w:rPr>
        <w:t xml:space="preserve">Rate times hours.</w:t>
      </w:r>
      <w:r>
        <w:t xml:space="preserve"> </w:t>
      </w:r>
      <w:r>
        <w:t xml:space="preserve">At SZL 170 per hour the range is SZL 16,320 (96 hours) to SZL 23,630 (139 hours). The fixed fee sits near the middle, which equals about 118 hours.</w:t>
      </w:r>
    </w:p>
    <w:p>
      <w:pPr>
        <w:numPr>
          <w:ilvl w:val="0"/>
          <w:numId w:val="1006"/>
        </w:numPr>
        <w:pStyle w:val="Compact"/>
      </w:pPr>
      <w:r>
        <w:rPr>
          <w:bCs/>
          <w:b/>
        </w:rPr>
        <w:t xml:space="preserve">The API rewrite is 40% of the fee</w:t>
      </w:r>
      <w:r>
        <w:t xml:space="preserve"> </w:t>
      </w:r>
      <w:r>
        <w:t xml:space="preserve">because it is the bulk of the work. 40–55 hours across 54 routes is about 0.7–1 hour per route, or roughly 12–17 minutes per GROQ query, including the response-shape checks that keep the frontend unchanged.</w:t>
      </w:r>
    </w:p>
    <w:p>
      <w:pPr>
        <w:numPr>
          <w:ilvl w:val="0"/>
          <w:numId w:val="1006"/>
        </w:numPr>
        <w:pStyle w:val="Compact"/>
      </w:pPr>
      <w:r>
        <w:rPr>
          <w:bCs/>
          <w:b/>
        </w:rPr>
        <w:t xml:space="preserve">The fee is fixed.</w:t>
      </w:r>
      <w:r>
        <w:t xml:space="preserve"> </w:t>
      </w:r>
      <w:r>
        <w:t xml:space="preserve">If the work runs to 139 hours the effective rate falls to about SZL 144 per hour, and if it runs to 96 hours it rises to about SZL 208. The risk of overrun is G-Solutions²’s, not the client’s.</w:t>
      </w:r>
    </w:p>
    <w:p>
      <w:pPr>
        <w:numPr>
          <w:ilvl w:val="0"/>
          <w:numId w:val="1006"/>
        </w:numPr>
        <w:pStyle w:val="Compact"/>
      </w:pPr>
      <w:r>
        <w:rPr>
          <w:bCs/>
          <w:b/>
        </w:rPr>
        <w:t xml:space="preserve">The rate is discounted</w:t>
      </w:r>
      <w:r>
        <w:t xml:space="preserve"> </w:t>
      </w:r>
      <w:r>
        <w:t xml:space="preserve">from the standard rate in exchange for the size and multi-month length of the engagement, as the quote states. The work is now full-time and shorter, so whether that discount still applies is a decision for G-Solutions². The standard rate is not stated in the quote or the plan.</w:t>
      </w:r>
    </w:p>
    <w:p>
      <w:pPr>
        <w:numPr>
          <w:ilvl w:val="0"/>
          <w:numId w:val="1006"/>
        </w:numPr>
        <w:pStyle w:val="Compact"/>
      </w:pPr>
      <w:r>
        <w:rPr>
          <w:bCs/>
          <w:b/>
        </w:rPr>
        <w:t xml:space="preserve">Timeline.</w:t>
      </w:r>
      <w:r>
        <w:t xml:space="preserve"> </w:t>
      </w:r>
      <w:r>
        <w:t xml:space="preserve">The work is now full-time. At 40 hours a week, 96–139 hours is about 2.5–3.5 weeks of pure effort, so about 3–4 weeks of build once testing and staging checks are included, plus the agreed rollback window before Sanity is retired. This is an estimate, not a figure in the quote, which assumed a 4–6 month after-hours schedule.</w:t>
      </w:r>
    </w:p>
    <w:bookmarkEnd w:id="29"/>
    <w:bookmarkStart w:id="30" w:name="payment"/>
    <w:p>
      <w:pPr>
        <w:pStyle w:val="Heading3"/>
      </w:pPr>
      <w:r>
        <w:t xml:space="preserve">Payment</w:t>
      </w:r>
    </w:p>
    <w:p>
      <w:pPr>
        <w:pStyle w:val="FirstParagraph"/>
      </w:pPr>
      <w:r>
        <w:t xml:space="preserve">The fee is billed in three milestones: SZL 10,000 (50%) as a deposit before work starts, SZL 5,000 on completion of Phase 2, and SZL 5,000 on go-live after Phase 4 sign-off. Work starts only once the quote is signed and the deposit is received.</w:t>
      </w:r>
    </w:p>
    <w:bookmarkEnd w:id="30"/>
    <w:bookmarkStart w:id="32" w:name="what-the-fee-does-not-include"/>
    <w:p>
      <w:pPr>
        <w:pStyle w:val="Heading3"/>
      </w:pPr>
      <w:r>
        <w:t xml:space="preserve">What the fee does not include</w:t>
      </w:r>
    </w:p>
    <w:p>
      <w:pPr>
        <w:numPr>
          <w:ilvl w:val="0"/>
          <w:numId w:val="1007"/>
        </w:numPr>
        <w:pStyle w:val="Compact"/>
      </w:pPr>
      <w:r>
        <w:rPr>
          <w:bCs/>
          <w:b/>
        </w:rPr>
        <w:t xml:space="preserve">Database hosting.</w:t>
      </w:r>
      <w:r>
        <w:t xml:space="preserve"> </w:t>
      </w:r>
      <w:r>
        <w:t xml:space="preserve">The quote assumes MongoDB Atlas, billed directly by MongoDB and not marked up. The current archive cluster runs on a free or low tier, and a paid tier is needed only if data volume, connections or throughput outgrow it. Check</w:t>
      </w:r>
      <w:r>
        <w:t xml:space="preserve"> </w:t>
      </w:r>
      <w:hyperlink r:id="rId31">
        <w:r>
          <w:rPr>
            <w:rStyle w:val="Hyperlink"/>
          </w:rPr>
          <w:t xml:space="preserve">mongodb.com/pricing</w:t>
        </w:r>
      </w:hyperlink>
      <w:r>
        <w:t xml:space="preserve"> </w:t>
      </w:r>
      <w:r>
        <w:t xml:space="preserve">for current tiers; this document quotes no Atlas prices.</w:t>
      </w:r>
    </w:p>
    <w:p>
      <w:pPr>
        <w:numPr>
          <w:ilvl w:val="0"/>
          <w:numId w:val="1007"/>
        </w:numPr>
        <w:pStyle w:val="Compact"/>
      </w:pPr>
      <w:r>
        <w:rPr>
          <w:bCs/>
          <w:b/>
        </w:rPr>
        <w:t xml:space="preserve">File storage.</w:t>
      </w:r>
      <w:r>
        <w:t xml:space="preserve"> </w:t>
      </w:r>
      <w:r>
        <w:t xml:space="preserve">The replacement provider (S3, Cloudinary or UploadThing) is billed directly by that provider.</w:t>
      </w:r>
    </w:p>
    <w:p>
      <w:pPr>
        <w:numPr>
          <w:ilvl w:val="0"/>
          <w:numId w:val="1007"/>
        </w:numPr>
        <w:pStyle w:val="Compact"/>
      </w:pPr>
      <w:r>
        <w:rPr>
          <w:bCs/>
          <w:b/>
        </w:rPr>
        <w:t xml:space="preserve">Self-hosting setup and operations.</w:t>
      </w:r>
      <w:r>
        <w:t xml:space="preserve"> </w:t>
      </w:r>
      <w:r>
        <w:t xml:space="preserve">Provisioning, hardening, tunnelling, backup automation and monitoring for a rented or office server are not in any workstream above. They would be added scope or a separate line.</w:t>
      </w:r>
    </w:p>
    <w:bookmarkEnd w:id="32"/>
    <w:bookmarkStart w:id="33" w:name="what-it-offsets"/>
    <w:p>
      <w:pPr>
        <w:pStyle w:val="Heading3"/>
      </w:pPr>
      <w:r>
        <w:t xml:space="preserve">What it offsets</w:t>
      </w:r>
    </w:p>
    <w:p>
      <w:pPr>
        <w:pStyle w:val="FirstParagraph"/>
      </w:pPr>
      <w:r>
        <w:t xml:space="preserve">Cancelling the Sanity project removes its recurring plan fee. The plan tier and its price are not recorded in the repository, so the payback period cannot be calculated until the client’s actual Sanity bill is known.</w:t>
      </w:r>
    </w:p>
    <w:bookmarkEnd w:id="33"/>
    <w:bookmarkStart w:id="34" w:name="a-discrepancy-to-be-aware-of"/>
    <w:p>
      <w:pPr>
        <w:pStyle w:val="Heading3"/>
      </w:pPr>
      <w:r>
        <w:t xml:space="preserve">A discrepancy to be aware of</w:t>
      </w:r>
    </w:p>
    <w:p>
      <w:pPr>
        <w:pStyle w:val="FirstParagraph"/>
      </w:pPr>
      <w:r>
        <w:t xml:space="preserve">The implementation plan’s four phase estimates (26–36, 30–40, 20–29 and 16–24 hours) add up to 92–129 hours, while the quote’s workstreams add up to 96–139 hours. The plan header cites the quote’s range. The fee is based on the quote’s workstream figures, and the two should be reconciled before the client sees both.</w:t>
      </w:r>
    </w:p>
    <w:bookmarkEnd w:id="34"/>
    <w:bookmarkEnd w:id="35"/>
    <w:bookmarkStart w:id="36" w:name="hosting-options-compared"/>
    <w:p>
      <w:pPr>
        <w:pStyle w:val="Heading2"/>
      </w:pPr>
      <w:r>
        <w:t xml:space="preserve">Hosting options compared</w:t>
      </w:r>
    </w:p>
    <w:p>
      <w:pPr>
        <w:pStyle w:val="FirstParagraph"/>
      </w:pPr>
      <w:r>
        <w:t xml:space="preserve">MongoDB can be self-hosted for free, and the app needs only a connection string, so hosting is a deployment choice that can change later. The four realistic options differ mainly in who carries the operations and availability risk. No prices are shown because none are recorded in the quote or the repository.</w:t>
      </w:r>
    </w:p>
    <w:tbl>
      <w:tblPr>
        <w:tblStyle w:val="Table"/>
        <w:tblW w:type="pct" w:w="5000"/>
        <w:tblLook w:firstRow="1" w:lastRow="0" w:firstColumn="0" w:lastColumn="0" w:noHBand="0" w:noVBand="0" w:val="0020"/>
        <w:jc w:val="start"/>
        <w:tblBorders>
          <w:top w:val="single" w:sz="4" w:color="C9D6D0"/>
          <w:left w:val="single" w:sz="4" w:color="C9D6D0"/>
          <w:bottom w:val="single" w:sz="4" w:color="C9D6D0"/>
          <w:right w:val="single" w:sz="4" w:color="C9D6D0"/>
          <w:insideH w:val="single" w:sz="4" w:color="C9D6D0"/>
          <w:insideV w:val="single" w:sz="4" w:color="C9D6D0"/>
        </w:tblBorders>
      </w:tblPr>
      <w:tblGrid>
        <w:gridCol w:w="1320"/>
        <w:gridCol w:w="1320"/>
        <w:gridCol w:w="1320"/>
        <w:gridCol w:w="1320"/>
        <w:gridCol w:w="1320"/>
        <w:gridCol w:w="1320"/>
      </w:tblGrid>
      <w:tr>
        <w:trPr>
          <w:tblHeader w:val="true"/>
        </w:trPr>
        <w:tc>
          <w:tcPr>
            <w:shd w:val="clear" w:color="auto" w:fill="0E3B30"/>
          </w:tcPr>
          <w:p>
            <w:pPr>
              <w:pStyle w:val="Compact"/>
              <w:jc w:val="left"/>
            </w:pPr>
            <w:r>
              <w:rPr>
                <w:b/>
                <w:color w:val="FFFFFF"/>
                <w:sz w:val="19"/>
              </w:rPr>
              <w:t xml:space="preserve">Option</w:t>
            </w:r>
          </w:p>
        </w:tc>
        <w:tc>
          <w:tcPr>
            <w:shd w:val="clear" w:color="auto" w:fill="0E3B30"/>
          </w:tcPr>
          <w:p>
            <w:pPr>
              <w:pStyle w:val="Compact"/>
              <w:jc w:val="left"/>
            </w:pPr>
            <w:r>
              <w:rPr>
                <w:b/>
                <w:color w:val="FFFFFF"/>
                <w:sz w:val="19"/>
              </w:rPr>
              <w:t xml:space="preserve">Who operates it</w:t>
            </w:r>
          </w:p>
        </w:tc>
        <w:tc>
          <w:tcPr>
            <w:shd w:val="clear" w:color="auto" w:fill="0E3B30"/>
          </w:tcPr>
          <w:p>
            <w:pPr>
              <w:pStyle w:val="Compact"/>
              <w:jc w:val="left"/>
            </w:pPr>
            <w:r>
              <w:rPr>
                <w:b/>
                <w:color w:val="FFFFFF"/>
                <w:sz w:val="19"/>
              </w:rPr>
              <w:t xml:space="preserve">Cost shape</w:t>
            </w:r>
          </w:p>
        </w:tc>
        <w:tc>
          <w:tcPr>
            <w:shd w:val="clear" w:color="auto" w:fill="0E3B30"/>
          </w:tcPr>
          <w:p>
            <w:pPr>
              <w:pStyle w:val="Compact"/>
              <w:jc w:val="left"/>
            </w:pPr>
            <w:r>
              <w:rPr>
                <w:b/>
                <w:color w:val="FFFFFF"/>
                <w:sz w:val="19"/>
              </w:rPr>
              <w:t xml:space="preserve">Reaching it from the app</w:t>
            </w:r>
          </w:p>
        </w:tc>
        <w:tc>
          <w:tcPr>
            <w:shd w:val="clear" w:color="auto" w:fill="0E3B30"/>
          </w:tcPr>
          <w:p>
            <w:pPr>
              <w:pStyle w:val="Compact"/>
              <w:jc w:val="left"/>
            </w:pPr>
            <w:r>
              <w:rPr>
                <w:b/>
                <w:color w:val="FFFFFF"/>
                <w:sz w:val="19"/>
              </w:rPr>
              <w:t xml:space="preserve">Main risk</w:t>
            </w:r>
          </w:p>
        </w:tc>
        <w:tc>
          <w:tcPr>
            <w:shd w:val="clear" w:color="auto" w:fill="0E3B30"/>
          </w:tcPr>
          <w:p>
            <w:pPr>
              <w:pStyle w:val="Compact"/>
              <w:jc w:val="left"/>
            </w:pPr>
            <w:r>
              <w:rPr>
                <w:b/>
                <w:color w:val="FFFFFF"/>
                <w:sz w:val="19"/>
              </w:rPr>
              <w:t xml:space="preserve">Best when</w:t>
            </w:r>
          </w:p>
        </w:tc>
      </w:tr>
      <w:tr>
        <w:tc>
          <w:tcPr/>
          <w:p>
            <w:pPr>
              <w:pStyle w:val="Compact"/>
              <w:jc w:val="left"/>
            </w:pPr>
            <w:r>
              <w:rPr>
                <w:sz w:val="19"/>
              </w:rPr>
              <w:t xml:space="preserve">MongoDB Atlas (managed)</w:t>
            </w:r>
          </w:p>
        </w:tc>
        <w:tc>
          <w:tcPr/>
          <w:p>
            <w:pPr>
              <w:pStyle w:val="Compact"/>
              <w:jc w:val="left"/>
            </w:pPr>
            <w:r>
              <w:rPr>
                <w:sz w:val="19"/>
              </w:rPr>
              <w:t xml:space="preserve">MongoDB: patching, replica set, backups on paid tiers</w:t>
            </w:r>
          </w:p>
        </w:tc>
        <w:tc>
          <w:tcPr/>
          <w:p>
            <w:pPr>
              <w:pStyle w:val="Compact"/>
              <w:jc w:val="left"/>
            </w:pPr>
            <w:r>
              <w:rPr>
                <w:sz w:val="19"/>
              </w:rPr>
              <w:t xml:space="preserve">Monthly tier billed by MongoDB, rising with storage and throughput</w:t>
            </w:r>
          </w:p>
        </w:tc>
        <w:tc>
          <w:tcPr/>
          <w:p>
            <w:pPr>
              <w:pStyle w:val="Compact"/>
              <w:jc w:val="left"/>
            </w:pPr>
            <w:r>
              <w:rPr>
                <w:sz w:val="19"/>
              </w:rPr>
              <w:t xml:space="preserve">Public endpoint with an access list or private link, designed for hosted apps</w:t>
            </w:r>
          </w:p>
        </w:tc>
        <w:tc>
          <w:tcPr/>
          <w:p>
            <w:pPr>
              <w:pStyle w:val="Compact"/>
              <w:jc w:val="left"/>
            </w:pPr>
            <w:r>
              <w:rPr>
                <w:sz w:val="19"/>
              </w:rPr>
              <w:t xml:space="preserve">Recurring cost grows with data</w:t>
            </w:r>
          </w:p>
        </w:tc>
        <w:tc>
          <w:tcPr/>
          <w:p>
            <w:pPr>
              <w:pStyle w:val="Compact"/>
              <w:jc w:val="left"/>
            </w:pPr>
            <w:r>
              <w:rPr>
                <w:sz w:val="19"/>
              </w:rPr>
              <w:t xml:space="preserve">No one on the client side can maintain a server</w:t>
            </w:r>
          </w:p>
        </w:tc>
      </w:tr>
      <w:tr>
        <w:tc>
          <w:tcPr>
            <w:shd w:val="clear" w:color="auto" w:fill="EAF2EE"/>
          </w:tcPr>
          <w:p>
            <w:pPr>
              <w:pStyle w:val="Compact"/>
              <w:jc w:val="left"/>
            </w:pPr>
            <w:r>
              <w:rPr>
                <w:sz w:val="19"/>
              </w:rPr>
              <w:t xml:space="preserve">Rented server (VPS)</w:t>
            </w:r>
          </w:p>
        </w:tc>
        <w:tc>
          <w:tcPr>
            <w:shd w:val="clear" w:color="auto" w:fill="EAF2EE"/>
          </w:tcPr>
          <w:p>
            <w:pPr>
              <w:pStyle w:val="Compact"/>
              <w:jc w:val="left"/>
            </w:pPr>
            <w:r>
              <w:rPr>
                <w:sz w:val="19"/>
              </w:rPr>
              <w:t xml:space="preserve">Client or G-Solutions²: patches, backups, monitoring</w:t>
            </w:r>
          </w:p>
        </w:tc>
        <w:tc>
          <w:tcPr>
            <w:shd w:val="clear" w:color="auto" w:fill="EAF2EE"/>
          </w:tcPr>
          <w:p>
            <w:pPr>
              <w:pStyle w:val="Compact"/>
              <w:jc w:val="left"/>
            </w:pPr>
            <w:r>
              <w:rPr>
                <w:sz w:val="19"/>
              </w:rPr>
              <w:t xml:space="preserve">Flat monthly fee to a hosting provider, plus operating time</w:t>
            </w:r>
          </w:p>
        </w:tc>
        <w:tc>
          <w:tcPr>
            <w:shd w:val="clear" w:color="auto" w:fill="EAF2EE"/>
          </w:tcPr>
          <w:p>
            <w:pPr>
              <w:pStyle w:val="Compact"/>
              <w:jc w:val="left"/>
            </w:pPr>
            <w:r>
              <w:rPr>
                <w:sz w:val="19"/>
              </w:rPr>
              <w:t xml:space="preserve">Public IP with TLS, authentication and a firewall</w:t>
            </w:r>
          </w:p>
        </w:tc>
        <w:tc>
          <w:tcPr>
            <w:shd w:val="clear" w:color="auto" w:fill="EAF2EE"/>
          </w:tcPr>
          <w:p>
            <w:pPr>
              <w:pStyle w:val="Compact"/>
              <w:jc w:val="left"/>
            </w:pPr>
            <w:r>
              <w:rPr>
                <w:sz w:val="19"/>
              </w:rPr>
              <w:t xml:space="preserve">Operations are owned by you; one node is a single point of failure</w:t>
            </w:r>
          </w:p>
        </w:tc>
        <w:tc>
          <w:tcPr>
            <w:shd w:val="clear" w:color="auto" w:fill="EAF2EE"/>
          </w:tcPr>
          <w:p>
            <w:pPr>
              <w:pStyle w:val="Compact"/>
              <w:jc w:val="left"/>
            </w:pPr>
            <w:r>
              <w:rPr>
                <w:sz w:val="19"/>
              </w:rPr>
              <w:t xml:space="preserve">A technical person is available and cost predictability matters</w:t>
            </w:r>
          </w:p>
        </w:tc>
      </w:tr>
      <w:tr>
        <w:tc>
          <w:tcPr/>
          <w:p>
            <w:pPr>
              <w:pStyle w:val="Compact"/>
              <w:jc w:val="left"/>
            </w:pPr>
            <w:r>
              <w:rPr>
                <w:sz w:val="19"/>
              </w:rPr>
              <w:t xml:space="preserve">Office server</w:t>
            </w:r>
          </w:p>
        </w:tc>
        <w:tc>
          <w:tcPr/>
          <w:p>
            <w:pPr>
              <w:pStyle w:val="Compact"/>
              <w:jc w:val="left"/>
            </w:pPr>
            <w:r>
              <w:rPr>
                <w:sz w:val="19"/>
              </w:rPr>
              <w:t xml:space="preserve">Client or G-Solutions², plus the office’s power and network</w:t>
            </w:r>
          </w:p>
        </w:tc>
        <w:tc>
          <w:tcPr/>
          <w:p>
            <w:pPr>
              <w:pStyle w:val="Compact"/>
              <w:jc w:val="left"/>
            </w:pPr>
            <w:r>
              <w:rPr>
                <w:sz w:val="19"/>
              </w:rPr>
              <w:t xml:space="preserve">Hardware, UPS and internet, plus operating time</w:t>
            </w:r>
          </w:p>
        </w:tc>
        <w:tc>
          <w:tcPr/>
          <w:p>
            <w:pPr>
              <w:pStyle w:val="Compact"/>
              <w:jc w:val="left"/>
            </w:pPr>
            <w:r>
              <w:rPr>
                <w:sz w:val="19"/>
              </w:rPr>
              <w:t xml:space="preserve">Needs a tunnel or private network, or the app must move into the office</w:t>
            </w:r>
          </w:p>
        </w:tc>
        <w:tc>
          <w:tcPr/>
          <w:p>
            <w:pPr>
              <w:pStyle w:val="Compact"/>
              <w:jc w:val="left"/>
            </w:pPr>
            <w:r>
              <w:rPr>
                <w:sz w:val="19"/>
              </w:rPr>
              <w:t xml:space="preserve">Power or internet outage stops the whole business; physical loss</w:t>
            </w:r>
          </w:p>
        </w:tc>
        <w:tc>
          <w:tcPr/>
          <w:p>
            <w:pPr>
              <w:pStyle w:val="Compact"/>
              <w:jc w:val="left"/>
            </w:pPr>
            <w:r>
              <w:rPr>
                <w:sz w:val="19"/>
              </w:rPr>
              <w:t xml:space="preserve">Data must stay on-premises and the office has reliable power and a static connection</w:t>
            </w:r>
          </w:p>
        </w:tc>
      </w:tr>
      <w:tr>
        <w:tc>
          <w:tcPr>
            <w:shd w:val="clear" w:color="auto" w:fill="EAF2EE"/>
          </w:tcPr>
          <w:p>
            <w:pPr>
              <w:pStyle w:val="Compact"/>
              <w:jc w:val="left"/>
            </w:pPr>
            <w:r>
              <w:rPr>
                <w:sz w:val="19"/>
              </w:rPr>
              <w:t xml:space="preserve">Hybrid: office primary, off-site replica or backup</w:t>
            </w:r>
          </w:p>
        </w:tc>
        <w:tc>
          <w:tcPr>
            <w:shd w:val="clear" w:color="auto" w:fill="EAF2EE"/>
          </w:tcPr>
          <w:p>
            <w:pPr>
              <w:pStyle w:val="Compact"/>
              <w:jc w:val="left"/>
            </w:pPr>
            <w:r>
              <w:rPr>
                <w:sz w:val="19"/>
              </w:rPr>
              <w:t xml:space="preserve">Same as office, plus the off-site part</w:t>
            </w:r>
          </w:p>
        </w:tc>
        <w:tc>
          <w:tcPr>
            <w:shd w:val="clear" w:color="auto" w:fill="EAF2EE"/>
          </w:tcPr>
          <w:p>
            <w:pPr>
              <w:pStyle w:val="Compact"/>
              <w:jc w:val="left"/>
            </w:pPr>
            <w:r>
              <w:rPr>
                <w:sz w:val="19"/>
              </w:rPr>
              <w:t xml:space="preserve">Office costs plus a small off-site server or storage</w:t>
            </w:r>
          </w:p>
        </w:tc>
        <w:tc>
          <w:tcPr>
            <w:shd w:val="clear" w:color="auto" w:fill="EAF2EE"/>
          </w:tcPr>
          <w:p>
            <w:pPr>
              <w:pStyle w:val="Compact"/>
              <w:jc w:val="left"/>
            </w:pPr>
            <w:r>
              <w:rPr>
                <w:sz w:val="19"/>
              </w:rPr>
              <w:t xml:space="preserve">Same as office; the off-site copy is not exposed to the app</w:t>
            </w:r>
          </w:p>
        </w:tc>
        <w:tc>
          <w:tcPr>
            <w:shd w:val="clear" w:color="auto" w:fill="EAF2EE"/>
          </w:tcPr>
          <w:p>
            <w:pPr>
              <w:pStyle w:val="Compact"/>
              <w:jc w:val="left"/>
            </w:pPr>
            <w:r>
              <w:rPr>
                <w:sz w:val="19"/>
              </w:rPr>
              <w:t xml:space="preserve">More moving parts to monitor</w:t>
            </w:r>
          </w:p>
        </w:tc>
        <w:tc>
          <w:tcPr>
            <w:shd w:val="clear" w:color="auto" w:fill="EAF2EE"/>
          </w:tcPr>
          <w:p>
            <w:pPr>
              <w:pStyle w:val="Compact"/>
              <w:jc w:val="left"/>
            </w:pPr>
            <w:r>
              <w:rPr>
                <w:sz w:val="19"/>
              </w:rPr>
              <w:t xml:space="preserve">The client wants on-premises control with a real disaster-recovery copy</w:t>
            </w:r>
          </w:p>
        </w:tc>
      </w:tr>
    </w:tbl>
    <w:p>
      <w:pPr>
        <w:pStyle w:val="BodyText"/>
      </w:pPr>
      <w:r>
        <w:t xml:space="preserve">The two self-hosted options need a replica set, ideally three data-bearing members, to get failover and transactions. A single node is acceptable only for development.</w:t>
      </w:r>
    </w:p>
    <w:bookmarkEnd w:id="36"/>
    <w:bookmarkStart w:id="44" w:name="considerations-for-an-office-server"/>
    <w:p>
      <w:pPr>
        <w:pStyle w:val="Heading2"/>
      </w:pPr>
      <w:r>
        <w:t xml:space="preserve">Considerations for an office server</w:t>
      </w:r>
    </w:p>
    <w:p>
      <w:pPr>
        <w:pStyle w:val="FirstParagraph"/>
      </w:pPr>
      <w:r>
        <w:t xml:space="preserve">Hosting MongoDB in the office is workable, and it makes the office’s power, internet and building part of CaterFlow’s uptime. Today the app is as available as Sanity and Vercel; after the move, a database outage stops dispatch, receipts and counts for everyone.</w:t>
      </w:r>
    </w:p>
    <w:bookmarkStart w:id="37" w:name="reachability"/>
    <w:p>
      <w:pPr>
        <w:pStyle w:val="Heading3"/>
      </w:pPr>
      <w:r>
        <w:t xml:space="preserve">Reachability</w:t>
      </w:r>
    </w:p>
    <w:p>
      <w:pPr>
        <w:pStyle w:val="FirstParagraph"/>
      </w:pPr>
      <w:r>
        <w:t xml:space="preserve">The app is described as a Next.js app on Vercel, whose functions connect from changing public IP addresses, so they cannot reach a database inside an office network without help. There are three ways to solve it:</w:t>
      </w:r>
    </w:p>
    <w:p>
      <w:pPr>
        <w:numPr>
          <w:ilvl w:val="0"/>
          <w:numId w:val="1008"/>
        </w:numPr>
        <w:pStyle w:val="Compact"/>
      </w:pPr>
      <w:r>
        <w:rPr>
          <w:bCs/>
          <w:b/>
        </w:rPr>
        <w:t xml:space="preserve">A tunnel or private network</w:t>
      </w:r>
      <w:r>
        <w:t xml:space="preserve"> </w:t>
      </w:r>
      <w:r>
        <w:t xml:space="preserve">such as Cloudflare Tunnel or Tailscale. No router ports are opened, which makes it the safest option. It adds a dependency and some latency, and the way Vercel’s functions connect through it must be tested before commitment.</w:t>
      </w:r>
    </w:p>
    <w:p>
      <w:pPr>
        <w:numPr>
          <w:ilvl w:val="0"/>
          <w:numId w:val="1008"/>
        </w:numPr>
        <w:pStyle w:val="Compact"/>
      </w:pPr>
      <w:r>
        <w:rPr>
          <w:bCs/>
          <w:b/>
        </w:rPr>
        <w:t xml:space="preserve">A port-forward with a static public IP.</w:t>
      </w:r>
      <w:r>
        <w:t xml:space="preserve"> </w:t>
      </w:r>
      <w:r>
        <w:t xml:space="preserve">Possible only with a static IP and a hardened server. An exposed database is a common cause of data loss, so this is the option to avoid.</w:t>
      </w:r>
    </w:p>
    <w:p>
      <w:pPr>
        <w:numPr>
          <w:ilvl w:val="0"/>
          <w:numId w:val="1008"/>
        </w:numPr>
        <w:pStyle w:val="Compact"/>
      </w:pPr>
      <w:r>
        <w:rPr>
          <w:bCs/>
          <w:b/>
        </w:rPr>
        <w:t xml:space="preserve">Moving the app into the office as well.</w:t>
      </w:r>
      <w:r>
        <w:t xml:space="preserve"> </w:t>
      </w:r>
      <w:r>
        <w:t xml:space="preserve">The database then never leaves the LAN, but the convenience of Vercel hosting is lost and the office also hosts the web app.</w:t>
      </w:r>
    </w:p>
    <w:bookmarkEnd w:id="37"/>
    <w:bookmarkStart w:id="38" w:name="power-and-internet"/>
    <w:p>
      <w:pPr>
        <w:pStyle w:val="Heading3"/>
      </w:pPr>
      <w:r>
        <w:t xml:space="preserve">Power and internet</w:t>
      </w:r>
    </w:p>
    <w:p>
      <w:pPr>
        <w:pStyle w:val="FirstParagraph"/>
      </w:pPr>
      <w:r>
        <w:t xml:space="preserve">The office server is down whenever the building loses power or its internet link. At minimum it needs a UPS with enough runtime for a clean shutdown, and ideally an inverter or generator for longer cuts. Remote users, such as site managers on mobile, depend on the office uplink.</w:t>
      </w:r>
    </w:p>
    <w:bookmarkEnd w:id="38"/>
    <w:bookmarkStart w:id="39" w:name="backups"/>
    <w:p>
      <w:pPr>
        <w:pStyle w:val="Heading3"/>
      </w:pPr>
      <w:r>
        <w:t xml:space="preserve">Backups</w:t>
      </w:r>
    </w:p>
    <w:p>
      <w:pPr>
        <w:pStyle w:val="FirstParagraph"/>
      </w:pPr>
      <w:r>
        <w:t xml:space="preserve">A backup on the same machine, or in the same building, is not a backup. The minimum is an automated nightly dump (the repo already has</w:t>
      </w:r>
      <w:r>
        <w:t xml:space="preserve"> </w:t>
      </w:r>
      <w:r>
        <w:rPr>
          <w:rStyle w:val="VerbatimChar"/>
        </w:rPr>
        <w:t xml:space="preserve">scripts/export_mongo.js</w:t>
      </w:r>
      <w:r>
        <w:t xml:space="preserve"> </w:t>
      </w:r>
      <w:r>
        <w:t xml:space="preserve">and</w:t>
      </w:r>
      <w:r>
        <w:t xml:space="preserve"> </w:t>
      </w:r>
      <w:r>
        <w:rPr>
          <w:rStyle w:val="VerbatimChar"/>
        </w:rPr>
        <w:t xml:space="preserve">BACKUP_SAFETY_GUIDE.md</w:t>
      </w:r>
      <w:r>
        <w:t xml:space="preserve">) copied to an off-site location, plus a restore test before cutover and on a schedule afterwards. Fire, theft, flood or a disk failure then costs a day of data at most.</w:t>
      </w:r>
    </w:p>
    <w:bookmarkEnd w:id="39"/>
    <w:bookmarkStart w:id="40" w:name="security"/>
    <w:p>
      <w:pPr>
        <w:pStyle w:val="Heading3"/>
      </w:pPr>
      <w:r>
        <w:t xml:space="preserve">Security</w:t>
      </w:r>
    </w:p>
    <w:p>
      <w:pPr>
        <w:numPr>
          <w:ilvl w:val="0"/>
          <w:numId w:val="1009"/>
        </w:numPr>
        <w:pStyle w:val="Compact"/>
      </w:pPr>
      <w:r>
        <w:t xml:space="preserve">Authentication and TLS enabled, with the database bound to the private interface only.</w:t>
      </w:r>
    </w:p>
    <w:p>
      <w:pPr>
        <w:numPr>
          <w:ilvl w:val="0"/>
          <w:numId w:val="1009"/>
        </w:numPr>
        <w:pStyle w:val="Compact"/>
      </w:pPr>
      <w:r>
        <w:t xml:space="preserve">A firewall that allows only the app or tunnel to reach the database port.</w:t>
      </w:r>
    </w:p>
    <w:p>
      <w:pPr>
        <w:numPr>
          <w:ilvl w:val="0"/>
          <w:numId w:val="1009"/>
        </w:numPr>
        <w:pStyle w:val="Compact"/>
      </w:pPr>
      <w:r>
        <w:t xml:space="preserve">Separate database users for the app and for backups, with the least privileges each needs.</w:t>
      </w:r>
    </w:p>
    <w:p>
      <w:pPr>
        <w:numPr>
          <w:ilvl w:val="0"/>
          <w:numId w:val="1009"/>
        </w:numPr>
        <w:pStyle w:val="Compact"/>
      </w:pPr>
      <w:r>
        <w:t xml:space="preserve">Physical access to the machine restricted, and disk encryption considered.</w:t>
      </w:r>
    </w:p>
    <w:p>
      <w:pPr>
        <w:numPr>
          <w:ilvl w:val="0"/>
          <w:numId w:val="1009"/>
        </w:numPr>
        <w:pStyle w:val="Compact"/>
      </w:pPr>
      <w:r>
        <w:t xml:space="preserve">Operating system and MongoDB patched on a regular schedule.</w:t>
      </w:r>
    </w:p>
    <w:bookmarkEnd w:id="40"/>
    <w:bookmarkStart w:id="41" w:name="hardware-and-replica-set"/>
    <w:p>
      <w:pPr>
        <w:pStyle w:val="Heading3"/>
      </w:pPr>
      <w:r>
        <w:t xml:space="preserve">Hardware and replica set</w:t>
      </w:r>
    </w:p>
    <w:p>
      <w:pPr>
        <w:pStyle w:val="FirstParagraph"/>
      </w:pPr>
      <w:r>
        <w:t xml:space="preserve">Use mirrored SSDs (RAID 1) and keep disk-space and health alerts. A three-member replica set gives failover and the transaction support the stock and procurement writes want. Two members in the office plus one off-site member protects against losing the whole building. A single office node is a single point of failure.</w:t>
      </w:r>
    </w:p>
    <w:bookmarkEnd w:id="41"/>
    <w:bookmarkStart w:id="42" w:name="ownership"/>
    <w:p>
      <w:pPr>
        <w:pStyle w:val="Heading3"/>
      </w:pPr>
      <w:r>
        <w:t xml:space="preserve">Ownership</w:t>
      </w:r>
    </w:p>
    <w:p>
      <w:pPr>
        <w:pStyle w:val="FirstParagraph"/>
      </w:pPr>
      <w:r>
        <w:t xml:space="preserve">Someone must own patching, backup checks, monitoring and recovery. That person is not named in the plan, the quote or the repository, and the setup is not part of the SZL 20,000 fee.</w:t>
      </w:r>
    </w:p>
    <w:bookmarkEnd w:id="42"/>
    <w:bookmarkStart w:id="43" w:name="conditions-before-cutover"/>
    <w:p>
      <w:pPr>
        <w:pStyle w:val="Heading3"/>
      </w:pPr>
      <w:r>
        <w:t xml:space="preserve">Conditions before cutover</w:t>
      </w:r>
    </w:p>
    <w:p>
      <w:pPr>
        <w:pStyle w:val="FirstParagraph"/>
      </w:pPr>
      <w:r>
        <w:t xml:space="preserve">Office hosting should go ahead only if each of these is met:</w:t>
      </w:r>
    </w:p>
    <w:p>
      <w:pPr>
        <w:numPr>
          <w:ilvl w:val="0"/>
          <w:numId w:val="1010"/>
        </w:numPr>
        <w:pStyle w:val="Compact"/>
      </w:pPr>
      <w:r>
        <w:t xml:space="preserve">☐ An off-site backup is running automatically and a restore has been tested</w:t>
      </w:r>
    </w:p>
    <w:p>
      <w:pPr>
        <w:numPr>
          <w:ilvl w:val="0"/>
          <w:numId w:val="1010"/>
        </w:numPr>
        <w:pStyle w:val="Compact"/>
      </w:pPr>
      <w:r>
        <w:t xml:space="preserve">☐ The app reaches the database through a tunnel or private link, with no open database port</w:t>
      </w:r>
    </w:p>
    <w:p>
      <w:pPr>
        <w:numPr>
          <w:ilvl w:val="0"/>
          <w:numId w:val="1010"/>
        </w:numPr>
        <w:pStyle w:val="Compact"/>
      </w:pPr>
      <w:r>
        <w:t xml:space="preserve">☐ A UPS protects the server, and the office has reliable internet</w:t>
      </w:r>
    </w:p>
    <w:p>
      <w:pPr>
        <w:numPr>
          <w:ilvl w:val="0"/>
          <w:numId w:val="1010"/>
        </w:numPr>
        <w:pStyle w:val="Compact"/>
      </w:pPr>
      <w:r>
        <w:t xml:space="preserve">☐ A named person is responsible for patching, monitoring and recovery</w:t>
      </w:r>
    </w:p>
    <w:p>
      <w:pPr>
        <w:numPr>
          <w:ilvl w:val="0"/>
          <w:numId w:val="1010"/>
        </w:numPr>
        <w:pStyle w:val="Compact"/>
      </w:pPr>
      <w:r>
        <w:t xml:space="preserve">☐ The server is a replica set with at least one member off-site, or the client accepts the single-node risk in writing</w:t>
      </w:r>
    </w:p>
    <w:p>
      <w:pPr>
        <w:numPr>
          <w:ilvl w:val="0"/>
          <w:numId w:val="1010"/>
        </w:numPr>
        <w:pStyle w:val="Compact"/>
      </w:pPr>
      <w:r>
        <w:t xml:space="preserve">☐ Authentication and TLS are enabled and tested</w:t>
      </w:r>
    </w:p>
    <w:bookmarkEnd w:id="43"/>
    <w:bookmarkEnd w:id="44"/>
    <w:bookmarkStart w:id="47" w:name="risks-and-open-questions"/>
    <w:p>
      <w:pPr>
        <w:pStyle w:val="Heading2"/>
      </w:pPr>
      <w:r>
        <w:t xml:space="preserve">Risks and open questions</w:t>
      </w:r>
    </w:p>
    <w:p>
      <w:pPr>
        <w:pStyle w:val="FirstParagraph"/>
      </w:pPr>
      <w:r>
        <w:t xml:space="preserve">The largest near-term risk is the gap: the migration takes about 3–4 weeks of full-time work, and Sanity’s quota is binding today. The retention fix must be deployed in the meantime, or the app stays blocked until cutover.</w:t>
      </w:r>
    </w:p>
    <w:tbl>
      <w:tblPr>
        <w:tblStyle w:val="Table"/>
        <w:tblW w:type="pct" w:w="5000"/>
        <w:tblLook w:firstRow="1" w:lastRow="0" w:firstColumn="0" w:lastColumn="0" w:noHBand="0" w:noVBand="0" w:val="0020"/>
        <w:jc w:val="start"/>
        <w:tblBorders>
          <w:top w:val="single" w:sz="4" w:color="C9D6D0"/>
          <w:left w:val="single" w:sz="4" w:color="C9D6D0"/>
          <w:bottom w:val="single" w:sz="4" w:color="C9D6D0"/>
          <w:right w:val="single" w:sz="4" w:color="C9D6D0"/>
          <w:insideH w:val="single" w:sz="4" w:color="C9D6D0"/>
          <w:insideV w:val="single" w:sz="4" w:color="C9D6D0"/>
        </w:tblBorders>
      </w:tblPr>
      <w:tblGrid>
        <w:gridCol w:w="2640"/>
        <w:gridCol w:w="2640"/>
        <w:gridCol w:w="2640"/>
      </w:tblGrid>
      <w:tr>
        <w:trPr>
          <w:tblHeader w:val="true"/>
        </w:trPr>
        <w:tc>
          <w:tcPr>
            <w:shd w:val="clear" w:color="auto" w:fill="0E3B30"/>
          </w:tcPr>
          <w:p>
            <w:pPr>
              <w:pStyle w:val="Compact"/>
              <w:jc w:val="left"/>
            </w:pPr>
            <w:r>
              <w:rPr>
                <w:b/>
                <w:color w:val="FFFFFF"/>
                <w:sz w:val="19"/>
              </w:rPr>
              <w:t xml:space="preserve">Risk</w:t>
            </w:r>
          </w:p>
        </w:tc>
        <w:tc>
          <w:tcPr>
            <w:shd w:val="clear" w:color="auto" w:fill="0E3B30"/>
          </w:tcPr>
          <w:p>
            <w:pPr>
              <w:pStyle w:val="Compact"/>
              <w:jc w:val="left"/>
            </w:pPr>
            <w:r>
              <w:rPr>
                <w:b/>
                <w:color w:val="FFFFFF"/>
                <w:sz w:val="19"/>
              </w:rPr>
              <w:t xml:space="preserve">Why it matters</w:t>
            </w:r>
          </w:p>
        </w:tc>
        <w:tc>
          <w:tcPr>
            <w:shd w:val="clear" w:color="auto" w:fill="0E3B30"/>
          </w:tcPr>
          <w:p>
            <w:pPr>
              <w:pStyle w:val="Compact"/>
              <w:jc w:val="left"/>
            </w:pPr>
            <w:r>
              <w:rPr>
                <w:b/>
                <w:color w:val="FFFFFF"/>
                <w:sz w:val="19"/>
              </w:rPr>
              <w:t xml:space="preserve">Mitigation</w:t>
            </w:r>
          </w:p>
        </w:tc>
      </w:tr>
      <w:tr>
        <w:tc>
          <w:tcPr/>
          <w:p>
            <w:pPr>
              <w:pStyle w:val="Compact"/>
              <w:jc w:val="left"/>
            </w:pPr>
            <w:r>
              <w:rPr>
                <w:sz w:val="19"/>
              </w:rPr>
              <w:t xml:space="preserve">Quota block continues during the migration</w:t>
            </w:r>
          </w:p>
        </w:tc>
        <w:tc>
          <w:tcPr/>
          <w:p>
            <w:pPr>
              <w:pStyle w:val="Compact"/>
              <w:jc w:val="left"/>
            </w:pPr>
            <w:r>
              <w:rPr>
                <w:sz w:val="19"/>
              </w:rPr>
              <w:t xml:space="preserve">Production was blocked by the document quota; the deletion fix is not yet deployed</w:t>
            </w:r>
          </w:p>
        </w:tc>
        <w:tc>
          <w:tcPr/>
          <w:p>
            <w:pPr>
              <w:pStyle w:val="Compact"/>
              <w:jc w:val="left"/>
            </w:pPr>
            <w:r>
              <w:rPr>
                <w:sz w:val="19"/>
              </w:rPr>
              <w:t xml:space="preserve">Take a fresh backup, deploy the fix, then run one archive pass and one delete pass and check the counts. The next cleanup will try to delete a very large batch of documents in one pass</w:t>
            </w:r>
          </w:p>
        </w:tc>
      </w:tr>
      <w:tr>
        <w:tc>
          <w:tcPr>
            <w:shd w:val="clear" w:color="auto" w:fill="EAF2EE"/>
          </w:tcPr>
          <w:p>
            <w:pPr>
              <w:pStyle w:val="Compact"/>
              <w:jc w:val="left"/>
            </w:pPr>
            <w:r>
              <w:rPr>
                <w:sz w:val="19"/>
              </w:rPr>
              <w:t>Sanity price unconfirmed (limit is 25,000)</w:t>
            </w:r>
          </w:p>
        </w:tc>
        <w:tc>
          <w:tcPr>
            <w:shd w:val="clear" w:color="auto" w:fill="EAF2EE"/>
          </w:tcPr>
          <w:p>
            <w:pPr>
              <w:pStyle w:val="Compact"/>
              <w:jc w:val="left"/>
            </w:pPr>
            <w:r>
              <w:rPr>
                <w:sz w:val="19"/>
              </w:rPr>
              <w:t>The document limit is confirmed at 25,000; the plan price has not been checked against the billing page</w:t>
            </w:r>
          </w:p>
        </w:tc>
        <w:tc>
          <w:tcPr>
            <w:shd w:val="clear" w:color="auto" w:fill="EAF2EE"/>
          </w:tcPr>
          <w:p>
            <w:pPr>
              <w:pStyle w:val="Compact"/>
              <w:jc w:val="left"/>
            </w:pPr>
            <w:r>
              <w:rPr>
                <w:sz w:val="19"/>
              </w:rPr>
              <w:t>Confirm the plan price on the Sanity billing page and track the live document count against the 25,000 limit</w:t>
            </w:r>
          </w:p>
        </w:tc>
      </w:tr>
      <w:tr>
        <w:tc>
          <w:tcPr/>
          <w:p>
            <w:pPr>
              <w:pStyle w:val="Compact"/>
              <w:jc w:val="left"/>
            </w:pPr>
            <w:r>
              <w:rPr>
                <w:sz w:val="19"/>
              </w:rPr>
              <w:t xml:space="preserve">Retention setting unconfirmed</w:t>
            </w:r>
          </w:p>
        </w:tc>
        <w:tc>
          <w:tcPr/>
          <w:p>
            <w:pPr>
              <w:pStyle w:val="Compact"/>
              <w:jc w:val="left"/>
            </w:pPr>
            <w:r>
              <w:rPr>
                <w:sz w:val="19"/>
              </w:rPr>
              <w:t xml:space="preserve">The local environment uses 90 days, the code default is 60</w:t>
            </w:r>
          </w:p>
        </w:tc>
        <w:tc>
          <w:tcPr/>
          <w:p>
            <w:pPr>
              <w:pStyle w:val="Compact"/>
              <w:jc w:val="left"/>
            </w:pPr>
            <w:r>
              <w:rPr>
                <w:sz w:val="19"/>
              </w:rPr>
              <w:t xml:space="preserve">Confirm</w:t>
            </w:r>
            <w:r>
              <w:rPr>
                <w:sz w:val="19"/>
              </w:rPr>
              <w:t xml:space="preserve"> </w:t>
            </w:r>
            <w:r>
              <w:rPr>
                <w:rStyle w:val="VerbatimChar"/>
                <w:sz w:val="19"/>
              </w:rPr>
              <w:t xml:space="preserve">ARCHIVE_DAYS_THRESHOLD</w:t>
            </w:r>
            <w:r>
              <w:rPr>
                <w:sz w:val="19"/>
              </w:rPr>
              <w:t xml:space="preserve"> </w:t>
            </w:r>
            <w:r>
              <w:rPr>
                <w:sz w:val="19"/>
              </w:rPr>
              <w:t xml:space="preserve">in production</w:t>
            </w:r>
          </w:p>
        </w:tc>
      </w:tr>
      <w:tr>
        <w:tc>
          <w:tcPr>
            <w:shd w:val="clear" w:color="auto" w:fill="EAF2EE"/>
          </w:tcPr>
          <w:p>
            <w:pPr>
              <w:pStyle w:val="Compact"/>
              <w:jc w:val="left"/>
            </w:pPr>
            <w:r>
              <w:rPr>
                <w:sz w:val="19"/>
              </w:rPr>
              <w:t xml:space="preserve">Loss of referential integrity</w:t>
            </w:r>
          </w:p>
        </w:tc>
        <w:tc>
          <w:tcPr>
            <w:shd w:val="clear" w:color="auto" w:fill="EAF2EE"/>
          </w:tcPr>
          <w:p>
            <w:pPr>
              <w:pStyle w:val="Compact"/>
              <w:jc w:val="left"/>
            </w:pPr>
            <w:r>
              <w:rPr>
                <w:sz w:val="19"/>
              </w:rPr>
              <w:t xml:space="preserve">MongoDB does not enforce references the way Sanity does</w:t>
            </w:r>
          </w:p>
        </w:tc>
        <w:tc>
          <w:tcPr>
            <w:shd w:val="clear" w:color="auto" w:fill="EAF2EE"/>
          </w:tcPr>
          <w:p>
            <w:pPr>
              <w:pStyle w:val="Compact"/>
              <w:jc w:val="left"/>
            </w:pPr>
            <w:r>
              <w:rPr>
                <w:sz w:val="19"/>
              </w:rPr>
              <w:t xml:space="preserve">Use Mongoose or equivalent validation, and verify every reference in staging</w:t>
            </w:r>
          </w:p>
        </w:tc>
      </w:tr>
      <w:tr>
        <w:tc>
          <w:tcPr/>
          <w:p>
            <w:pPr>
              <w:pStyle w:val="Compact"/>
              <w:jc w:val="left"/>
            </w:pPr>
            <w:r>
              <w:rPr>
                <w:sz w:val="19"/>
              </w:rPr>
              <w:t xml:space="preserve">Slower queries after rewrite</w:t>
            </w:r>
          </w:p>
        </w:tc>
        <w:tc>
          <w:tcPr/>
          <w:p>
            <w:pPr>
              <w:pStyle w:val="Compact"/>
              <w:jc w:val="left"/>
            </w:pPr>
            <w:r>
              <w:rPr>
                <w:sz w:val="19"/>
              </w:rPr>
              <w:t xml:space="preserve">GROQ joins become</w:t>
            </w:r>
            <w:r>
              <w:rPr>
                <w:sz w:val="19"/>
              </w:rPr>
              <w:t xml:space="preserve"> </w:t>
            </w:r>
            <w:r>
              <w:rPr>
                <w:rStyle w:val="VerbatimChar"/>
                <w:sz w:val="19"/>
              </w:rPr>
              <w:t xml:space="preserve">$lookup</w:t>
            </w:r>
            <w:r>
              <w:rPr>
                <w:sz w:val="19"/>
              </w:rPr>
              <w:t xml:space="preserve"> </w:t>
            </w:r>
            <w:r>
              <w:rPr>
                <w:sz w:val="19"/>
              </w:rPr>
              <w:t xml:space="preserve">pipelines that need indexes</w:t>
            </w:r>
          </w:p>
        </w:tc>
        <w:tc>
          <w:tcPr/>
          <w:p>
            <w:pPr>
              <w:pStyle w:val="Compact"/>
              <w:jc w:val="left"/>
            </w:pPr>
            <w:r>
              <w:rPr>
                <w:sz w:val="19"/>
              </w:rPr>
              <w:t xml:space="preserve">Index by date, site and bin, and test the heavy routes against production-sized data</w:t>
            </w:r>
          </w:p>
        </w:tc>
      </w:tr>
      <w:tr>
        <w:tc>
          <w:tcPr>
            <w:shd w:val="clear" w:color="auto" w:fill="EAF2EE"/>
          </w:tcPr>
          <w:p>
            <w:pPr>
              <w:pStyle w:val="Compact"/>
              <w:jc w:val="left"/>
            </w:pPr>
            <w:r>
              <w:rPr>
                <w:sz w:val="19"/>
              </w:rPr>
              <w:t xml:space="preserve">Image transforms</w:t>
            </w:r>
          </w:p>
        </w:tc>
        <w:tc>
          <w:tcPr>
            <w:shd w:val="clear" w:color="auto" w:fill="EAF2EE"/>
          </w:tcPr>
          <w:p>
            <w:pPr>
              <w:pStyle w:val="Compact"/>
              <w:jc w:val="left"/>
            </w:pPr>
            <w:r>
              <w:rPr>
                <w:sz w:val="19"/>
              </w:rPr>
              <w:t xml:space="preserve">Sanity’s CDN may resize or convert images the app relies on at render time</w:t>
            </w:r>
          </w:p>
        </w:tc>
        <w:tc>
          <w:tcPr>
            <w:shd w:val="clear" w:color="auto" w:fill="EAF2EE"/>
          </w:tcPr>
          <w:p>
            <w:pPr>
              <w:pStyle w:val="Compact"/>
              <w:jc w:val="left"/>
            </w:pPr>
            <w:r>
              <w:rPr>
                <w:sz w:val="19"/>
              </w:rPr>
              <w:t xml:space="preserve">Check each attachment before choosing a storage provider</w:t>
            </w:r>
          </w:p>
        </w:tc>
      </w:tr>
      <w:tr>
        <w:tc>
          <w:tcPr/>
          <w:p>
            <w:pPr>
              <w:pStyle w:val="Compact"/>
              <w:jc w:val="left"/>
            </w:pPr>
            <w:r>
              <w:rPr>
                <w:sz w:val="19"/>
              </w:rPr>
              <w:t xml:space="preserve">Hidden Studio dependence</w:t>
            </w:r>
          </w:p>
        </w:tc>
        <w:tc>
          <w:tcPr/>
          <w:p>
            <w:pPr>
              <w:pStyle w:val="Compact"/>
              <w:jc w:val="left"/>
            </w:pPr>
            <w:r>
              <w:rPr>
                <w:sz w:val="19"/>
              </w:rPr>
              <w:t xml:space="preserve">The code shows none, but it has not been confirmed with the client</w:t>
            </w:r>
          </w:p>
        </w:tc>
        <w:tc>
          <w:tcPr/>
          <w:p>
            <w:pPr>
              <w:pStyle w:val="Compact"/>
              <w:jc w:val="left"/>
            </w:pPr>
            <w:r>
              <w:rPr>
                <w:sz w:val="19"/>
              </w:rPr>
              <w:t xml:space="preserve">Ask the client directly</w:t>
            </w:r>
          </w:p>
        </w:tc>
      </w:tr>
      <w:tr>
        <w:tc>
          <w:tcPr>
            <w:shd w:val="clear" w:color="auto" w:fill="EAF2EE"/>
          </w:tcPr>
          <w:p>
            <w:pPr>
              <w:pStyle w:val="Compact"/>
              <w:jc w:val="left"/>
            </w:pPr>
            <w:r>
              <w:rPr>
                <w:sz w:val="19"/>
              </w:rPr>
              <w:t xml:space="preserve">Cutover</w:t>
            </w:r>
          </w:p>
        </w:tc>
        <w:tc>
          <w:tcPr>
            <w:shd w:val="clear" w:color="auto" w:fill="EAF2EE"/>
          </w:tcPr>
          <w:p>
            <w:pPr>
              <w:pStyle w:val="Compact"/>
              <w:jc w:val="left"/>
            </w:pPr>
            <w:r>
              <w:rPr>
                <w:sz w:val="19"/>
              </w:rPr>
              <w:t xml:space="preserve">Data written during the switch could be lost or duplicated</w:t>
            </w:r>
          </w:p>
        </w:tc>
        <w:tc>
          <w:tcPr>
            <w:shd w:val="clear" w:color="auto" w:fill="EAF2EE"/>
          </w:tcPr>
          <w:p>
            <w:pPr>
              <w:pStyle w:val="Compact"/>
              <w:jc w:val="left"/>
            </w:pPr>
            <w:r>
              <w:rPr>
                <w:sz w:val="19"/>
              </w:rPr>
              <w:t xml:space="preserve">Agree downtime and rollback windows, and keep Sanity read-only as a fallback</w:t>
            </w:r>
          </w:p>
        </w:tc>
      </w:tr>
      <w:tr>
        <w:tc>
          <w:tcPr/>
          <w:p>
            <w:pPr>
              <w:pStyle w:val="Compact"/>
              <w:jc w:val="left"/>
            </w:pPr>
            <w:r>
              <w:rPr>
                <w:sz w:val="19"/>
              </w:rPr>
              <w:t xml:space="preserve">Estimate drift</w:t>
            </w:r>
          </w:p>
        </w:tc>
        <w:tc>
          <w:tcPr/>
          <w:p>
            <w:pPr>
              <w:pStyle w:val="Compact"/>
              <w:jc w:val="left"/>
            </w:pPr>
            <w:r>
              <w:rPr>
                <w:sz w:val="19"/>
              </w:rPr>
              <w:t xml:space="preserve">The plan’s phase hours (92–129) differ from the quote’s workstreams (96–139)</w:t>
            </w:r>
          </w:p>
        </w:tc>
        <w:tc>
          <w:tcPr/>
          <w:p>
            <w:pPr>
              <w:pStyle w:val="Compact"/>
              <w:jc w:val="left"/>
            </w:pPr>
            <w:r>
              <w:rPr>
                <w:sz w:val="19"/>
              </w:rPr>
              <w:t xml:space="preserve">Reconcile before the client compares them</w:t>
            </w:r>
          </w:p>
        </w:tc>
      </w:tr>
    </w:tbl>
    <w:bookmarkStart w:id="45" w:name="not-measured"/>
    <w:p>
      <w:pPr>
        <w:pStyle w:val="Heading3"/>
      </w:pPr>
      <w:r>
        <w:t xml:space="preserve">Not measured</w:t>
      </w:r>
    </w:p>
    <w:p>
      <w:pPr>
        <w:numPr>
          <w:ilvl w:val="0"/>
          <w:numId w:val="1011"/>
        </w:numPr>
        <w:pStyle w:val="Compact"/>
      </w:pPr>
      <w:r>
        <w:t xml:space="preserve">No document growth rate exists in the repository, so</w:t>
      </w:r>
      <w:r>
        <w:t xml:space="preserve"> </w:t>
      </w:r>
      <w:r>
        <w:t xml:space="preserve">“</w:t>
      </w:r>
      <w:r>
        <w:t xml:space="preserve">will outgrow Sanity</w:t>
      </w:r>
      <w:r>
        <w:t xml:space="preserve">”</w:t>
      </w:r>
      <w:r>
        <w:t xml:space="preserve"> </w:t>
      </w:r>
      <w:r>
        <w:t xml:space="preserve">is argued from structure, not from a date.</w:t>
      </w:r>
    </w:p>
    <w:p>
      <w:pPr>
        <w:numPr>
          <w:ilvl w:val="0"/>
          <w:numId w:val="1011"/>
        </w:numPr>
        <w:pStyle w:val="Compact"/>
      </w:pPr>
      <w:r>
        <w:t xml:space="preserve">No benchmark compares Sanity and MongoDB latency on a representative endpoint, so the speed benefit is structural.</w:t>
      </w:r>
    </w:p>
    <w:bookmarkEnd w:id="45"/>
    <w:bookmarkStart w:id="46" w:name="open-questions-for-the-client"/>
    <w:p>
      <w:pPr>
        <w:pStyle w:val="Heading3"/>
      </w:pPr>
      <w:r>
        <w:t xml:space="preserve">Open questions for the client</w:t>
      </w:r>
    </w:p>
    <w:p>
      <w:pPr>
        <w:numPr>
          <w:ilvl w:val="0"/>
          <w:numId w:val="1012"/>
        </w:numPr>
        <w:pStyle w:val="Compact"/>
      </w:pPr>
      <w:r>
        <w:t xml:space="preserve">☐ Does any attachment depend on Sanity’s image CDN transforms?</w:t>
      </w:r>
    </w:p>
    <w:p>
      <w:pPr>
        <w:numPr>
          <w:ilvl w:val="0"/>
          <w:numId w:val="1012"/>
        </w:numPr>
        <w:pStyle w:val="Compact"/>
      </w:pPr>
      <w:r>
        <w:t xml:space="preserve">☐ Does any person or tool use Sanity Studio directly?</w:t>
      </w:r>
    </w:p>
    <w:p>
      <w:pPr>
        <w:numPr>
          <w:ilvl w:val="0"/>
          <w:numId w:val="1012"/>
        </w:numPr>
        <w:pStyle w:val="Compact"/>
      </w:pPr>
      <w:r>
        <w:t xml:space="preserve">☐ What downtime and rollback window is acceptable for cutover?</w:t>
      </w:r>
    </w:p>
    <w:p>
      <w:pPr>
        <w:numPr>
          <w:ilvl w:val="0"/>
          <w:numId w:val="1012"/>
        </w:numPr>
        <w:pStyle w:val="Compact"/>
      </w:pPr>
      <w:r>
        <w:t xml:space="preserve">☐ Which hosting option is preferred, and who would maintain it?</w:t>
      </w:r>
    </w:p>
    <w:p>
      <w:pPr>
        <w:numPr>
          <w:ilvl w:val="0"/>
          <w:numId w:val="1012"/>
        </w:numPr>
        <w:pStyle w:val="Compact"/>
      </w:pPr>
      <w:r>
        <w:t xml:space="preserve">☐ How reliable are the office’s power and internet connection?</w:t>
      </w:r>
    </w:p>
    <w:p>
      <w:pPr>
        <w:numPr>
          <w:ilvl w:val="0"/>
          <w:numId w:val="1012"/>
        </w:numPr>
        <w:pStyle w:val="Compact"/>
      </w:pPr>
      <w:r>
        <w:t xml:space="preserve">☐ What does the Sanity plan cost today?</w:t>
      </w:r>
    </w:p>
    <w:bookmarkEnd w:id="46"/>
    <w:bookmarkEnd w:id="47"/>
    <w:bookmarkStart w:id="48" w:name="recommendation-and-next-steps"/>
    <w:p>
      <w:pPr>
        <w:pStyle w:val="Heading2"/>
      </w:pPr>
      <w:r>
        <w:t xml:space="preserve">Recommendation and next steps</w:t>
      </w:r>
    </w:p>
    <w:p>
      <w:pPr>
        <w:pStyle w:val="FirstParagraph"/>
      </w:pPr>
      <w:r>
        <w:t xml:space="preserve">Proceed with the MongoDB migration at the quoted SZL 20,000, and decide the production host after Phase 1, when real data volumes are known. The quote already recommends reviewing actual usage after Phase 1 before committing to a paid plan.</w:t>
      </w:r>
    </w:p>
    <w:p>
      <w:pPr>
        <w:numPr>
          <w:ilvl w:val="0"/>
          <w:numId w:val="1013"/>
        </w:numPr>
        <w:pStyle w:val="Compact"/>
      </w:pPr>
      <w:r>
        <w:rPr>
          <w:bCs/>
          <w:b/>
        </w:rPr>
        <w:t xml:space="preserve">Unblock Sanity now.</w:t>
      </w:r>
      <w:r>
        <w:t xml:space="preserve"> </w:t>
      </w:r>
      <w:r>
        <w:t xml:space="preserve">Take a backup, deploy the retention fix, run one archive pass and one delete pass, and confirm the Sanity quota and the production</w:t>
      </w:r>
      <w:r>
        <w:t xml:space="preserve"> </w:t>
      </w:r>
      <w:r>
        <w:rPr>
          <w:rStyle w:val="VerbatimChar"/>
        </w:rPr>
        <w:t xml:space="preserve">ARCHIVE_DAYS_THRESHOLD</w:t>
      </w:r>
      <w:r>
        <w:t xml:space="preserve">. This buys room for the weeks the migration takes.</w:t>
      </w:r>
    </w:p>
    <w:p>
      <w:pPr>
        <w:numPr>
          <w:ilvl w:val="0"/>
          <w:numId w:val="1013"/>
        </w:numPr>
        <w:pStyle w:val="Compact"/>
      </w:pPr>
      <w:r>
        <w:rPr>
          <w:bCs/>
          <w:b/>
        </w:rPr>
        <w:t xml:space="preserve">Sign the quote and pay the SZL 10,000 deposit</w:t>
      </w:r>
      <w:r>
        <w:t xml:space="preserve"> </w:t>
      </w:r>
      <w:r>
        <w:t xml:space="preserve">so Phase 1 can start.</w:t>
      </w:r>
    </w:p>
    <w:p>
      <w:pPr>
        <w:numPr>
          <w:ilvl w:val="0"/>
          <w:numId w:val="1013"/>
        </w:numPr>
        <w:pStyle w:val="Compact"/>
      </w:pPr>
      <w:r>
        <w:rPr>
          <w:bCs/>
          <w:b/>
        </w:rPr>
        <w:t xml:space="preserve">Build and stage on a managed or rented MongoDB</w:t>
      </w:r>
      <w:r>
        <w:t xml:space="preserve"> </w:t>
      </w:r>
      <w:r>
        <w:t xml:space="preserve">during Phases 1 and 2, so nothing depends on office infrastructure while the schema and routes are being proven.</w:t>
      </w:r>
    </w:p>
    <w:p>
      <w:pPr>
        <w:numPr>
          <w:ilvl w:val="0"/>
          <w:numId w:val="1013"/>
        </w:numPr>
        <w:pStyle w:val="Compact"/>
      </w:pPr>
      <w:r>
        <w:rPr>
          <w:bCs/>
          <w:b/>
        </w:rPr>
        <w:t xml:space="preserve">Choose the production host after Phase 1.</w:t>
      </w:r>
      <w:r>
        <w:t xml:space="preserve"> </w:t>
      </w:r>
      <w:r>
        <w:t xml:space="preserve">Atlas if no one can maintain a server. An office server only if every condition in the office-server checklist is met, and then with a replica set that has an off-site member.</w:t>
      </w:r>
    </w:p>
    <w:p>
      <w:pPr>
        <w:numPr>
          <w:ilvl w:val="0"/>
          <w:numId w:val="1013"/>
        </w:numPr>
        <w:pStyle w:val="Compact"/>
      </w:pPr>
      <w:r>
        <w:rPr>
          <w:bCs/>
          <w:b/>
        </w:rPr>
        <w:t xml:space="preserve">If self-hosting, add a costed line to the quote</w:t>
      </w:r>
      <w:r>
        <w:t xml:space="preserve"> </w:t>
      </w:r>
      <w:r>
        <w:t xml:space="preserve">for provisioning, hardening, tunnel setup, backup automation and monitoring. These are not in the SZL 20,000.</w:t>
      </w:r>
    </w:p>
    <w:p>
      <w:pPr>
        <w:numPr>
          <w:ilvl w:val="0"/>
          <w:numId w:val="1013"/>
        </w:numPr>
        <w:pStyle w:val="Compact"/>
      </w:pPr>
      <w:r>
        <w:rPr>
          <w:bCs/>
          <w:b/>
        </w:rPr>
        <w:t xml:space="preserve">Reconcile the plan and quote hours</w:t>
      </w:r>
      <w:r>
        <w:t xml:space="preserve"> </w:t>
      </w:r>
      <w:r>
        <w:t xml:space="preserve">and put the open questions to the client before Phase 1 starts.</w:t>
      </w:r>
    </w:p>
    <w:p>
      <w:pPr>
        <w:numPr>
          <w:ilvl w:val="0"/>
          <w:numId w:val="1013"/>
        </w:numPr>
        <w:pStyle w:val="Compact"/>
      </w:pPr>
      <w:r>
        <w:rPr>
          <w:bCs/>
          <w:b/>
        </w:rPr>
        <w:t xml:space="preserve">Measure before and after.</w:t>
      </w:r>
      <w:r>
        <w:t xml:space="preserve"> </w:t>
      </w:r>
      <w:r>
        <w:t xml:space="preserve">Record document growth per week by type and the latency of one representative endpoint, so the benefit can be shown with numbers instead of argued from structure.</w:t>
      </w:r>
    </w:p>
    <w:bookmarkEnd w:id="48"/>
    <w:sectPr>
      <w:pgMar w:left="1134" w:right="1134" w:top="1134" w:bottom="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eastAsia="Calibri"/>
      <w:sz w:val="22"/>
    </w:rPr>
  </w:style>
  <w:style w:styleId="BodyText" w:type="paragraph">
    <w:name w:val="Body Text"/>
    <w:basedOn w:val="Normal"/>
    <w:link w:val="BodyTextChar"/>
    <w:pPr>
      <w:spacing w:after="180" w:before="180"/>
    </w:pPr>
    <w:qFormat/>
    <w:rPr>
      <w:rFonts w:ascii="Calibri" w:hAnsi="Calibri" w:eastAsia="Calibri"/>
      <w:sz w:val="22"/>
    </w:rPr>
  </w:style>
  <w:style w:customStyle="1" w:styleId="FirstParagraph" w:type="paragraph">
    <w:name w:val="First Paragraph"/>
    <w:basedOn w:val="BodyText"/>
    <w:next w:val="BodyText"/>
    <w:qFormat/>
    <w:rPr>
      <w:rFonts w:ascii="Calibri" w:hAnsi="Calibri" w:eastAsia="Calibri"/>
      <w:sz w:val="22"/>
    </w:rPr>
  </w:style>
  <w:style w:customStyle="1" w:styleId="Compact" w:type="paragraph">
    <w:name w:val="Compact"/>
    <w:basedOn w:val="BodyText"/>
    <w:qFormat/>
    <w:pPr>
      <w:spacing w:after="36" w:before="36"/>
    </w:pPr>
    <w:rPr>
      <w:rFonts w:ascii="Calibri" w:hAnsi="Calibri" w:eastAsia="Calibri"/>
      <w:sz w:val="22"/>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Cambria" w:hAnsi="Cambria"/>
      <w:b/>
      <w:bCs/>
      <w:color w:val="0E3B30"/>
      <w:sz w:val="48"/>
      <w:szCs w:val="36"/>
    </w:rPr>
  </w:style>
  <w:style w:styleId="Subtitle" w:type="paragraph">
    <w:name w:val="Subtitle"/>
    <w:basedOn w:val="Title"/>
    <w:next w:val="BodyText"/>
    <w:qFormat/>
    <w:pPr>
      <w:keepNext/>
      <w:keepLines/>
      <w:spacing w:after="240" w:before="240"/>
      <w:jc w:val="center"/>
    </w:pPr>
    <w:rPr>
      <w:rFonts w:ascii="Cambria" w:hAnsi="Cambria"/>
      <w:b/>
      <w:color w:val="0E3B30"/>
      <w:sz w:val="26"/>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31" Type="http://schemas.openxmlformats.org/officeDocument/2006/relationships/hyperlink" Target="https://www.mongodb.com/pricing" TargetMode="External"/></Relationships>
</file>

<file path=word/_rels/footnotes.xml.rels><?xml version='1.0' encoding='UTF-8' standalone='yes'?>
<Relationships xmlns="http://schemas.openxmlformats.org/package/2006/relationships"><Relationship Id="rId31" Type="http://schemas.openxmlformats.org/officeDocument/2006/relationships/hyperlink" Target="https://www.mongodb.com/pric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CaterFlow: MongoDB Migration, Options, Considerations and Pricing</dc:title>
  <dc:creator/>
  <cp:keywords/>
  <dcterms:created xsi:type="dcterms:W3CDTF">2026-10-04T15:27:35Z</dcterms:created>
  <dcterms:modified xsi:type="dcterms:W3CDTF">2026-10-04T15:27:35Z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4 October 2026</vt:lpwstr>
  </property>
  <property fmtid="{D5CDD505-2E9C-101B-9397-08002B2CF9AE}" pid="3" name="subtitle">
    <vt:lpwstr>Prepared for Eclipse Catering by G-Solutions²</vt:lpwstr>
  </property>
</Properties>
</file>