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21C" w:rsidRPr="00831A76" w:rsidRDefault="009E321C" w:rsidP="009E321C">
      <w:pPr>
        <w:pStyle w:val="Heading2"/>
        <w:rPr>
          <w:rFonts w:cs="Times New Roman"/>
          <w:i w:val="0"/>
        </w:rPr>
      </w:pPr>
      <w:bookmarkStart w:id="0" w:name="_Toc81570033"/>
      <w:bookmarkStart w:id="1" w:name="_Toc99530385"/>
      <w:r w:rsidRPr="00831A76">
        <w:rPr>
          <w:rFonts w:cs="Times New Roman"/>
        </w:rPr>
        <w:t>Study area</w:t>
      </w:r>
      <w:bookmarkEnd w:id="0"/>
      <w:bookmarkEnd w:id="1"/>
    </w:p>
    <w:p w:rsidR="009E321C" w:rsidRPr="00831A76" w:rsidRDefault="009E321C" w:rsidP="009E321C">
      <w:pPr>
        <w:pStyle w:val="ListParagraph"/>
        <w:spacing w:line="480" w:lineRule="auto"/>
        <w:ind w:left="0" w:firstLine="720"/>
        <w:rPr>
          <w:rFonts w:eastAsia="Times New Roman" w:cs="Times New Roman"/>
          <w:szCs w:val="24"/>
          <w:shd w:val="clear" w:color="auto" w:fill="FDFDFD"/>
        </w:rPr>
      </w:pPr>
      <w:r w:rsidRPr="00831A76">
        <w:rPr>
          <w:rFonts w:cs="Times New Roman"/>
        </w:rPr>
        <w:t>We sampled crab assemblages, eelgrass biometrics, and sea otter density along the west coast of Prince of Wales Island and nearby islands</w:t>
      </w:r>
      <w:r>
        <w:rPr>
          <w:rFonts w:cs="Times New Roman"/>
        </w:rPr>
        <w:t xml:space="preserve"> in </w:t>
      </w:r>
      <w:r w:rsidRPr="00831A76">
        <w:rPr>
          <w:rFonts w:cs="Times New Roman"/>
        </w:rPr>
        <w:t xml:space="preserve">Alaska, with sites ranging 93 km from the most southern site in Dunbar Inlet up to the most northern site in </w:t>
      </w:r>
      <w:proofErr w:type="spellStart"/>
      <w:r w:rsidRPr="00831A76">
        <w:rPr>
          <w:rFonts w:cs="Times New Roman"/>
        </w:rPr>
        <w:t>Naukati</w:t>
      </w:r>
      <w:proofErr w:type="spellEnd"/>
      <w:r w:rsidRPr="00831A76">
        <w:rPr>
          <w:rFonts w:cs="Times New Roman"/>
        </w:rPr>
        <w:t xml:space="preserve"> Bay (</w:t>
      </w:r>
      <w:r w:rsidR="00C870FF">
        <w:rPr>
          <w:rFonts w:cs="Times New Roman"/>
        </w:rPr>
        <w:t>Figure 1</w:t>
      </w:r>
      <w:r w:rsidRPr="00831A76">
        <w:rPr>
          <w:rFonts w:cs="Times New Roman"/>
        </w:rPr>
        <w:t>). Sites were sampled from April</w:t>
      </w:r>
      <w:r>
        <w:rPr>
          <w:rFonts w:cs="Times New Roman"/>
        </w:rPr>
        <w:t xml:space="preserve"> to </w:t>
      </w:r>
      <w:r w:rsidRPr="00831A76">
        <w:rPr>
          <w:rFonts w:cs="Times New Roman"/>
        </w:rPr>
        <w:t>August during 2017</w:t>
      </w:r>
      <w:r>
        <w:rPr>
          <w:rFonts w:cs="Times New Roman"/>
        </w:rPr>
        <w:t>–</w:t>
      </w:r>
      <w:r w:rsidRPr="00831A76">
        <w:rPr>
          <w:rFonts w:cs="Times New Roman"/>
        </w:rPr>
        <w:t xml:space="preserve">2020. Sites were selected following methods described in Raymond et al. </w:t>
      </w:r>
      <w:r>
        <w:rPr>
          <w:rFonts w:cs="Times New Roman"/>
        </w:rPr>
        <w:t>(</w:t>
      </w:r>
      <w:r w:rsidRPr="00831A76">
        <w:rPr>
          <w:rFonts w:cs="Times New Roman"/>
        </w:rPr>
        <w:t>2021</w:t>
      </w:r>
      <w:r>
        <w:rPr>
          <w:rFonts w:cs="Times New Roman"/>
        </w:rPr>
        <w:t>)</w:t>
      </w:r>
      <w:r w:rsidRPr="00831A76">
        <w:rPr>
          <w:rFonts w:cs="Times New Roman"/>
        </w:rPr>
        <w:t xml:space="preserve">, briefly summarized here. We used the </w:t>
      </w:r>
      <w:proofErr w:type="spellStart"/>
      <w:r w:rsidRPr="00831A76">
        <w:rPr>
          <w:rFonts w:cs="Times New Roman"/>
        </w:rPr>
        <w:t>ShoreZone</w:t>
      </w:r>
      <w:proofErr w:type="spellEnd"/>
      <w:r w:rsidRPr="00831A76">
        <w:rPr>
          <w:rFonts w:cs="Times New Roman"/>
        </w:rPr>
        <w:t xml:space="preserve"> database and site visits to identify coastline segments with 100 m </w:t>
      </w:r>
      <w:r>
        <w:rPr>
          <w:rFonts w:cs="Times New Roman"/>
        </w:rPr>
        <w:t xml:space="preserve">of </w:t>
      </w:r>
      <w:r w:rsidRPr="00831A76">
        <w:rPr>
          <w:rFonts w:cs="Times New Roman"/>
        </w:rPr>
        <w:t>eelgrass  habitat with no overlapping kelp canopy</w:t>
      </w:r>
      <w:r w:rsidRPr="00831A76">
        <w:rPr>
          <w:rFonts w:cs="Times New Roman"/>
          <w:szCs w:val="24"/>
        </w:rPr>
        <w:t xml:space="preserve"> </w:t>
      </w:r>
      <w:r w:rsidRPr="00831A76">
        <w:rPr>
          <w:rFonts w:cs="Times New Roman"/>
          <w:szCs w:val="24"/>
        </w:rPr>
        <w:fldChar w:fldCharType="begin" w:fldLock="1"/>
      </w:r>
      <w:r w:rsidRPr="00831A76">
        <w:rPr>
          <w:rFonts w:cs="Times New Roman"/>
          <w:szCs w:val="24"/>
        </w:rPr>
        <w:instrText xml:space="preserve"> ADDIN ZOTERO_ITEM CSL_CITATION {"citationID":"qsqXcgXp","properties":{"formattedCitation":"(Harper &amp; Morris, 2014; National Oceanic and Atmospheric Administration, 2021)","plainCitation":"(Harper &amp; Morris, 2014; National Oceanic and Atmospheric Administration, 2021)","noteIndex":0},"citationItems":[{"id":"CGAUS6nd/32k3dpNM","uris":["http://www.mendeley.com/documents/?uuid=e4b6ee5d-38a5-3788-bd7d-c652c864b99b"],"uri":["http://www.mendeley.com/documents/?uuid=e4b6ee5d-38a5-3788-bd7d-c652c864b99b"],"itemData":{"author":[{"dropping-particle":"","family":"Harper","given":"J.R.","non-dropping-particle":"","parse-names":false,"suffix":""},{"dropping-particle":"","family":"Morris","given":"Mary","non-dropping-particle":"","parse-names":false,"suffix":""}],"id":"ITEM-1","issued":{"date-parts":[["2014"]]},"title":"Alaska ShoreZone coastal habitat mapping protocol. Nuka Research and Planning Group, LLC","type":"article-journal"}},{"id":32,"uris":["http://zotero.org/users/local/qXwvtp9p/items/BC654S6S"],"uri":["http://zotero.org/users/local/qXwvtp9p/items/BC654S6S"],"itemData":{"id":32,"type":"article-journal","title":"ShoreZone","URL":"https://www.fisheries.noaa.gov/alaska/habitat-conservation/alaska-shorezone","author":[{"literal":"National Oceanic and Atmospheric Administration"}],"issued":{"date-parts":[["2021"]]}}}],"schema":"https://github.com/citation-style-language/schema/raw/master/csl-citation.json"} </w:instrText>
      </w:r>
      <w:r w:rsidRPr="00831A76">
        <w:rPr>
          <w:rFonts w:cs="Times New Roman"/>
          <w:szCs w:val="24"/>
        </w:rPr>
        <w:fldChar w:fldCharType="separate"/>
      </w:r>
      <w:r w:rsidRPr="00831A76">
        <w:rPr>
          <w:rFonts w:cs="Times New Roman"/>
        </w:rPr>
        <w:t>(Harper &amp; Morris, 2014</w:t>
      </w:r>
      <w:r>
        <w:rPr>
          <w:rFonts w:cs="Times New Roman"/>
        </w:rPr>
        <w:t>,</w:t>
      </w:r>
      <w:r w:rsidRPr="00831A76">
        <w:rPr>
          <w:rFonts w:cs="Times New Roman"/>
        </w:rPr>
        <w:t xml:space="preserve"> National Oceanic and Atmospheric Administration, 2021)</w:t>
      </w:r>
      <w:r w:rsidRPr="00831A76">
        <w:rPr>
          <w:rFonts w:cs="Times New Roman"/>
          <w:szCs w:val="24"/>
        </w:rPr>
        <w:fldChar w:fldCharType="end"/>
      </w:r>
      <w:r w:rsidRPr="00831A76">
        <w:rPr>
          <w:rFonts w:cs="Times New Roman"/>
          <w:szCs w:val="24"/>
        </w:rPr>
        <w:t xml:space="preserve">. </w:t>
      </w:r>
      <w:r w:rsidRPr="00831A76">
        <w:rPr>
          <w:rFonts w:cs="Times New Roman"/>
        </w:rPr>
        <w:t xml:space="preserve">Crab abundance and size composition and sea otter density </w:t>
      </w:r>
      <w:r w:rsidRPr="00831A76">
        <w:rPr>
          <w:rFonts w:eastAsia="Times New Roman" w:cs="Times New Roman"/>
          <w:szCs w:val="24"/>
          <w:shd w:val="clear" w:color="auto" w:fill="FDFDFD"/>
        </w:rPr>
        <w:t>were quantified at 21 sites in 2017 and 2020, 22 sites in 2019, and 6 sites in 2018. Eelgrass biometrics were sampled at 21 sites in 2017, 6 sites in 2018, 19 sites in 2019, and 6 sites in 2020 (</w:t>
      </w:r>
      <w:r w:rsidR="00C870FF">
        <w:rPr>
          <w:rFonts w:cs="Times New Roman"/>
        </w:rPr>
        <w:t>Figure 1</w:t>
      </w:r>
      <w:r w:rsidRPr="00831A76">
        <w:rPr>
          <w:rFonts w:eastAsia="Times New Roman" w:cs="Times New Roman"/>
          <w:szCs w:val="24"/>
          <w:shd w:val="clear" w:color="auto" w:fill="FDFDFD"/>
        </w:rPr>
        <w:t xml:space="preserve">). </w:t>
      </w:r>
    </w:p>
    <w:p w:rsidR="009E321C" w:rsidRPr="009E321C" w:rsidRDefault="009E321C" w:rsidP="009E321C">
      <w:pPr>
        <w:keepNext/>
        <w:keepLines/>
        <w:spacing w:before="240" w:after="240" w:line="276" w:lineRule="auto"/>
        <w:outlineLvl w:val="1"/>
        <w:rPr>
          <w:rFonts w:ascii="Times New Roman" w:eastAsia="Times New Roman" w:hAnsi="Times New Roman" w:cs="Times New Roman"/>
          <w:i/>
          <w:sz w:val="24"/>
          <w:szCs w:val="26"/>
          <w:shd w:val="clear" w:color="auto" w:fill="FDFDFD"/>
        </w:rPr>
      </w:pPr>
      <w:bookmarkStart w:id="2" w:name="_Toc99530386"/>
      <w:r w:rsidRPr="009E321C">
        <w:rPr>
          <w:rFonts w:ascii="Times New Roman" w:eastAsia="Times New Roman" w:hAnsi="Times New Roman" w:cs="Times New Roman"/>
          <w:i/>
          <w:sz w:val="24"/>
          <w:szCs w:val="26"/>
          <w:shd w:val="clear" w:color="auto" w:fill="FDFDFD"/>
        </w:rPr>
        <w:t>Crab assemblage data</w:t>
      </w:r>
      <w:bookmarkEnd w:id="2"/>
    </w:p>
    <w:p w:rsidR="009E321C" w:rsidRPr="009E321C" w:rsidRDefault="009E321C" w:rsidP="009E321C">
      <w:pPr>
        <w:spacing w:before="240" w:after="240" w:line="480" w:lineRule="auto"/>
        <w:ind w:firstLine="720"/>
        <w:rPr>
          <w:rFonts w:ascii="Times New Roman" w:eastAsia="Times New Roman" w:hAnsi="Times New Roman" w:cs="Times New Roman"/>
          <w:sz w:val="24"/>
          <w:szCs w:val="24"/>
        </w:rPr>
      </w:pPr>
      <w:r w:rsidRPr="009E321C">
        <w:rPr>
          <w:rFonts w:ascii="Times New Roman" w:eastAsia="Times New Roman" w:hAnsi="Times New Roman" w:cs="Times New Roman"/>
          <w:sz w:val="24"/>
          <w:szCs w:val="24"/>
          <w:shd w:val="clear" w:color="auto" w:fill="FDFDFD"/>
        </w:rPr>
        <w:t>Crab assemblages were sampled May</w:t>
      </w:r>
      <w:r w:rsidRPr="009E321C">
        <w:rPr>
          <w:rFonts w:ascii="Times New Roman" w:eastAsia="Calibri" w:hAnsi="Times New Roman" w:cs="Times New Roman"/>
          <w:sz w:val="24"/>
        </w:rPr>
        <w:t>–</w:t>
      </w:r>
      <w:r w:rsidRPr="009E321C">
        <w:rPr>
          <w:rFonts w:ascii="Times New Roman" w:eastAsia="Times New Roman" w:hAnsi="Times New Roman" w:cs="Times New Roman"/>
          <w:sz w:val="24"/>
          <w:szCs w:val="24"/>
          <w:shd w:val="clear" w:color="auto" w:fill="FDFDFD"/>
        </w:rPr>
        <w:t>August from 2017 through 2020. Crabs were sampled by setting 3</w:t>
      </w:r>
      <w:r w:rsidRPr="009E321C">
        <w:rPr>
          <w:rFonts w:ascii="Times New Roman" w:eastAsia="Calibri" w:hAnsi="Times New Roman" w:cs="Times New Roman"/>
          <w:sz w:val="24"/>
        </w:rPr>
        <w:t>–</w:t>
      </w:r>
      <w:r w:rsidRPr="009E321C">
        <w:rPr>
          <w:rFonts w:ascii="Times New Roman" w:eastAsia="Times New Roman" w:hAnsi="Times New Roman" w:cs="Times New Roman"/>
          <w:sz w:val="24"/>
          <w:szCs w:val="24"/>
          <w:shd w:val="clear" w:color="auto" w:fill="FDFDFD"/>
        </w:rPr>
        <w:t xml:space="preserve">4 replicate strings of baited crab pots for 24 </w:t>
      </w:r>
      <w:proofErr w:type="spellStart"/>
      <w:r w:rsidRPr="009E321C">
        <w:rPr>
          <w:rFonts w:ascii="Times New Roman" w:eastAsia="Times New Roman" w:hAnsi="Times New Roman" w:cs="Times New Roman"/>
          <w:sz w:val="24"/>
          <w:szCs w:val="24"/>
          <w:shd w:val="clear" w:color="auto" w:fill="FDFDFD"/>
        </w:rPr>
        <w:t>hrs</w:t>
      </w:r>
      <w:proofErr w:type="spellEnd"/>
      <w:r w:rsidRPr="009E321C">
        <w:rPr>
          <w:rFonts w:ascii="Times New Roman" w:eastAsia="Times New Roman" w:hAnsi="Times New Roman" w:cs="Times New Roman"/>
          <w:sz w:val="24"/>
          <w:szCs w:val="24"/>
          <w:shd w:val="clear" w:color="auto" w:fill="FDFDFD"/>
        </w:rPr>
        <w:t xml:space="preserve"> at approximately 3-m depth Mean Lower Low Water (MLLW) in eelgrass habitat. Each string consisted of two pots, one of each style, to target a range of crab sizes:</w:t>
      </w:r>
      <w:r w:rsidRPr="009E321C">
        <w:rPr>
          <w:rFonts w:ascii="Times New Roman" w:eastAsia="Times New Roman" w:hAnsi="Times New Roman" w:cs="Times New Roman"/>
          <w:sz w:val="24"/>
          <w:szCs w:val="24"/>
        </w:rPr>
        <w:t xml:space="preserve"> (1) a foldable wire mesh box pot (61 x 61 x 33 cm) with 10 x 10-cm gridding and two 20 x 10-cm openings, and (2) a collapsible ‘</w:t>
      </w:r>
      <w:proofErr w:type="spellStart"/>
      <w:r w:rsidRPr="009E321C">
        <w:rPr>
          <w:rFonts w:ascii="Times New Roman" w:eastAsia="Times New Roman" w:hAnsi="Times New Roman" w:cs="Times New Roman"/>
          <w:sz w:val="24"/>
          <w:szCs w:val="24"/>
        </w:rPr>
        <w:t>fukui</w:t>
      </w:r>
      <w:proofErr w:type="spellEnd"/>
      <w:r w:rsidRPr="009E321C">
        <w:rPr>
          <w:rFonts w:ascii="Times New Roman" w:eastAsia="Times New Roman" w:hAnsi="Times New Roman" w:cs="Times New Roman"/>
          <w:sz w:val="24"/>
          <w:szCs w:val="24"/>
        </w:rPr>
        <w:t>’ style pot (60 x 45 x 20 cm) with 1 x 1-cm fabric mesh and two 10 cm openings</w:t>
      </w:r>
      <w:r w:rsidR="00C870FF">
        <w:rPr>
          <w:rFonts w:ascii="Times New Roman" w:eastAsia="Times New Roman" w:hAnsi="Times New Roman" w:cs="Times New Roman"/>
          <w:sz w:val="24"/>
          <w:szCs w:val="24"/>
        </w:rPr>
        <w:t xml:space="preserve"> (Figure 3)</w:t>
      </w:r>
      <w:r w:rsidRPr="009E321C">
        <w:rPr>
          <w:rFonts w:ascii="Times New Roman" w:eastAsia="Times New Roman" w:hAnsi="Times New Roman" w:cs="Times New Roman"/>
          <w:sz w:val="24"/>
          <w:szCs w:val="24"/>
        </w:rPr>
        <w:t xml:space="preserve">. Pots were connected with 3-m lead line and marked at the surface with a single buoy. All pots were baited with ~0.5 l of chopped, frozen Pacific herring </w:t>
      </w:r>
      <w:proofErr w:type="spellStart"/>
      <w:r w:rsidRPr="009E321C">
        <w:rPr>
          <w:rFonts w:ascii="Times New Roman" w:eastAsia="Times New Roman" w:hAnsi="Times New Roman" w:cs="Times New Roman"/>
          <w:i/>
          <w:sz w:val="24"/>
          <w:szCs w:val="24"/>
        </w:rPr>
        <w:t>Clupea</w:t>
      </w:r>
      <w:proofErr w:type="spellEnd"/>
      <w:r w:rsidRPr="009E321C">
        <w:rPr>
          <w:rFonts w:ascii="Times New Roman" w:eastAsia="Times New Roman" w:hAnsi="Times New Roman" w:cs="Times New Roman"/>
          <w:i/>
          <w:sz w:val="24"/>
          <w:szCs w:val="24"/>
        </w:rPr>
        <w:t xml:space="preserve"> </w:t>
      </w:r>
      <w:proofErr w:type="spellStart"/>
      <w:r w:rsidRPr="009E321C">
        <w:rPr>
          <w:rFonts w:ascii="Times New Roman" w:eastAsia="Times New Roman" w:hAnsi="Times New Roman" w:cs="Times New Roman"/>
          <w:i/>
          <w:sz w:val="24"/>
          <w:szCs w:val="24"/>
        </w:rPr>
        <w:t>pallasii</w:t>
      </w:r>
      <w:proofErr w:type="spellEnd"/>
      <w:r w:rsidRPr="009E321C">
        <w:rPr>
          <w:rFonts w:ascii="Times New Roman" w:eastAsia="Times New Roman" w:hAnsi="Times New Roman" w:cs="Times New Roman"/>
          <w:sz w:val="24"/>
          <w:szCs w:val="24"/>
        </w:rPr>
        <w:t>. Upon retrieval of pots, crabs were identified to species, their carapace width measured to the nearest millimeter at the widest part, and their sex identified</w:t>
      </w:r>
      <w:r w:rsidR="00C870FF">
        <w:rPr>
          <w:rFonts w:ascii="Times New Roman" w:eastAsia="Times New Roman" w:hAnsi="Times New Roman" w:cs="Times New Roman"/>
          <w:sz w:val="24"/>
          <w:szCs w:val="24"/>
        </w:rPr>
        <w:t xml:space="preserve"> (Figure 2)</w:t>
      </w:r>
      <w:r w:rsidRPr="009E321C">
        <w:rPr>
          <w:rFonts w:ascii="Times New Roman" w:eastAsia="Times New Roman" w:hAnsi="Times New Roman" w:cs="Times New Roman"/>
          <w:sz w:val="24"/>
          <w:szCs w:val="24"/>
        </w:rPr>
        <w:t xml:space="preserve">. </w:t>
      </w:r>
      <w:r w:rsidRPr="009E321C">
        <w:rPr>
          <w:rFonts w:ascii="Times New Roman" w:eastAsia="Calibri" w:hAnsi="Times New Roman" w:cs="Times New Roman"/>
          <w:sz w:val="24"/>
          <w:szCs w:val="24"/>
          <w:shd w:val="clear" w:color="auto" w:fill="FFFFFF"/>
        </w:rPr>
        <w:t xml:space="preserve">Species identification discrepancies between </w:t>
      </w:r>
      <w:r w:rsidRPr="009E321C">
        <w:rPr>
          <w:rFonts w:ascii="Times New Roman" w:eastAsia="Calibri" w:hAnsi="Times New Roman" w:cs="Times New Roman"/>
          <w:i/>
          <w:iCs/>
          <w:sz w:val="24"/>
          <w:szCs w:val="24"/>
          <w:shd w:val="clear" w:color="auto" w:fill="FFFFFF"/>
        </w:rPr>
        <w:t>C. magister</w:t>
      </w:r>
      <w:r w:rsidRPr="009E321C">
        <w:rPr>
          <w:rFonts w:ascii="Times New Roman" w:eastAsia="Calibri" w:hAnsi="Times New Roman" w:cs="Times New Roman"/>
          <w:sz w:val="24"/>
          <w:szCs w:val="24"/>
          <w:shd w:val="clear" w:color="auto" w:fill="FFFFFF"/>
        </w:rPr>
        <w:t xml:space="preserve"> and </w:t>
      </w:r>
      <w:r w:rsidRPr="009E321C">
        <w:rPr>
          <w:rFonts w:ascii="Times New Roman" w:eastAsia="Calibri" w:hAnsi="Times New Roman" w:cs="Times New Roman"/>
          <w:i/>
          <w:iCs/>
          <w:sz w:val="24"/>
          <w:szCs w:val="24"/>
          <w:shd w:val="clear" w:color="auto" w:fill="FFFFFF"/>
        </w:rPr>
        <w:t xml:space="preserve">C. </w:t>
      </w:r>
      <w:proofErr w:type="spellStart"/>
      <w:r w:rsidRPr="009E321C">
        <w:rPr>
          <w:rFonts w:ascii="Times New Roman" w:eastAsia="Calibri" w:hAnsi="Times New Roman" w:cs="Times New Roman"/>
          <w:i/>
          <w:iCs/>
          <w:sz w:val="24"/>
          <w:szCs w:val="24"/>
          <w:shd w:val="clear" w:color="auto" w:fill="FFFFFF"/>
        </w:rPr>
        <w:t>gracilis</w:t>
      </w:r>
      <w:proofErr w:type="spellEnd"/>
      <w:r w:rsidRPr="009E321C">
        <w:rPr>
          <w:rFonts w:ascii="Times New Roman" w:eastAsia="Calibri" w:hAnsi="Times New Roman" w:cs="Times New Roman"/>
          <w:sz w:val="24"/>
          <w:szCs w:val="24"/>
          <w:shd w:val="clear" w:color="auto" w:fill="FFFFFF"/>
        </w:rPr>
        <w:t xml:space="preserve"> led us to drop 2017 and 2018 data from analyses for these species.</w:t>
      </w:r>
      <w:r w:rsidRPr="009E321C">
        <w:rPr>
          <w:rFonts w:ascii="Times New Roman" w:eastAsia="Times New Roman" w:hAnsi="Times New Roman" w:cs="Times New Roman"/>
          <w:sz w:val="24"/>
          <w:szCs w:val="24"/>
        </w:rPr>
        <w:t xml:space="preserve"> Each site was </w:t>
      </w:r>
      <w:r w:rsidRPr="009E321C">
        <w:rPr>
          <w:rFonts w:ascii="Times New Roman" w:eastAsia="Times New Roman" w:hAnsi="Times New Roman" w:cs="Times New Roman"/>
          <w:sz w:val="24"/>
          <w:szCs w:val="24"/>
        </w:rPr>
        <w:lastRenderedPageBreak/>
        <w:t xml:space="preserve">visited once per year. To standardize data and compare across years, crab abundance and biomass were converted to catch per unit effort (CPUE) and biomass per unit effort (BPUE) per species, with catch calculated as the sum of crab species per site per year and biomass the sum of biomass per species per site per year. Effort was the number of pots per site per year. Because the larger wire mesh pot captured few crabs, CPUE and BPUE were based on the </w:t>
      </w:r>
      <w:proofErr w:type="spellStart"/>
      <w:proofErr w:type="gramStart"/>
      <w:r w:rsidRPr="009E321C">
        <w:rPr>
          <w:rFonts w:ascii="Times New Roman" w:eastAsia="Times New Roman" w:hAnsi="Times New Roman" w:cs="Times New Roman"/>
          <w:sz w:val="24"/>
          <w:szCs w:val="24"/>
        </w:rPr>
        <w:t>fukui</w:t>
      </w:r>
      <w:proofErr w:type="spellEnd"/>
      <w:proofErr w:type="gramEnd"/>
      <w:r w:rsidRPr="009E321C">
        <w:rPr>
          <w:rFonts w:ascii="Times New Roman" w:eastAsia="Times New Roman" w:hAnsi="Times New Roman" w:cs="Times New Roman"/>
          <w:sz w:val="24"/>
          <w:szCs w:val="24"/>
        </w:rPr>
        <w:t xml:space="preserve"> pot samples only, with three pots per site in 2017 and 2020, and four pots per site in 2019 and 2020. Crab carapace width was used as a metric of crab size. Carapace widths were converted to mass using species-specific conversion factors (</w:t>
      </w:r>
      <w:proofErr w:type="gramStart"/>
      <w:r w:rsidRPr="009E321C">
        <w:rPr>
          <w:rFonts w:ascii="Times New Roman" w:eastAsia="Times New Roman" w:hAnsi="Times New Roman" w:cs="Times New Roman"/>
          <w:sz w:val="24"/>
          <w:szCs w:val="24"/>
        </w:rPr>
        <w:t>a and</w:t>
      </w:r>
      <w:proofErr w:type="gramEnd"/>
      <w:r w:rsidRPr="009E321C">
        <w:rPr>
          <w:rFonts w:ascii="Times New Roman" w:eastAsia="Times New Roman" w:hAnsi="Times New Roman" w:cs="Times New Roman"/>
          <w:sz w:val="24"/>
          <w:szCs w:val="24"/>
        </w:rPr>
        <w:t xml:space="preserve"> b, Table S1.2) using Eq. 1.1:</w:t>
      </w:r>
    </w:p>
    <w:p w:rsidR="009E321C" w:rsidRPr="009E321C" w:rsidRDefault="009E321C" w:rsidP="009E321C">
      <w:pPr>
        <w:spacing w:before="240" w:after="240" w:line="480" w:lineRule="auto"/>
        <w:ind w:firstLine="720"/>
        <w:jc w:val="center"/>
        <w:rPr>
          <w:rFonts w:ascii="Times New Roman" w:eastAsia="Times New Roman" w:hAnsi="Times New Roman" w:cs="Times New Roman"/>
          <w:i/>
          <w:iCs/>
          <w:sz w:val="24"/>
          <w:szCs w:val="24"/>
        </w:rPr>
      </w:pPr>
      <m:oMath>
        <m:r>
          <w:rPr>
            <w:rFonts w:ascii="Cambria Math" w:eastAsia="Times New Roman" w:hAnsi="Cambria Math" w:cs="Times New Roman"/>
            <w:sz w:val="24"/>
            <w:szCs w:val="24"/>
          </w:rPr>
          <m:t>mass</m:t>
        </m:r>
        <m:d>
          <m:dPr>
            <m:ctrlPr>
              <w:rPr>
                <w:rFonts w:ascii="Cambria Math" w:eastAsia="Times New Roman" w:hAnsi="Cambria Math" w:cs="Times New Roman"/>
                <w:i/>
                <w:iCs/>
                <w:sz w:val="24"/>
                <w:szCs w:val="24"/>
              </w:rPr>
            </m:ctrlPr>
          </m:dPr>
          <m:e>
            <m:r>
              <w:rPr>
                <w:rFonts w:ascii="Cambria Math" w:eastAsia="Times New Roman" w:hAnsi="Cambria Math" w:cs="Times New Roman"/>
                <w:sz w:val="24"/>
                <w:szCs w:val="24"/>
              </w:rPr>
              <m:t>g</m:t>
            </m:r>
          </m:e>
        </m:d>
        <m:r>
          <w:rPr>
            <w:rFonts w:ascii="Cambria Math" w:eastAsia="Times New Roman" w:hAnsi="Cambria Math" w:cs="Times New Roman"/>
            <w:sz w:val="24"/>
            <w:szCs w:val="24"/>
          </w:rPr>
          <m:t>= a×</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length(cm)</m:t>
            </m:r>
          </m:e>
          <m:sup>
            <m:r>
              <w:rPr>
                <w:rFonts w:ascii="Cambria Math" w:eastAsia="Times New Roman" w:hAnsi="Cambria Math" w:cs="Times New Roman"/>
                <w:sz w:val="24"/>
                <w:szCs w:val="24"/>
              </w:rPr>
              <m:t>b</m:t>
            </m:r>
          </m:sup>
        </m:sSup>
      </m:oMath>
      <w:r w:rsidRPr="009E321C">
        <w:rPr>
          <w:rFonts w:ascii="Times New Roman" w:eastAsia="Times New Roman" w:hAnsi="Times New Roman" w:cs="Times New Roman"/>
          <w:i/>
          <w:iCs/>
          <w:sz w:val="24"/>
          <w:szCs w:val="24"/>
        </w:rPr>
        <w:t xml:space="preserve">          </w:t>
      </w:r>
      <w:r w:rsidRPr="009E321C">
        <w:rPr>
          <w:rFonts w:ascii="Times New Roman" w:eastAsia="Times New Roman" w:hAnsi="Times New Roman" w:cs="Times New Roman"/>
          <w:sz w:val="24"/>
          <w:szCs w:val="24"/>
        </w:rPr>
        <w:t xml:space="preserve">(1.1) </w:t>
      </w:r>
    </w:p>
    <w:p w:rsidR="009E321C" w:rsidRPr="009E321C" w:rsidRDefault="009E321C" w:rsidP="009E321C">
      <w:pPr>
        <w:keepNext/>
        <w:jc w:val="center"/>
        <w:rPr>
          <w:rFonts w:ascii="Times New Roman" w:hAnsi="Times New Roman" w:cs="Times New Roman"/>
        </w:rPr>
      </w:pPr>
      <w:r w:rsidRPr="009E321C">
        <w:rPr>
          <w:rFonts w:ascii="Times New Roman" w:hAnsi="Times New Roman" w:cs="Times New Roman"/>
          <w:noProof/>
        </w:rPr>
        <w:lastRenderedPageBreak/>
        <w:drawing>
          <wp:inline distT="0" distB="0" distL="0" distR="0" wp14:anchorId="591D574E" wp14:editId="228A17D7">
            <wp:extent cx="4076700" cy="4945214"/>
            <wp:effectExtent l="38100" t="38100" r="38100" b="46355"/>
            <wp:docPr id="7" name="Picture 6">
              <a:extLst xmlns:a="http://schemas.openxmlformats.org/drawingml/2006/main">
                <a:ext uri="{FF2B5EF4-FFF2-40B4-BE49-F238E27FC236}">
                  <a16:creationId xmlns:a16="http://schemas.microsoft.com/office/drawing/2014/main" id="{C0235393-CF31-4B53-B23B-9E7F53B4D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235393-CF31-4B53-B23B-9E7F53B4D207}"/>
                        </a:ext>
                      </a:extLst>
                    </pic:cNvPr>
                    <pic:cNvPicPr>
                      <a:picLocks noChangeAspect="1"/>
                    </pic:cNvPicPr>
                  </pic:nvPicPr>
                  <pic:blipFill>
                    <a:blip r:embed="rId4"/>
                    <a:stretch>
                      <a:fillRect/>
                    </a:stretch>
                  </pic:blipFill>
                  <pic:spPr>
                    <a:xfrm>
                      <a:off x="0" y="0"/>
                      <a:ext cx="4084150" cy="4954251"/>
                    </a:xfrm>
                    <a:prstGeom prst="rect">
                      <a:avLst/>
                    </a:prstGeom>
                    <a:ln w="38100">
                      <a:solidFill>
                        <a:schemeClr val="tx1"/>
                      </a:solidFill>
                    </a:ln>
                  </pic:spPr>
                </pic:pic>
              </a:graphicData>
            </a:graphic>
          </wp:inline>
        </w:drawing>
      </w:r>
    </w:p>
    <w:p w:rsidR="00560F6D" w:rsidRDefault="009E321C" w:rsidP="009E321C">
      <w:pPr>
        <w:pStyle w:val="Caption"/>
        <w:rPr>
          <w:rFonts w:ascii="Times New Roman" w:hAnsi="Times New Roman" w:cs="Times New Roman"/>
          <w:i w:val="0"/>
          <w:noProof/>
          <w:color w:val="auto"/>
          <w:sz w:val="24"/>
          <w:szCs w:val="24"/>
        </w:rPr>
      </w:pPr>
      <w:r w:rsidRPr="009E321C">
        <w:rPr>
          <w:rFonts w:ascii="Times New Roman" w:hAnsi="Times New Roman" w:cs="Times New Roman"/>
          <w:i w:val="0"/>
          <w:color w:val="auto"/>
          <w:sz w:val="24"/>
          <w:szCs w:val="24"/>
        </w:rPr>
        <w:t xml:space="preserve">Figure </w:t>
      </w:r>
      <w:r w:rsidRPr="009E321C">
        <w:rPr>
          <w:rFonts w:ascii="Times New Roman" w:hAnsi="Times New Roman" w:cs="Times New Roman"/>
          <w:i w:val="0"/>
          <w:noProof/>
          <w:color w:val="auto"/>
          <w:sz w:val="24"/>
          <w:szCs w:val="24"/>
        </w:rPr>
        <w:t>1 – Study area in Southeast Alaska near Prince of Wales Island. Orange circles indicate sample sites, green triangles indicate sea otter reintroduction sites, and sea otter colonization through time is color coded by year (blue).</w:t>
      </w:r>
    </w:p>
    <w:p w:rsidR="009E321C" w:rsidRDefault="009E321C" w:rsidP="009E321C"/>
    <w:p w:rsidR="00C870FF" w:rsidRDefault="009E321C" w:rsidP="00C870FF">
      <w:pPr>
        <w:keepNext/>
        <w:jc w:val="center"/>
      </w:pPr>
      <w:r w:rsidRPr="009E321C">
        <w:lastRenderedPageBreak/>
        <w:drawing>
          <wp:inline distT="0" distB="0" distL="0" distR="0" wp14:anchorId="4B61F70A" wp14:editId="5A92517E">
            <wp:extent cx="4871532" cy="3657491"/>
            <wp:effectExtent l="38100" t="38100" r="43815" b="387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screen">
                      <a:extLst>
                        <a:ext uri="{28A0092B-C50C-407E-A947-70E740481C1C}">
                          <a14:useLocalDpi xmlns:a14="http://schemas.microsoft.com/office/drawing/2010/main"/>
                        </a:ext>
                      </a:extLst>
                    </a:blip>
                    <a:stretch>
                      <a:fillRect/>
                    </a:stretch>
                  </pic:blipFill>
                  <pic:spPr>
                    <a:xfrm>
                      <a:off x="0" y="0"/>
                      <a:ext cx="4871532" cy="3657491"/>
                    </a:xfrm>
                    <a:prstGeom prst="roundRect">
                      <a:avLst/>
                    </a:prstGeom>
                    <a:ln w="38100">
                      <a:solidFill>
                        <a:schemeClr val="tx1"/>
                      </a:solidFill>
                    </a:ln>
                  </pic:spPr>
                </pic:pic>
              </a:graphicData>
            </a:graphic>
          </wp:inline>
        </w:drawing>
      </w:r>
    </w:p>
    <w:p w:rsidR="009E321C" w:rsidRPr="00C870FF" w:rsidRDefault="00C870FF" w:rsidP="00C870FF">
      <w:pPr>
        <w:pStyle w:val="Caption"/>
        <w:rPr>
          <w:rFonts w:ascii="Times New Roman" w:hAnsi="Times New Roman" w:cs="Times New Roman"/>
          <w:i w:val="0"/>
          <w:color w:val="auto"/>
          <w:sz w:val="24"/>
          <w:szCs w:val="24"/>
        </w:rPr>
      </w:pPr>
      <w:r w:rsidRPr="00C870FF">
        <w:rPr>
          <w:rFonts w:ascii="Times New Roman" w:hAnsi="Times New Roman" w:cs="Times New Roman"/>
          <w:i w:val="0"/>
          <w:color w:val="auto"/>
          <w:sz w:val="24"/>
          <w:szCs w:val="24"/>
        </w:rPr>
        <w:t xml:space="preserve">Figure </w:t>
      </w:r>
      <w:r>
        <w:rPr>
          <w:rFonts w:ascii="Times New Roman" w:hAnsi="Times New Roman" w:cs="Times New Roman"/>
          <w:i w:val="0"/>
          <w:color w:val="auto"/>
          <w:sz w:val="24"/>
          <w:szCs w:val="24"/>
        </w:rPr>
        <w:t>2</w:t>
      </w:r>
      <w:r w:rsidRPr="00C870FF">
        <w:rPr>
          <w:rFonts w:ascii="Times New Roman" w:hAnsi="Times New Roman" w:cs="Times New Roman"/>
          <w:i w:val="0"/>
          <w:color w:val="auto"/>
          <w:sz w:val="24"/>
          <w:szCs w:val="24"/>
        </w:rPr>
        <w:t xml:space="preserve"> </w:t>
      </w:r>
      <w:r w:rsidRPr="009E321C">
        <w:rPr>
          <w:rFonts w:ascii="Times New Roman" w:hAnsi="Times New Roman" w:cs="Times New Roman"/>
          <w:i w:val="0"/>
          <w:noProof/>
          <w:color w:val="auto"/>
          <w:sz w:val="24"/>
          <w:szCs w:val="24"/>
        </w:rPr>
        <w:t xml:space="preserve">– </w:t>
      </w:r>
      <w:r w:rsidRPr="00C870FF">
        <w:rPr>
          <w:rFonts w:ascii="Times New Roman" w:hAnsi="Times New Roman" w:cs="Times New Roman"/>
          <w:i w:val="0"/>
          <w:color w:val="auto"/>
          <w:sz w:val="24"/>
          <w:szCs w:val="24"/>
        </w:rPr>
        <w:t>Measure crab carapace width of a red rock crab (</w:t>
      </w:r>
      <w:r w:rsidRPr="00C870FF">
        <w:rPr>
          <w:rFonts w:ascii="Times New Roman" w:hAnsi="Times New Roman" w:cs="Times New Roman"/>
          <w:color w:val="auto"/>
          <w:sz w:val="24"/>
          <w:szCs w:val="24"/>
        </w:rPr>
        <w:t xml:space="preserve">Cancer </w:t>
      </w:r>
      <w:proofErr w:type="spellStart"/>
      <w:r w:rsidRPr="00C870FF">
        <w:rPr>
          <w:rFonts w:ascii="Times New Roman" w:hAnsi="Times New Roman" w:cs="Times New Roman"/>
          <w:color w:val="auto"/>
          <w:sz w:val="24"/>
          <w:szCs w:val="24"/>
        </w:rPr>
        <w:t>productus</w:t>
      </w:r>
      <w:proofErr w:type="spellEnd"/>
      <w:r w:rsidRPr="00C870FF">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p>
    <w:p w:rsidR="00C870FF" w:rsidRDefault="009E321C" w:rsidP="00C870FF">
      <w:pPr>
        <w:keepNext/>
        <w:jc w:val="center"/>
      </w:pPr>
      <w:r w:rsidRPr="009E321C">
        <w:lastRenderedPageBreak/>
        <w:drawing>
          <wp:inline distT="0" distB="0" distL="0" distR="0" wp14:anchorId="1D8A34F5" wp14:editId="5C3C023C">
            <wp:extent cx="4487941" cy="5204950"/>
            <wp:effectExtent l="38100" t="38100" r="46355" b="34290"/>
            <wp:docPr id="4" name="Content Placeholder 3">
              <a:extLst xmlns:a="http://schemas.openxmlformats.org/drawingml/2006/main">
                <a:ext uri="{FF2B5EF4-FFF2-40B4-BE49-F238E27FC236}">
                  <a16:creationId xmlns:a16="http://schemas.microsoft.com/office/drawing/2014/main" id="{4FCC87EE-4CB7-4F43-995E-E14DF01D0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FCC87EE-4CB7-4F43-995E-E14DF01D0B96}"/>
                        </a:ext>
                      </a:extLst>
                    </pic:cNvPr>
                    <pic:cNvPicPr>
                      <a:picLocks noChangeAspect="1"/>
                    </pic:cNvPicPr>
                  </pic:nvPicPr>
                  <pic:blipFill>
                    <a:blip r:embed="rId6"/>
                    <a:stretch>
                      <a:fillRect/>
                    </a:stretch>
                  </pic:blipFill>
                  <pic:spPr>
                    <a:xfrm>
                      <a:off x="0" y="0"/>
                      <a:ext cx="4487941" cy="5204950"/>
                    </a:xfrm>
                    <a:prstGeom prst="roundRect">
                      <a:avLst/>
                    </a:prstGeom>
                    <a:ln w="38100">
                      <a:solidFill>
                        <a:schemeClr val="tx1"/>
                      </a:solidFill>
                    </a:ln>
                  </pic:spPr>
                </pic:pic>
              </a:graphicData>
            </a:graphic>
          </wp:inline>
        </w:drawing>
      </w:r>
    </w:p>
    <w:p w:rsidR="009E321C" w:rsidRPr="00C870FF" w:rsidRDefault="00C870FF" w:rsidP="00C870FF">
      <w:pPr>
        <w:pStyle w:val="Caption"/>
        <w:rPr>
          <w:rFonts w:ascii="Times New Roman" w:hAnsi="Times New Roman" w:cs="Times New Roman"/>
          <w:i w:val="0"/>
          <w:color w:val="auto"/>
          <w:sz w:val="24"/>
          <w:szCs w:val="24"/>
        </w:rPr>
      </w:pPr>
      <w:r w:rsidRPr="00C870FF">
        <w:rPr>
          <w:rFonts w:ascii="Times New Roman" w:hAnsi="Times New Roman" w:cs="Times New Roman"/>
          <w:i w:val="0"/>
          <w:color w:val="auto"/>
          <w:sz w:val="24"/>
          <w:szCs w:val="24"/>
        </w:rPr>
        <w:t xml:space="preserve">Figure 3 </w:t>
      </w:r>
      <w:r w:rsidRPr="00C870FF">
        <w:rPr>
          <w:rFonts w:ascii="Times New Roman" w:hAnsi="Times New Roman" w:cs="Times New Roman"/>
          <w:i w:val="0"/>
          <w:noProof/>
          <w:color w:val="auto"/>
          <w:sz w:val="24"/>
          <w:szCs w:val="24"/>
        </w:rPr>
        <w:t>–</w:t>
      </w:r>
      <w:r w:rsidRPr="00C870FF">
        <w:rPr>
          <w:rFonts w:ascii="Times New Roman" w:hAnsi="Times New Roman" w:cs="Times New Roman"/>
          <w:i w:val="0"/>
          <w:color w:val="auto"/>
          <w:sz w:val="24"/>
          <w:szCs w:val="24"/>
        </w:rPr>
        <w:t xml:space="preserve"> Posing with a </w:t>
      </w:r>
      <w:r w:rsidRPr="009E321C">
        <w:rPr>
          <w:rFonts w:ascii="Times New Roman" w:eastAsia="Times New Roman" w:hAnsi="Times New Roman" w:cs="Times New Roman"/>
          <w:i w:val="0"/>
          <w:color w:val="auto"/>
          <w:sz w:val="24"/>
          <w:szCs w:val="24"/>
        </w:rPr>
        <w:t>collapsible ‘</w:t>
      </w:r>
      <w:proofErr w:type="spellStart"/>
      <w:r w:rsidRPr="009E321C">
        <w:rPr>
          <w:rFonts w:ascii="Times New Roman" w:eastAsia="Times New Roman" w:hAnsi="Times New Roman" w:cs="Times New Roman"/>
          <w:i w:val="0"/>
          <w:color w:val="auto"/>
          <w:sz w:val="24"/>
          <w:szCs w:val="24"/>
        </w:rPr>
        <w:t>fukui</w:t>
      </w:r>
      <w:proofErr w:type="spellEnd"/>
      <w:r w:rsidRPr="009E321C">
        <w:rPr>
          <w:rFonts w:ascii="Times New Roman" w:eastAsia="Times New Roman" w:hAnsi="Times New Roman" w:cs="Times New Roman"/>
          <w:i w:val="0"/>
          <w:color w:val="auto"/>
          <w:sz w:val="24"/>
          <w:szCs w:val="24"/>
        </w:rPr>
        <w:t>’ style pot</w:t>
      </w:r>
      <w:r w:rsidRPr="009E321C">
        <w:rPr>
          <w:rFonts w:ascii="Times New Roman" w:eastAsia="Times New Roman" w:hAnsi="Times New Roman" w:cs="Times New Roman"/>
          <w:color w:val="auto"/>
          <w:sz w:val="24"/>
          <w:szCs w:val="24"/>
        </w:rPr>
        <w:t xml:space="preserve"> </w:t>
      </w:r>
      <w:r w:rsidRPr="00C870FF">
        <w:rPr>
          <w:rFonts w:ascii="Times New Roman" w:hAnsi="Times New Roman" w:cs="Times New Roman"/>
          <w:i w:val="0"/>
          <w:color w:val="auto"/>
          <w:sz w:val="24"/>
          <w:szCs w:val="24"/>
        </w:rPr>
        <w:t>pulled up at site North Fish Egg Island</w:t>
      </w:r>
      <w:r>
        <w:rPr>
          <w:rFonts w:ascii="Times New Roman" w:hAnsi="Times New Roman" w:cs="Times New Roman"/>
          <w:i w:val="0"/>
          <w:color w:val="auto"/>
          <w:sz w:val="24"/>
          <w:szCs w:val="24"/>
        </w:rPr>
        <w:t>. Pot contains red rock crab (</w:t>
      </w:r>
      <w:r w:rsidRPr="00C870FF">
        <w:rPr>
          <w:rFonts w:ascii="Times New Roman" w:hAnsi="Times New Roman" w:cs="Times New Roman"/>
          <w:color w:val="auto"/>
          <w:sz w:val="24"/>
          <w:szCs w:val="24"/>
        </w:rPr>
        <w:t xml:space="preserve">C. </w:t>
      </w:r>
      <w:proofErr w:type="spellStart"/>
      <w:r w:rsidRPr="00C870FF">
        <w:rPr>
          <w:rFonts w:ascii="Times New Roman" w:hAnsi="Times New Roman" w:cs="Times New Roman"/>
          <w:color w:val="auto"/>
          <w:sz w:val="24"/>
          <w:szCs w:val="24"/>
        </w:rPr>
        <w:t>productus</w:t>
      </w:r>
      <w:proofErr w:type="spellEnd"/>
      <w:r>
        <w:rPr>
          <w:rFonts w:ascii="Times New Roman" w:hAnsi="Times New Roman" w:cs="Times New Roman"/>
          <w:i w:val="0"/>
          <w:color w:val="auto"/>
          <w:sz w:val="24"/>
          <w:szCs w:val="24"/>
        </w:rPr>
        <w:t>) and Dungeness crab (</w:t>
      </w:r>
      <w:r w:rsidRPr="00C870FF">
        <w:rPr>
          <w:rFonts w:ascii="Times New Roman" w:hAnsi="Times New Roman" w:cs="Times New Roman"/>
          <w:color w:val="auto"/>
          <w:sz w:val="24"/>
          <w:szCs w:val="24"/>
        </w:rPr>
        <w:t>Cancer magister</w:t>
      </w:r>
      <w:r>
        <w:rPr>
          <w:rFonts w:ascii="Times New Roman" w:hAnsi="Times New Roman" w:cs="Times New Roman"/>
          <w:i w:val="0"/>
          <w:color w:val="auto"/>
          <w:sz w:val="24"/>
          <w:szCs w:val="24"/>
        </w:rPr>
        <w:t>).</w:t>
      </w:r>
    </w:p>
    <w:p w:rsidR="009E321C" w:rsidRPr="009E321C" w:rsidRDefault="009E321C" w:rsidP="009E321C">
      <w:pPr>
        <w:rPr>
          <w:sz w:val="24"/>
          <w:szCs w:val="24"/>
        </w:rPr>
      </w:pPr>
    </w:p>
    <w:p w:rsidR="00C870FF" w:rsidRPr="00C870FF" w:rsidRDefault="009E321C" w:rsidP="00C870FF">
      <w:pPr>
        <w:pStyle w:val="Heading2"/>
        <w:rPr>
          <w:szCs w:val="24"/>
        </w:rPr>
      </w:pPr>
      <w:r w:rsidRPr="009E321C">
        <w:rPr>
          <w:szCs w:val="24"/>
        </w:rPr>
        <w:t>Literature Cited</w:t>
      </w:r>
    </w:p>
    <w:p w:rsidR="00C870FF" w:rsidRDefault="00C870FF" w:rsidP="00C870FF">
      <w:pPr>
        <w:pStyle w:val="Bibliography"/>
        <w:ind w:left="720"/>
        <w:rPr>
          <w:rFonts w:cs="Times New Roman"/>
          <w:szCs w:val="24"/>
        </w:rPr>
      </w:pPr>
      <w:r w:rsidRPr="00831A76">
        <w:rPr>
          <w:rFonts w:cs="Times New Roman"/>
          <w:szCs w:val="24"/>
        </w:rPr>
        <w:t xml:space="preserve">Harper JR, Morris M (2014) Alaska </w:t>
      </w:r>
      <w:proofErr w:type="spellStart"/>
      <w:r w:rsidRPr="00831A76">
        <w:rPr>
          <w:rFonts w:cs="Times New Roman"/>
          <w:szCs w:val="24"/>
        </w:rPr>
        <w:t>ShoreZone</w:t>
      </w:r>
      <w:proofErr w:type="spellEnd"/>
      <w:r w:rsidRPr="00831A76">
        <w:rPr>
          <w:rFonts w:cs="Times New Roman"/>
          <w:szCs w:val="24"/>
        </w:rPr>
        <w:t xml:space="preserve"> coastal habitat mapping protocol. Nuka Research and Planning Group, LLC.</w:t>
      </w:r>
    </w:p>
    <w:p w:rsidR="00C870FF" w:rsidRPr="00831A76" w:rsidRDefault="00C870FF" w:rsidP="00C870FF">
      <w:pPr>
        <w:pStyle w:val="Bibliography"/>
        <w:ind w:firstLine="720"/>
        <w:rPr>
          <w:rFonts w:cs="Times New Roman"/>
          <w:szCs w:val="24"/>
        </w:rPr>
      </w:pPr>
      <w:r w:rsidRPr="00831A76">
        <w:rPr>
          <w:rFonts w:cs="Times New Roman"/>
          <w:szCs w:val="24"/>
        </w:rPr>
        <w:t xml:space="preserve">National Oceanic and Atmospheric Administration (2021) </w:t>
      </w:r>
      <w:proofErr w:type="spellStart"/>
      <w:r w:rsidRPr="00831A76">
        <w:rPr>
          <w:rFonts w:cs="Times New Roman"/>
          <w:szCs w:val="24"/>
        </w:rPr>
        <w:t>ShoreZone</w:t>
      </w:r>
      <w:proofErr w:type="spellEnd"/>
      <w:r w:rsidRPr="00831A76">
        <w:rPr>
          <w:rFonts w:cs="Times New Roman"/>
          <w:szCs w:val="24"/>
        </w:rPr>
        <w:t>.</w:t>
      </w:r>
    </w:p>
    <w:p w:rsidR="009E321C" w:rsidRPr="00C870FF" w:rsidRDefault="00C870FF" w:rsidP="00C870FF">
      <w:pPr>
        <w:pStyle w:val="Bibliography"/>
        <w:ind w:left="720"/>
        <w:rPr>
          <w:rFonts w:cs="Times New Roman"/>
          <w:szCs w:val="24"/>
        </w:rPr>
      </w:pPr>
      <w:r w:rsidRPr="00831A76">
        <w:rPr>
          <w:rFonts w:cs="Times New Roman"/>
          <w:szCs w:val="24"/>
        </w:rPr>
        <w:t xml:space="preserve">Raymond WW, Hughes BB, Stephens TA, Mattson CR, </w:t>
      </w:r>
      <w:proofErr w:type="spellStart"/>
      <w:r w:rsidRPr="00831A76">
        <w:rPr>
          <w:rFonts w:cs="Times New Roman"/>
          <w:szCs w:val="24"/>
        </w:rPr>
        <w:t>Bolwerk</w:t>
      </w:r>
      <w:proofErr w:type="spellEnd"/>
      <w:r w:rsidRPr="00831A76">
        <w:rPr>
          <w:rFonts w:cs="Times New Roman"/>
          <w:szCs w:val="24"/>
        </w:rPr>
        <w:t xml:space="preserve"> AT, Eckert GL (2021) Testing the generality of sea otter-mediated trophic cascades in seagr</w:t>
      </w:r>
      <w:r>
        <w:rPr>
          <w:rFonts w:cs="Times New Roman"/>
          <w:szCs w:val="24"/>
        </w:rPr>
        <w:t xml:space="preserve">ass meadows. </w:t>
      </w:r>
      <w:proofErr w:type="spellStart"/>
      <w:r>
        <w:rPr>
          <w:rFonts w:cs="Times New Roman"/>
          <w:szCs w:val="24"/>
        </w:rPr>
        <w:t>Oikos</w:t>
      </w:r>
      <w:proofErr w:type="spellEnd"/>
      <w:r>
        <w:rPr>
          <w:rFonts w:cs="Times New Roman"/>
          <w:szCs w:val="24"/>
        </w:rPr>
        <w:t xml:space="preserve"> 130:725–738.</w:t>
      </w:r>
      <w:bookmarkStart w:id="3" w:name="_GoBack"/>
      <w:bookmarkEnd w:id="3"/>
    </w:p>
    <w:sectPr w:rsidR="009E321C" w:rsidRPr="00C87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21C"/>
    <w:rsid w:val="008B2A36"/>
    <w:rsid w:val="009E321C"/>
    <w:rsid w:val="00B63F6F"/>
    <w:rsid w:val="00C8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6473"/>
  <w15:chartTrackingRefBased/>
  <w15:docId w15:val="{436F7B5A-2D9D-441C-8DD4-05D8A9D23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E321C"/>
    <w:pPr>
      <w:keepNext/>
      <w:keepLines/>
      <w:spacing w:before="240" w:after="240" w:line="276"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21C"/>
    <w:rPr>
      <w:rFonts w:ascii="Times New Roman" w:eastAsiaTheme="majorEastAsia" w:hAnsi="Times New Roman" w:cstheme="majorBidi"/>
      <w:i/>
      <w:sz w:val="24"/>
      <w:szCs w:val="26"/>
    </w:rPr>
  </w:style>
  <w:style w:type="paragraph" w:styleId="ListParagraph">
    <w:name w:val="List Paragraph"/>
    <w:basedOn w:val="Normal"/>
    <w:uiPriority w:val="34"/>
    <w:qFormat/>
    <w:rsid w:val="009E321C"/>
    <w:pPr>
      <w:spacing w:after="200" w:line="276" w:lineRule="auto"/>
      <w:ind w:left="720"/>
      <w:contextualSpacing/>
    </w:pPr>
    <w:rPr>
      <w:rFonts w:ascii="Times New Roman" w:hAnsi="Times New Roman"/>
      <w:sz w:val="24"/>
    </w:rPr>
  </w:style>
  <w:style w:type="paragraph" w:styleId="Caption">
    <w:name w:val="caption"/>
    <w:basedOn w:val="Normal"/>
    <w:next w:val="Normal"/>
    <w:uiPriority w:val="35"/>
    <w:unhideWhenUsed/>
    <w:qFormat/>
    <w:rsid w:val="009E321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E321C"/>
    <w:pPr>
      <w:spacing w:after="200" w:line="276"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Rebecca.Cates</dc:creator>
  <cp:keywords/>
  <dc:description/>
  <cp:lastModifiedBy>Rebecca.Cates</cp:lastModifiedBy>
  <cp:revision>2</cp:revision>
  <dcterms:created xsi:type="dcterms:W3CDTF">2023-03-28T23:48:00Z</dcterms:created>
  <dcterms:modified xsi:type="dcterms:W3CDTF">2023-03-29T00:11:00Z</dcterms:modified>
</cp:coreProperties>
</file>