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2E4" w:rsidRPr="00831A76" w:rsidRDefault="00C942E4" w:rsidP="00C942E4">
      <w:pPr>
        <w:pStyle w:val="Heading2"/>
        <w:rPr>
          <w:rFonts w:cs="Times New Roman"/>
          <w:i w:val="0"/>
        </w:rPr>
      </w:pPr>
      <w:bookmarkStart w:id="0" w:name="_Toc81570033"/>
      <w:bookmarkStart w:id="1" w:name="_Toc99530385"/>
      <w:r w:rsidRPr="00831A76">
        <w:rPr>
          <w:rFonts w:cs="Times New Roman"/>
        </w:rPr>
        <w:t>Study area</w:t>
      </w:r>
      <w:bookmarkEnd w:id="0"/>
      <w:bookmarkEnd w:id="1"/>
    </w:p>
    <w:p w:rsidR="00C942E4" w:rsidRDefault="00C942E4" w:rsidP="00C942E4">
      <w:pPr>
        <w:pStyle w:val="ListParagraph"/>
        <w:spacing w:line="480" w:lineRule="auto"/>
        <w:ind w:left="0" w:firstLine="720"/>
        <w:rPr>
          <w:rFonts w:eastAsia="Times New Roman" w:cs="Times New Roman"/>
          <w:szCs w:val="24"/>
          <w:shd w:val="clear" w:color="auto" w:fill="FDFDFD"/>
        </w:rPr>
      </w:pPr>
      <w:r w:rsidRPr="00831A76">
        <w:rPr>
          <w:rFonts w:cs="Times New Roman"/>
        </w:rPr>
        <w:t>We sampled crab assemblages, eelgrass biometrics, and sea otter density along the west coast of Prince of Wales Island and nearby islands</w:t>
      </w:r>
      <w:r>
        <w:rPr>
          <w:rFonts w:cs="Times New Roman"/>
        </w:rPr>
        <w:t xml:space="preserve"> in </w:t>
      </w:r>
      <w:r w:rsidRPr="00831A76">
        <w:rPr>
          <w:rFonts w:cs="Times New Roman"/>
        </w:rPr>
        <w:t xml:space="preserve">Alaska, with sites ranging 93 km from the most southern site in Dunbar Inlet up to the most northern site in </w:t>
      </w:r>
      <w:proofErr w:type="spellStart"/>
      <w:r w:rsidRPr="00831A76">
        <w:rPr>
          <w:rFonts w:cs="Times New Roman"/>
        </w:rPr>
        <w:t>Naukati</w:t>
      </w:r>
      <w:proofErr w:type="spellEnd"/>
      <w:r w:rsidRPr="00831A76">
        <w:rPr>
          <w:rFonts w:cs="Times New Roman"/>
        </w:rPr>
        <w:t xml:space="preserve"> Bay (</w:t>
      </w:r>
      <w:r>
        <w:rPr>
          <w:rFonts w:cs="Times New Roman"/>
        </w:rPr>
        <w:t>Figure 1</w:t>
      </w:r>
      <w:r w:rsidRPr="00831A76">
        <w:rPr>
          <w:rFonts w:cs="Times New Roman"/>
        </w:rPr>
        <w:t>). Sites were sampled from April</w:t>
      </w:r>
      <w:r>
        <w:rPr>
          <w:rFonts w:cs="Times New Roman"/>
        </w:rPr>
        <w:t xml:space="preserve"> to </w:t>
      </w:r>
      <w:r w:rsidRPr="00831A76">
        <w:rPr>
          <w:rFonts w:cs="Times New Roman"/>
        </w:rPr>
        <w:t>August during 2017</w:t>
      </w:r>
      <w:r>
        <w:rPr>
          <w:rFonts w:cs="Times New Roman"/>
        </w:rPr>
        <w:t>–</w:t>
      </w:r>
      <w:r w:rsidRPr="00831A76">
        <w:rPr>
          <w:rFonts w:cs="Times New Roman"/>
        </w:rPr>
        <w:t xml:space="preserve">2020. Sites were selected following methods described in Raymond et al. </w:t>
      </w:r>
      <w:r>
        <w:rPr>
          <w:rFonts w:cs="Times New Roman"/>
        </w:rPr>
        <w:t>(</w:t>
      </w:r>
      <w:r w:rsidRPr="00831A76">
        <w:rPr>
          <w:rFonts w:cs="Times New Roman"/>
        </w:rPr>
        <w:t>2021</w:t>
      </w:r>
      <w:r>
        <w:rPr>
          <w:rFonts w:cs="Times New Roman"/>
        </w:rPr>
        <w:t>)</w:t>
      </w:r>
      <w:r w:rsidRPr="00831A76">
        <w:rPr>
          <w:rFonts w:cs="Times New Roman"/>
        </w:rPr>
        <w:t xml:space="preserve">, briefly summarized here. We used the </w:t>
      </w:r>
      <w:proofErr w:type="spellStart"/>
      <w:r w:rsidRPr="00831A76">
        <w:rPr>
          <w:rFonts w:cs="Times New Roman"/>
        </w:rPr>
        <w:t>ShoreZone</w:t>
      </w:r>
      <w:proofErr w:type="spellEnd"/>
      <w:r w:rsidRPr="00831A76">
        <w:rPr>
          <w:rFonts w:cs="Times New Roman"/>
        </w:rPr>
        <w:t xml:space="preserve"> database and site visits to identify coastline segments with 100 m </w:t>
      </w:r>
      <w:r>
        <w:rPr>
          <w:rFonts w:cs="Times New Roman"/>
        </w:rPr>
        <w:t xml:space="preserve">of </w:t>
      </w:r>
      <w:r w:rsidRPr="00831A76">
        <w:rPr>
          <w:rFonts w:cs="Times New Roman"/>
        </w:rPr>
        <w:t>eelgrass  habitat with no overlapping kelp canopy</w:t>
      </w:r>
      <w:r w:rsidRPr="00831A76">
        <w:rPr>
          <w:rFonts w:cs="Times New Roman"/>
          <w:szCs w:val="24"/>
        </w:rPr>
        <w:t xml:space="preserve"> </w:t>
      </w:r>
      <w:r w:rsidRPr="00831A76">
        <w:rPr>
          <w:rFonts w:cs="Times New Roman"/>
          <w:szCs w:val="24"/>
        </w:rPr>
        <w:fldChar w:fldCharType="begin" w:fldLock="1"/>
      </w:r>
      <w:r w:rsidRPr="00831A76">
        <w:rPr>
          <w:rFonts w:cs="Times New Roman"/>
          <w:szCs w:val="24"/>
        </w:rPr>
        <w:instrText xml:space="preserve"> ADDIN ZOTERO_ITEM CSL_CITATION {"citationID":"qsqXcgXp","properties":{"formattedCitation":"(Harper &amp; Morris, 2014; National Oceanic and Atmospheric Administration, 2021)","plainCitation":"(Harper &amp; Morris, 2014; National Oceanic and Atmospheric Administration, 2021)","noteIndex":0},"citationItems":[{"id":"CGAUS6nd/32k3dpNM","uris":["http://www.mendeley.com/documents/?uuid=e4b6ee5d-38a5-3788-bd7d-c652c864b99b"],"uri":["http://www.mendeley.com/documents/?uuid=e4b6ee5d-38a5-3788-bd7d-c652c864b99b"],"itemData":{"author":[{"dropping-particle":"","family":"Harper","given":"J.R.","non-dropping-particle":"","parse-names":false,"suffix":""},{"dropping-particle":"","family":"Morris","given":"Mary","non-dropping-particle":"","parse-names":false,"suffix":""}],"id":"ITEM-1","issued":{"date-parts":[["2014"]]},"title":"Alaska ShoreZone coastal habitat mapping protocol. Nuka Research and Planning Group, LLC","type":"article-journal"}},{"id":32,"uris":["http://zotero.org/users/local/qXwvtp9p/items/BC654S6S"],"uri":["http://zotero.org/users/local/qXwvtp9p/items/BC654S6S"],"itemData":{"id":32,"type":"article-journal","title":"ShoreZone","URL":"https://www.fisheries.noaa.gov/alaska/habitat-conservation/alaska-shorezone","author":[{"literal":"National Oceanic and Atmospheric Administration"}],"issued":{"date-parts":[["2021"]]}}}],"schema":"https://github.com/citation-style-language/schema/raw/master/csl-citation.json"} </w:instrText>
      </w:r>
      <w:r w:rsidRPr="00831A76">
        <w:rPr>
          <w:rFonts w:cs="Times New Roman"/>
          <w:szCs w:val="24"/>
        </w:rPr>
        <w:fldChar w:fldCharType="separate"/>
      </w:r>
      <w:r w:rsidRPr="00831A76">
        <w:rPr>
          <w:rFonts w:cs="Times New Roman"/>
        </w:rPr>
        <w:t>(Harper &amp; Morris, 2014</w:t>
      </w:r>
      <w:r>
        <w:rPr>
          <w:rFonts w:cs="Times New Roman"/>
        </w:rPr>
        <w:t>,</w:t>
      </w:r>
      <w:r w:rsidRPr="00831A76">
        <w:rPr>
          <w:rFonts w:cs="Times New Roman"/>
        </w:rPr>
        <w:t xml:space="preserve"> National Oceanic and Atmospheric Administration, 2021)</w:t>
      </w:r>
      <w:r w:rsidRPr="00831A76">
        <w:rPr>
          <w:rFonts w:cs="Times New Roman"/>
          <w:szCs w:val="24"/>
        </w:rPr>
        <w:fldChar w:fldCharType="end"/>
      </w:r>
      <w:r w:rsidRPr="00831A76">
        <w:rPr>
          <w:rFonts w:cs="Times New Roman"/>
          <w:szCs w:val="24"/>
        </w:rPr>
        <w:t xml:space="preserve">. </w:t>
      </w:r>
      <w:r w:rsidRPr="00831A76">
        <w:rPr>
          <w:rFonts w:cs="Times New Roman"/>
        </w:rPr>
        <w:t xml:space="preserve">Crab abundance and size composition and sea otter density </w:t>
      </w:r>
      <w:r w:rsidRPr="00831A76">
        <w:rPr>
          <w:rFonts w:eastAsia="Times New Roman" w:cs="Times New Roman"/>
          <w:szCs w:val="24"/>
          <w:shd w:val="clear" w:color="auto" w:fill="FDFDFD"/>
        </w:rPr>
        <w:t>were quantified at 21 sites in 2017 and 2020, 22 sites in 2019, and 6 sites in 2018. Eelgrass biometrics were sampled at 21 sites in 2017, 6 sites in 2018, 19 sites in 2019, and 6 sites in 2020 (</w:t>
      </w:r>
      <w:r>
        <w:rPr>
          <w:rFonts w:cs="Times New Roman"/>
        </w:rPr>
        <w:t>Figure 1</w:t>
      </w:r>
      <w:r w:rsidRPr="00831A76">
        <w:rPr>
          <w:rFonts w:eastAsia="Times New Roman" w:cs="Times New Roman"/>
          <w:szCs w:val="24"/>
          <w:shd w:val="clear" w:color="auto" w:fill="FDFDFD"/>
        </w:rPr>
        <w:t xml:space="preserve">). </w:t>
      </w:r>
    </w:p>
    <w:p w:rsidR="00C942E4" w:rsidRPr="00C942E4" w:rsidRDefault="00C942E4" w:rsidP="00C942E4">
      <w:pPr>
        <w:keepNext/>
        <w:keepLines/>
        <w:spacing w:before="240" w:after="240" w:line="276" w:lineRule="auto"/>
        <w:outlineLvl w:val="1"/>
        <w:rPr>
          <w:rFonts w:ascii="Times New Roman" w:eastAsia="Times New Roman" w:hAnsi="Times New Roman" w:cs="Times New Roman"/>
          <w:i/>
          <w:sz w:val="24"/>
          <w:szCs w:val="26"/>
        </w:rPr>
      </w:pPr>
      <w:bookmarkStart w:id="2" w:name="_Toc81570034"/>
      <w:bookmarkStart w:id="3" w:name="_Toc99530387"/>
      <w:r w:rsidRPr="00C942E4">
        <w:rPr>
          <w:rFonts w:ascii="Times New Roman" w:eastAsia="Times New Roman" w:hAnsi="Times New Roman" w:cs="Times New Roman"/>
          <w:i/>
          <w:sz w:val="24"/>
          <w:szCs w:val="26"/>
        </w:rPr>
        <w:t>Sea otter density data</w:t>
      </w:r>
      <w:bookmarkEnd w:id="2"/>
      <w:bookmarkEnd w:id="3"/>
    </w:p>
    <w:p w:rsidR="00C942E4" w:rsidRPr="00C942E4" w:rsidRDefault="00C942E4" w:rsidP="00C942E4">
      <w:pPr>
        <w:spacing w:before="240" w:after="240" w:line="480" w:lineRule="auto"/>
        <w:ind w:firstLine="720"/>
        <w:rPr>
          <w:rFonts w:ascii="Times New Roman" w:eastAsia="Times New Roman" w:hAnsi="Times New Roman" w:cs="Times New Roman"/>
          <w:sz w:val="24"/>
          <w:szCs w:val="24"/>
        </w:rPr>
      </w:pPr>
      <w:r w:rsidRPr="00C942E4">
        <w:rPr>
          <w:rFonts w:ascii="Times New Roman" w:eastAsia="Times New Roman" w:hAnsi="Times New Roman" w:cs="Times New Roman"/>
          <w:sz w:val="24"/>
          <w:szCs w:val="24"/>
        </w:rPr>
        <w:t>We quantified the number of sea otters near our study sites in a 3.7 km radius area, an area selected to represent the home range of sea otter territory. Two replicate boat-based sea otter abundance surveys were conducted at least two weeks apart each year for each site by counting all adult and independent juvenile sea otters in the area over water along a radius of 3.7 km from the site where crab pots were set</w:t>
      </w:r>
      <w:r>
        <w:rPr>
          <w:rFonts w:ascii="Times New Roman" w:eastAsia="Times New Roman" w:hAnsi="Times New Roman" w:cs="Times New Roman"/>
          <w:sz w:val="24"/>
          <w:szCs w:val="24"/>
        </w:rPr>
        <w:t xml:space="preserve"> (Figure 2)</w:t>
      </w:r>
      <w:r w:rsidRPr="00C942E4">
        <w:rPr>
          <w:rFonts w:ascii="Times New Roman" w:eastAsia="Times New Roman" w:hAnsi="Times New Roman" w:cs="Times New Roman"/>
          <w:sz w:val="24"/>
          <w:szCs w:val="24"/>
        </w:rPr>
        <w:t xml:space="preserve">. The exact survey area differed for each site given the complexity of the coastline. </w:t>
      </w:r>
      <w:r w:rsidRPr="00C942E4">
        <w:rPr>
          <w:rFonts w:ascii="Times New Roman" w:eastAsia="Times New Roman" w:hAnsi="Times New Roman" w:cs="Times New Roman"/>
          <w:sz w:val="24"/>
          <w:szCs w:val="24"/>
          <w:shd w:val="clear" w:color="auto" w:fill="FDFDFD"/>
        </w:rPr>
        <w:t>The presence and number of pups were not recorded</w:t>
      </w:r>
      <w:r w:rsidRPr="00C942E4">
        <w:rPr>
          <w:rFonts w:ascii="Times New Roman" w:eastAsia="Times New Roman" w:hAnsi="Times New Roman" w:cs="Times New Roman"/>
          <w:sz w:val="24"/>
          <w:szCs w:val="24"/>
        </w:rPr>
        <w:t>. Sea otter counts were converted to density (sea otters/km</w:t>
      </w:r>
      <w:r w:rsidRPr="00C942E4">
        <w:rPr>
          <w:rFonts w:ascii="Times New Roman" w:eastAsia="Times New Roman" w:hAnsi="Times New Roman" w:cs="Times New Roman"/>
          <w:sz w:val="24"/>
          <w:szCs w:val="24"/>
          <w:vertAlign w:val="superscript"/>
        </w:rPr>
        <w:t>2</w:t>
      </w:r>
      <w:r w:rsidRPr="00C942E4">
        <w:rPr>
          <w:rFonts w:ascii="Times New Roman" w:eastAsia="Times New Roman" w:hAnsi="Times New Roman" w:cs="Times New Roman"/>
          <w:sz w:val="24"/>
          <w:szCs w:val="24"/>
        </w:rPr>
        <w:t>) based on the total area surveyed. Density was averaged between the two surveys per site per year.</w:t>
      </w:r>
    </w:p>
    <w:p w:rsidR="00C942E4" w:rsidRPr="00831A76" w:rsidRDefault="00C942E4" w:rsidP="00C942E4">
      <w:pPr>
        <w:pStyle w:val="ListParagraph"/>
        <w:spacing w:line="480" w:lineRule="auto"/>
        <w:ind w:left="0" w:firstLine="720"/>
        <w:rPr>
          <w:rFonts w:eastAsia="Times New Roman" w:cs="Times New Roman"/>
          <w:szCs w:val="24"/>
          <w:shd w:val="clear" w:color="auto" w:fill="FDFDFD"/>
        </w:rPr>
      </w:pPr>
    </w:p>
    <w:p w:rsidR="00C942E4" w:rsidRPr="009E321C" w:rsidRDefault="00C942E4" w:rsidP="00C942E4">
      <w:pPr>
        <w:keepNext/>
        <w:jc w:val="center"/>
        <w:rPr>
          <w:rFonts w:cs="Times New Roman"/>
        </w:rPr>
      </w:pPr>
      <w:r w:rsidRPr="009E321C">
        <w:rPr>
          <w:rFonts w:cs="Times New Roman"/>
          <w:noProof/>
        </w:rPr>
        <w:lastRenderedPageBreak/>
        <w:drawing>
          <wp:inline distT="0" distB="0" distL="0" distR="0" wp14:anchorId="3690C530" wp14:editId="6AE991C9">
            <wp:extent cx="4076700" cy="4945214"/>
            <wp:effectExtent l="38100" t="38100" r="38100" b="46355"/>
            <wp:docPr id="7" name="Picture 6">
              <a:extLst xmlns:a="http://schemas.openxmlformats.org/drawingml/2006/main">
                <a:ext uri="{FF2B5EF4-FFF2-40B4-BE49-F238E27FC236}">
                  <a16:creationId xmlns:a16="http://schemas.microsoft.com/office/drawing/2014/main" id="{C0235393-CF31-4B53-B23B-9E7F53B4D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235393-CF31-4B53-B23B-9E7F53B4D207}"/>
                        </a:ext>
                      </a:extLst>
                    </pic:cNvPr>
                    <pic:cNvPicPr>
                      <a:picLocks noChangeAspect="1"/>
                    </pic:cNvPicPr>
                  </pic:nvPicPr>
                  <pic:blipFill>
                    <a:blip r:embed="rId4"/>
                    <a:stretch>
                      <a:fillRect/>
                    </a:stretch>
                  </pic:blipFill>
                  <pic:spPr>
                    <a:xfrm>
                      <a:off x="0" y="0"/>
                      <a:ext cx="4084150" cy="4954251"/>
                    </a:xfrm>
                    <a:prstGeom prst="rect">
                      <a:avLst/>
                    </a:prstGeom>
                    <a:ln w="38100">
                      <a:solidFill>
                        <a:schemeClr val="tx1"/>
                      </a:solidFill>
                    </a:ln>
                  </pic:spPr>
                </pic:pic>
              </a:graphicData>
            </a:graphic>
          </wp:inline>
        </w:drawing>
      </w:r>
    </w:p>
    <w:p w:rsidR="00C942E4" w:rsidRDefault="00C942E4" w:rsidP="00C942E4">
      <w:pPr>
        <w:pStyle w:val="Caption"/>
        <w:rPr>
          <w:rFonts w:cs="Times New Roman"/>
          <w:i w:val="0"/>
          <w:noProof/>
          <w:color w:val="auto"/>
          <w:sz w:val="24"/>
          <w:szCs w:val="24"/>
        </w:rPr>
      </w:pPr>
      <w:r w:rsidRPr="009E321C">
        <w:rPr>
          <w:rFonts w:cs="Times New Roman"/>
          <w:i w:val="0"/>
          <w:color w:val="auto"/>
          <w:sz w:val="24"/>
          <w:szCs w:val="24"/>
        </w:rPr>
        <w:t xml:space="preserve">Figure </w:t>
      </w:r>
      <w:r w:rsidRPr="009E321C">
        <w:rPr>
          <w:rFonts w:cs="Times New Roman"/>
          <w:i w:val="0"/>
          <w:noProof/>
          <w:color w:val="auto"/>
          <w:sz w:val="24"/>
          <w:szCs w:val="24"/>
        </w:rPr>
        <w:t>1 – Study area in Southeast Alaska near Prince of Wales Island. Orange circles indicate sample sites, green triangles indicate sea otter reintroduction sites, and sea otter colonization through time is color coded by year (blue).</w:t>
      </w:r>
    </w:p>
    <w:p w:rsidR="00C942E4" w:rsidRDefault="00C942E4" w:rsidP="00C942E4">
      <w:pPr>
        <w:keepNext/>
      </w:pPr>
      <w:r w:rsidRPr="00C942E4">
        <w:lastRenderedPageBreak/>
        <w:drawing>
          <wp:inline distT="0" distB="0" distL="0" distR="0" wp14:anchorId="7FD7F5FA" wp14:editId="2C97EFDE">
            <wp:extent cx="5943600" cy="3343275"/>
            <wp:effectExtent l="38100" t="38100" r="38100" b="47625"/>
            <wp:docPr id="14" name="Picture 13">
              <a:extLst xmlns:a="http://schemas.openxmlformats.org/drawingml/2006/main">
                <a:ext uri="{FF2B5EF4-FFF2-40B4-BE49-F238E27FC236}">
                  <a16:creationId xmlns:a16="http://schemas.microsoft.com/office/drawing/2014/main" id="{9DE46B7A-338A-4136-9DA1-1FF6AEAF4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DE46B7A-338A-4136-9DA1-1FF6AEAF4ADC}"/>
                        </a:ext>
                      </a:extLst>
                    </pic:cNvPr>
                    <pic:cNvPicPr>
                      <a:picLocks noChangeAspect="1"/>
                    </pic:cNvPicPr>
                  </pic:nvPicPr>
                  <pic:blipFill>
                    <a:blip r:embed="rId5"/>
                    <a:stretch>
                      <a:fillRect/>
                    </a:stretch>
                  </pic:blipFill>
                  <pic:spPr>
                    <a:xfrm>
                      <a:off x="0" y="0"/>
                      <a:ext cx="5943600" cy="3343275"/>
                    </a:xfrm>
                    <a:prstGeom prst="roundRect">
                      <a:avLst/>
                    </a:prstGeom>
                    <a:ln w="38100">
                      <a:solidFill>
                        <a:schemeClr val="tx1"/>
                      </a:solidFill>
                    </a:ln>
                  </pic:spPr>
                </pic:pic>
              </a:graphicData>
            </a:graphic>
          </wp:inline>
        </w:drawing>
      </w:r>
    </w:p>
    <w:p w:rsidR="00C942E4" w:rsidRPr="00C942E4" w:rsidRDefault="00C942E4" w:rsidP="00C942E4">
      <w:pPr>
        <w:pStyle w:val="Caption"/>
        <w:rPr>
          <w:i w:val="0"/>
          <w:color w:val="auto"/>
          <w:sz w:val="24"/>
          <w:szCs w:val="24"/>
        </w:rPr>
      </w:pPr>
      <w:r w:rsidRPr="00C942E4">
        <w:rPr>
          <w:i w:val="0"/>
          <w:color w:val="auto"/>
          <w:sz w:val="24"/>
          <w:szCs w:val="24"/>
        </w:rPr>
        <w:t xml:space="preserve">Figure 2 </w:t>
      </w:r>
      <w:r w:rsidRPr="00C942E4">
        <w:rPr>
          <w:rFonts w:cs="Times New Roman"/>
          <w:i w:val="0"/>
          <w:noProof/>
          <w:color w:val="auto"/>
          <w:sz w:val="24"/>
          <w:szCs w:val="24"/>
        </w:rPr>
        <w:t xml:space="preserve">– </w:t>
      </w:r>
      <w:r>
        <w:rPr>
          <w:rFonts w:cs="Times New Roman"/>
          <w:i w:val="0"/>
          <w:noProof/>
          <w:color w:val="auto"/>
          <w:sz w:val="24"/>
          <w:szCs w:val="24"/>
        </w:rPr>
        <w:t>A b</w:t>
      </w:r>
      <w:r w:rsidRPr="00C942E4">
        <w:rPr>
          <w:rFonts w:cs="Times New Roman"/>
          <w:i w:val="0"/>
          <w:noProof/>
          <w:color w:val="auto"/>
          <w:sz w:val="24"/>
          <w:szCs w:val="24"/>
        </w:rPr>
        <w:t>oat-base</w:t>
      </w:r>
      <w:r>
        <w:rPr>
          <w:rFonts w:cs="Times New Roman"/>
          <w:i w:val="0"/>
          <w:noProof/>
          <w:color w:val="auto"/>
          <w:sz w:val="24"/>
          <w:szCs w:val="24"/>
        </w:rPr>
        <w:t>d sea otter abundance survey conducted in 2019. A</w:t>
      </w:r>
      <w:r w:rsidRPr="00C942E4">
        <w:rPr>
          <w:rFonts w:cs="Times New Roman"/>
          <w:i w:val="0"/>
          <w:noProof/>
          <w:color w:val="auto"/>
          <w:sz w:val="24"/>
          <w:szCs w:val="24"/>
        </w:rPr>
        <w:t xml:space="preserve">dult and independent juvenile sea otters </w:t>
      </w:r>
      <w:r>
        <w:rPr>
          <w:rFonts w:cs="Times New Roman"/>
          <w:i w:val="0"/>
          <w:noProof/>
          <w:color w:val="auto"/>
          <w:sz w:val="24"/>
          <w:szCs w:val="24"/>
        </w:rPr>
        <w:t xml:space="preserve">were counted </w:t>
      </w:r>
      <w:r w:rsidRPr="00C942E4">
        <w:rPr>
          <w:rFonts w:cs="Times New Roman"/>
          <w:i w:val="0"/>
          <w:noProof/>
          <w:color w:val="auto"/>
          <w:sz w:val="24"/>
          <w:szCs w:val="24"/>
        </w:rPr>
        <w:t>in the area over water along a radius of 3.7 km from the site where crab pots were set</w:t>
      </w:r>
      <w:r>
        <w:rPr>
          <w:rFonts w:cs="Times New Roman"/>
          <w:i w:val="0"/>
          <w:noProof/>
          <w:color w:val="auto"/>
          <w:sz w:val="24"/>
          <w:szCs w:val="24"/>
        </w:rPr>
        <w:t>.</w:t>
      </w:r>
      <w:bookmarkStart w:id="4" w:name="_GoBack"/>
      <w:bookmarkEnd w:id="4"/>
    </w:p>
    <w:p w:rsidR="00560F6D" w:rsidRDefault="00C942E4"/>
    <w:p w:rsidR="00C942E4" w:rsidRDefault="00C942E4" w:rsidP="00C942E4">
      <w:pPr>
        <w:pStyle w:val="Heading2"/>
      </w:pPr>
      <w:r>
        <w:t>Literature Cited</w:t>
      </w:r>
    </w:p>
    <w:p w:rsidR="00C942E4" w:rsidRDefault="00C942E4" w:rsidP="00C942E4">
      <w:pPr>
        <w:pStyle w:val="Bibliography"/>
        <w:ind w:left="720"/>
        <w:rPr>
          <w:rFonts w:cs="Times New Roman"/>
          <w:szCs w:val="24"/>
        </w:rPr>
      </w:pPr>
      <w:r w:rsidRPr="00831A76">
        <w:rPr>
          <w:rFonts w:cs="Times New Roman"/>
          <w:szCs w:val="24"/>
        </w:rPr>
        <w:t xml:space="preserve">Harper JR, Morris M (2014) Alaska </w:t>
      </w:r>
      <w:proofErr w:type="spellStart"/>
      <w:r w:rsidRPr="00831A76">
        <w:rPr>
          <w:rFonts w:cs="Times New Roman"/>
          <w:szCs w:val="24"/>
        </w:rPr>
        <w:t>ShoreZone</w:t>
      </w:r>
      <w:proofErr w:type="spellEnd"/>
      <w:r w:rsidRPr="00831A76">
        <w:rPr>
          <w:rFonts w:cs="Times New Roman"/>
          <w:szCs w:val="24"/>
        </w:rPr>
        <w:t xml:space="preserve"> coastal habitat mapping protocol. Nuka Research and Planning Group, LLC.</w:t>
      </w:r>
    </w:p>
    <w:p w:rsidR="00C942E4" w:rsidRPr="00831A76" w:rsidRDefault="00C942E4" w:rsidP="00C942E4">
      <w:pPr>
        <w:pStyle w:val="Bibliography"/>
        <w:ind w:firstLine="720"/>
        <w:rPr>
          <w:rFonts w:cs="Times New Roman"/>
          <w:szCs w:val="24"/>
        </w:rPr>
      </w:pPr>
      <w:r w:rsidRPr="00831A76">
        <w:rPr>
          <w:rFonts w:cs="Times New Roman"/>
          <w:szCs w:val="24"/>
        </w:rPr>
        <w:t xml:space="preserve">National Oceanic and Atmospheric Administration (2021) </w:t>
      </w:r>
      <w:proofErr w:type="spellStart"/>
      <w:r w:rsidRPr="00831A76">
        <w:rPr>
          <w:rFonts w:cs="Times New Roman"/>
          <w:szCs w:val="24"/>
        </w:rPr>
        <w:t>ShoreZone</w:t>
      </w:r>
      <w:proofErr w:type="spellEnd"/>
      <w:r w:rsidRPr="00831A76">
        <w:rPr>
          <w:rFonts w:cs="Times New Roman"/>
          <w:szCs w:val="24"/>
        </w:rPr>
        <w:t>.</w:t>
      </w:r>
    </w:p>
    <w:p w:rsidR="00C942E4" w:rsidRDefault="00C942E4" w:rsidP="00C942E4">
      <w:pPr>
        <w:pStyle w:val="Bibliography"/>
        <w:ind w:left="720"/>
        <w:rPr>
          <w:rFonts w:cs="Times New Roman"/>
          <w:szCs w:val="24"/>
        </w:rPr>
      </w:pPr>
      <w:r w:rsidRPr="00831A76">
        <w:rPr>
          <w:rFonts w:cs="Times New Roman"/>
          <w:szCs w:val="24"/>
        </w:rPr>
        <w:t xml:space="preserve">Raymond WW, Hughes BB, Stephens TA, Mattson CR, </w:t>
      </w:r>
      <w:proofErr w:type="spellStart"/>
      <w:r w:rsidRPr="00831A76">
        <w:rPr>
          <w:rFonts w:cs="Times New Roman"/>
          <w:szCs w:val="24"/>
        </w:rPr>
        <w:t>Bolwerk</w:t>
      </w:r>
      <w:proofErr w:type="spellEnd"/>
      <w:r w:rsidRPr="00831A76">
        <w:rPr>
          <w:rFonts w:cs="Times New Roman"/>
          <w:szCs w:val="24"/>
        </w:rPr>
        <w:t xml:space="preserve"> AT, Eckert GL (2021) Testing the generality of sea otter-mediated trophic cascades in seagr</w:t>
      </w:r>
      <w:r>
        <w:rPr>
          <w:rFonts w:cs="Times New Roman"/>
          <w:szCs w:val="24"/>
        </w:rPr>
        <w:t xml:space="preserve">ass meadows. </w:t>
      </w:r>
      <w:proofErr w:type="spellStart"/>
      <w:r>
        <w:rPr>
          <w:rFonts w:cs="Times New Roman"/>
          <w:szCs w:val="24"/>
        </w:rPr>
        <w:t>Oikos</w:t>
      </w:r>
      <w:proofErr w:type="spellEnd"/>
      <w:r>
        <w:rPr>
          <w:rFonts w:cs="Times New Roman"/>
          <w:szCs w:val="24"/>
        </w:rPr>
        <w:t xml:space="preserve"> 130:725–738.</w:t>
      </w:r>
    </w:p>
    <w:p w:rsidR="00C942E4" w:rsidRDefault="00C942E4"/>
    <w:sectPr w:rsidR="00C942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E4"/>
    <w:rsid w:val="008B2A36"/>
    <w:rsid w:val="00B63F6F"/>
    <w:rsid w:val="00C94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98FFC"/>
  <w15:chartTrackingRefBased/>
  <w15:docId w15:val="{A6FEFFAE-942B-42D2-8005-EB0BE85C4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942E4"/>
    <w:pPr>
      <w:keepNext/>
      <w:keepLines/>
      <w:spacing w:before="240" w:after="240" w:line="276" w:lineRule="auto"/>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2E4"/>
    <w:rPr>
      <w:rFonts w:ascii="Times New Roman" w:eastAsiaTheme="majorEastAsia" w:hAnsi="Times New Roman" w:cstheme="majorBidi"/>
      <w:i/>
      <w:sz w:val="24"/>
      <w:szCs w:val="26"/>
    </w:rPr>
  </w:style>
  <w:style w:type="paragraph" w:styleId="ListParagraph">
    <w:name w:val="List Paragraph"/>
    <w:basedOn w:val="Normal"/>
    <w:uiPriority w:val="34"/>
    <w:qFormat/>
    <w:rsid w:val="00C942E4"/>
    <w:pPr>
      <w:spacing w:after="200" w:line="276" w:lineRule="auto"/>
      <w:ind w:left="720"/>
      <w:contextualSpacing/>
    </w:pPr>
    <w:rPr>
      <w:rFonts w:ascii="Times New Roman" w:hAnsi="Times New Roman"/>
      <w:sz w:val="24"/>
    </w:rPr>
  </w:style>
  <w:style w:type="paragraph" w:styleId="Caption">
    <w:name w:val="caption"/>
    <w:basedOn w:val="Normal"/>
    <w:next w:val="Normal"/>
    <w:uiPriority w:val="35"/>
    <w:unhideWhenUsed/>
    <w:qFormat/>
    <w:rsid w:val="00C942E4"/>
    <w:pPr>
      <w:spacing w:after="200" w:line="240" w:lineRule="auto"/>
    </w:pPr>
    <w:rPr>
      <w:rFonts w:ascii="Times New Roman" w:hAnsi="Times New Roman"/>
      <w:i/>
      <w:iCs/>
      <w:color w:val="44546A" w:themeColor="text2"/>
      <w:sz w:val="18"/>
      <w:szCs w:val="18"/>
    </w:rPr>
  </w:style>
  <w:style w:type="paragraph" w:styleId="Bibliography">
    <w:name w:val="Bibliography"/>
    <w:basedOn w:val="Normal"/>
    <w:next w:val="Normal"/>
    <w:uiPriority w:val="37"/>
    <w:semiHidden/>
    <w:unhideWhenUsed/>
    <w:rsid w:val="00C942E4"/>
    <w:pPr>
      <w:spacing w:after="200" w:line="276"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587</Words>
  <Characters>3348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Rebecca.Cates</dc:creator>
  <cp:keywords/>
  <dc:description/>
  <cp:lastModifiedBy>Rebecca.Cates</cp:lastModifiedBy>
  <cp:revision>1</cp:revision>
  <dcterms:created xsi:type="dcterms:W3CDTF">2023-03-29T00:16:00Z</dcterms:created>
  <dcterms:modified xsi:type="dcterms:W3CDTF">2023-03-29T00:22:00Z</dcterms:modified>
</cp:coreProperties>
</file>