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F0F" w:rsidRPr="00831A76" w:rsidRDefault="00523F0F" w:rsidP="00523F0F">
      <w:pPr>
        <w:pStyle w:val="Heading2"/>
        <w:rPr>
          <w:rFonts w:cs="Times New Roman"/>
          <w:i w:val="0"/>
        </w:rPr>
      </w:pPr>
      <w:bookmarkStart w:id="0" w:name="_Toc81570035"/>
      <w:bookmarkStart w:id="1" w:name="_Toc99530388"/>
      <w:bookmarkStart w:id="2" w:name="_Toc81570033"/>
      <w:bookmarkStart w:id="3" w:name="_Toc99530385"/>
      <w:r w:rsidRPr="00831A76">
        <w:rPr>
          <w:rFonts w:cs="Times New Roman"/>
        </w:rPr>
        <w:t>Study area</w:t>
      </w:r>
      <w:bookmarkEnd w:id="2"/>
      <w:bookmarkEnd w:id="3"/>
    </w:p>
    <w:p w:rsidR="00523F0F" w:rsidRPr="00831A76" w:rsidRDefault="00523F0F" w:rsidP="00523F0F">
      <w:pPr>
        <w:pStyle w:val="ListParagraph"/>
        <w:spacing w:line="480" w:lineRule="auto"/>
        <w:ind w:left="0" w:firstLine="720"/>
        <w:rPr>
          <w:rFonts w:eastAsia="Times New Roman" w:cs="Times New Roman"/>
          <w:szCs w:val="24"/>
          <w:shd w:val="clear" w:color="auto" w:fill="FDFDFD"/>
        </w:rPr>
      </w:pPr>
      <w:r w:rsidRPr="00831A76">
        <w:rPr>
          <w:rFonts w:cs="Times New Roman"/>
        </w:rPr>
        <w:t>We sampled crab assemblages, eelgrass biometrics, and sea otter density along the west coast of Prince of Wales Island and nearby islands</w:t>
      </w:r>
      <w:r>
        <w:rPr>
          <w:rFonts w:cs="Times New Roman"/>
        </w:rPr>
        <w:t xml:space="preserve"> in </w:t>
      </w:r>
      <w:r w:rsidRPr="00831A76">
        <w:rPr>
          <w:rFonts w:cs="Times New Roman"/>
        </w:rPr>
        <w:t xml:space="preserve">Alaska, with sites ranging 93 km from the most southern site in Dunbar Inlet up to the most northern site in </w:t>
      </w:r>
      <w:proofErr w:type="spellStart"/>
      <w:r w:rsidRPr="00831A76">
        <w:rPr>
          <w:rFonts w:cs="Times New Roman"/>
        </w:rPr>
        <w:t>Naukati</w:t>
      </w:r>
      <w:proofErr w:type="spellEnd"/>
      <w:r w:rsidRPr="00831A76">
        <w:rPr>
          <w:rFonts w:cs="Times New Roman"/>
        </w:rPr>
        <w:t xml:space="preserve"> Bay (</w:t>
      </w:r>
      <w:r>
        <w:rPr>
          <w:rFonts w:cs="Times New Roman"/>
        </w:rPr>
        <w:t>Figure 1</w:t>
      </w:r>
      <w:r w:rsidRPr="00831A76">
        <w:rPr>
          <w:rFonts w:cs="Times New Roman"/>
        </w:rPr>
        <w:t>). Sites were sampled from April</w:t>
      </w:r>
      <w:r>
        <w:rPr>
          <w:rFonts w:cs="Times New Roman"/>
        </w:rPr>
        <w:t xml:space="preserve"> to </w:t>
      </w:r>
      <w:r w:rsidRPr="00831A76">
        <w:rPr>
          <w:rFonts w:cs="Times New Roman"/>
        </w:rPr>
        <w:t>August during 2017</w:t>
      </w:r>
      <w:r>
        <w:rPr>
          <w:rFonts w:cs="Times New Roman"/>
        </w:rPr>
        <w:t>–</w:t>
      </w:r>
      <w:r w:rsidRPr="00831A76">
        <w:rPr>
          <w:rFonts w:cs="Times New Roman"/>
        </w:rPr>
        <w:t xml:space="preserve">2020. Sites were selected following methods described in Raymond et al. </w:t>
      </w:r>
      <w:r>
        <w:rPr>
          <w:rFonts w:cs="Times New Roman"/>
        </w:rPr>
        <w:t>(</w:t>
      </w:r>
      <w:r w:rsidRPr="00831A76">
        <w:rPr>
          <w:rFonts w:cs="Times New Roman"/>
        </w:rPr>
        <w:t>2021</w:t>
      </w:r>
      <w:r>
        <w:rPr>
          <w:rFonts w:cs="Times New Roman"/>
        </w:rPr>
        <w:t>)</w:t>
      </w:r>
      <w:r w:rsidRPr="00831A76">
        <w:rPr>
          <w:rFonts w:cs="Times New Roman"/>
        </w:rPr>
        <w:t xml:space="preserve">, briefly summarized here. We used the </w:t>
      </w:r>
      <w:proofErr w:type="spellStart"/>
      <w:r w:rsidRPr="00831A76">
        <w:rPr>
          <w:rFonts w:cs="Times New Roman"/>
        </w:rPr>
        <w:t>ShoreZone</w:t>
      </w:r>
      <w:proofErr w:type="spellEnd"/>
      <w:r w:rsidRPr="00831A76">
        <w:rPr>
          <w:rFonts w:cs="Times New Roman"/>
        </w:rPr>
        <w:t xml:space="preserve"> database and site visits to identify coastline segments with 100 m </w:t>
      </w:r>
      <w:r>
        <w:rPr>
          <w:rFonts w:cs="Times New Roman"/>
        </w:rPr>
        <w:t xml:space="preserve">of </w:t>
      </w:r>
      <w:r w:rsidRPr="00831A76">
        <w:rPr>
          <w:rFonts w:cs="Times New Roman"/>
        </w:rPr>
        <w:t>eelgrass  habitat with no overlapping kelp canopy</w:t>
      </w:r>
      <w:r w:rsidRPr="00831A76">
        <w:rPr>
          <w:rFonts w:cs="Times New Roman"/>
          <w:szCs w:val="24"/>
        </w:rPr>
        <w:t xml:space="preserve"> </w:t>
      </w:r>
      <w:r w:rsidRPr="00831A76">
        <w:rPr>
          <w:rFonts w:cs="Times New Roman"/>
          <w:szCs w:val="24"/>
        </w:rPr>
        <w:fldChar w:fldCharType="begin" w:fldLock="1"/>
      </w:r>
      <w:r w:rsidRPr="00831A76">
        <w:rPr>
          <w:rFonts w:cs="Times New Roman"/>
          <w:szCs w:val="24"/>
        </w:rPr>
        <w:instrText xml:space="preserve"> ADDIN ZOTERO_ITEM CSL_CITATION {"citationID":"qsqXcgXp","properties":{"formattedCitation":"(Harper &amp; Morris, 2014; National Oceanic and Atmospheric Administration, 2021)","plainCitation":"(Harper &amp; Morris, 2014; National Oceanic and Atmospheric Administration, 2021)","noteIndex":0},"citationItems":[{"id":"CGAUS6nd/32k3dpNM","uris":["http://www.mendeley.com/documents/?uuid=e4b6ee5d-38a5-3788-bd7d-c652c864b99b"],"uri":["http://www.mendeley.com/documents/?uuid=e4b6ee5d-38a5-3788-bd7d-c652c864b99b"],"itemData":{"author":[{"dropping-particle":"","family":"Harper","given":"J.R.","non-dropping-particle":"","parse-names":false,"suffix":""},{"dropping-particle":"","family":"Morris","given":"Mary","non-dropping-particle":"","parse-names":false,"suffix":""}],"id":"ITEM-1","issued":{"date-parts":[["2014"]]},"title":"Alaska ShoreZone coastal habitat mapping protocol. Nuka Research and Planning Group, LLC","type":"article-journal"}},{"id":32,"uris":["http://zotero.org/users/local/qXwvtp9p/items/BC654S6S"],"uri":["http://zotero.org/users/local/qXwvtp9p/items/BC654S6S"],"itemData":{"id":32,"type":"article-journal","title":"ShoreZone","URL":"https://www.fisheries.noaa.gov/alaska/habitat-conservation/alaska-shorezone","author":[{"literal":"National Oceanic and Atmospheric Administration"}],"issued":{"date-parts":[["2021"]]}}}],"schema":"https://github.com/citation-style-language/schema/raw/master/csl-citation.json"} </w:instrText>
      </w:r>
      <w:r w:rsidRPr="00831A76">
        <w:rPr>
          <w:rFonts w:cs="Times New Roman"/>
          <w:szCs w:val="24"/>
        </w:rPr>
        <w:fldChar w:fldCharType="separate"/>
      </w:r>
      <w:r w:rsidRPr="00831A76">
        <w:rPr>
          <w:rFonts w:cs="Times New Roman"/>
        </w:rPr>
        <w:t>(Harper &amp; Morris, 2014</w:t>
      </w:r>
      <w:r>
        <w:rPr>
          <w:rFonts w:cs="Times New Roman"/>
        </w:rPr>
        <w:t>,</w:t>
      </w:r>
      <w:r w:rsidRPr="00831A76">
        <w:rPr>
          <w:rFonts w:cs="Times New Roman"/>
        </w:rPr>
        <w:t xml:space="preserve"> National Oceanic and Atmospheric Administration, 2021)</w:t>
      </w:r>
      <w:r w:rsidRPr="00831A76">
        <w:rPr>
          <w:rFonts w:cs="Times New Roman"/>
          <w:szCs w:val="24"/>
        </w:rPr>
        <w:fldChar w:fldCharType="end"/>
      </w:r>
      <w:r w:rsidRPr="00831A76">
        <w:rPr>
          <w:rFonts w:cs="Times New Roman"/>
          <w:szCs w:val="24"/>
        </w:rPr>
        <w:t xml:space="preserve">. </w:t>
      </w:r>
      <w:r w:rsidRPr="00831A76">
        <w:rPr>
          <w:rFonts w:cs="Times New Roman"/>
        </w:rPr>
        <w:t xml:space="preserve">Crab abundance and size composition and sea otter density </w:t>
      </w:r>
      <w:r w:rsidRPr="00831A76">
        <w:rPr>
          <w:rFonts w:eastAsia="Times New Roman" w:cs="Times New Roman"/>
          <w:szCs w:val="24"/>
          <w:shd w:val="clear" w:color="auto" w:fill="FDFDFD"/>
        </w:rPr>
        <w:t>were quantified at 21 sites in 2017 and 2020, 22 sites in 2019, and 6 sites in 2018. Eelgrass biometrics were sampled at 21 sites in 2017, 6 sites in 2018, 19 sites in 2019, and 6 sites in 2020 (</w:t>
      </w:r>
      <w:r>
        <w:rPr>
          <w:rFonts w:cs="Times New Roman"/>
        </w:rPr>
        <w:t>Figure 1</w:t>
      </w:r>
      <w:r w:rsidRPr="00831A76">
        <w:rPr>
          <w:rFonts w:eastAsia="Times New Roman" w:cs="Times New Roman"/>
          <w:szCs w:val="24"/>
          <w:shd w:val="clear" w:color="auto" w:fill="FDFDFD"/>
        </w:rPr>
        <w:t xml:space="preserve">). </w:t>
      </w:r>
    </w:p>
    <w:p w:rsidR="00523F0F" w:rsidRDefault="00523F0F" w:rsidP="00E7328D">
      <w:pPr>
        <w:pStyle w:val="Heading2"/>
        <w:rPr>
          <w:rFonts w:eastAsia="Times New Roman" w:cs="Times New Roman"/>
        </w:rPr>
      </w:pPr>
    </w:p>
    <w:p w:rsidR="00E7328D" w:rsidRPr="00831A76" w:rsidRDefault="00E7328D" w:rsidP="00E7328D">
      <w:pPr>
        <w:pStyle w:val="Heading2"/>
        <w:rPr>
          <w:rFonts w:eastAsia="Times New Roman" w:cs="Times New Roman"/>
        </w:rPr>
      </w:pPr>
      <w:r w:rsidRPr="00831A76">
        <w:rPr>
          <w:rFonts w:eastAsia="Times New Roman" w:cs="Times New Roman"/>
        </w:rPr>
        <w:t xml:space="preserve">Eelgrass </w:t>
      </w:r>
      <w:bookmarkEnd w:id="0"/>
      <w:bookmarkEnd w:id="1"/>
      <w:r>
        <w:rPr>
          <w:rFonts w:eastAsia="Times New Roman" w:cs="Times New Roman"/>
        </w:rPr>
        <w:t>shoot density</w:t>
      </w:r>
    </w:p>
    <w:p w:rsidR="00E7328D" w:rsidRDefault="00E7328D" w:rsidP="00E7328D">
      <w:pPr>
        <w:spacing w:before="240" w:after="240" w:line="480" w:lineRule="auto"/>
        <w:ind w:firstLine="720"/>
        <w:rPr>
          <w:rFonts w:eastAsia="Times New Roman" w:cs="Times New Roman"/>
          <w:szCs w:val="24"/>
        </w:rPr>
      </w:pPr>
      <w:r w:rsidRPr="00831A76">
        <w:rPr>
          <w:rFonts w:eastAsia="Times New Roman" w:cs="Times New Roman"/>
          <w:szCs w:val="24"/>
        </w:rPr>
        <w:t>We characterized eelgrass shoot density at sites where crab pot and sea otter surveys were conducted. In 2017, 2018, and 2020 eight 0.5</w:t>
      </w:r>
      <w:r>
        <w:rPr>
          <w:rFonts w:eastAsia="Times New Roman" w:cs="Times New Roman"/>
          <w:szCs w:val="24"/>
        </w:rPr>
        <w:t>-</w:t>
      </w:r>
      <w:r w:rsidRPr="00831A76">
        <w:rPr>
          <w:rFonts w:eastAsia="Times New Roman" w:cs="Times New Roman"/>
          <w:szCs w:val="24"/>
        </w:rPr>
        <w:t>m × 0.5</w:t>
      </w:r>
      <w:r>
        <w:rPr>
          <w:rFonts w:eastAsia="Times New Roman" w:cs="Times New Roman"/>
          <w:szCs w:val="24"/>
        </w:rPr>
        <w:t>-</w:t>
      </w:r>
      <w:r w:rsidRPr="00831A76">
        <w:rPr>
          <w:rFonts w:eastAsia="Times New Roman" w:cs="Times New Roman"/>
          <w:szCs w:val="24"/>
        </w:rPr>
        <w:t>m quadrats were evenly spaced every 12 m along a 100</w:t>
      </w:r>
      <w:r>
        <w:rPr>
          <w:rFonts w:eastAsia="Times New Roman" w:cs="Times New Roman"/>
          <w:szCs w:val="24"/>
        </w:rPr>
        <w:t>-</w:t>
      </w:r>
      <w:r w:rsidRPr="00831A76">
        <w:rPr>
          <w:rFonts w:eastAsia="Times New Roman" w:cs="Times New Roman"/>
          <w:szCs w:val="24"/>
        </w:rPr>
        <w:t>m transect placed approximately -0.5 m relative to MLLW</w:t>
      </w:r>
      <w:r w:rsidR="00523F0F">
        <w:rPr>
          <w:rFonts w:eastAsia="Times New Roman" w:cs="Times New Roman"/>
          <w:szCs w:val="24"/>
        </w:rPr>
        <w:t xml:space="preserve"> (Figure 2)</w:t>
      </w:r>
      <w:r w:rsidRPr="00831A76">
        <w:rPr>
          <w:rFonts w:eastAsia="Times New Roman" w:cs="Times New Roman"/>
          <w:szCs w:val="24"/>
        </w:rPr>
        <w:t xml:space="preserve"> </w:t>
      </w:r>
      <w:r w:rsidRPr="00831A76">
        <w:rPr>
          <w:rFonts w:eastAsia="Times New Roman" w:cs="Times New Roman"/>
          <w:szCs w:val="24"/>
        </w:rPr>
        <w:fldChar w:fldCharType="begin"/>
      </w:r>
      <w:r w:rsidRPr="00831A76">
        <w:rPr>
          <w:rFonts w:eastAsia="Times New Roman" w:cs="Times New Roman"/>
          <w:szCs w:val="24"/>
        </w:rPr>
        <w:instrText xml:space="preserve"> ADDIN ZOTERO_ITEM CSL_CITATION {"citationID":"RnRwhZxg","properties":{"formattedCitation":"(Raymond, Schram, et al., 2021)","plainCitation":"(Raymond, Schram, et al., 2021)","noteIndex":0},"citationItems":[{"id":5,"uris":["http://zotero.org/users/local/qXwvtp9p/items/JLUJCL9Z"],"uri":["http://zotero.org/users/local/qXwvtp9p/items/JLUJCL9Z"],"itemData":{"id":5,"type":"article-journal","abstract":"Previous research in southeast Alaska on the effects of sea otters Enhydra lutris in seagrass Zostera marina communities identified many but not all of the trophic relationships that were predicted by a sea otter-mediated trophic cascade. To further resolve these trophic connections, we compared biomass, carbon (δ 13 C) and nitrogen (δ 15 N) stable isotope (SI), and fatty acid (FA) data from 16 taxa at 3 sites with high and 3 sites with low sea otter density (8.2 and 0.1 sea otters km -2 , respectively). We found lower crab and clam biomass in the high sea otter region but did not detect a difference in biomass of other seagrass community taxa or the overall community isotopic niche space between sea otter regions. Only staghorn sculpin differed in δ 13 C between regions, and Fucus , sugar kelp, butter clams, dock shrimp, and shiner perch differed in δ 15 N. FA analysis indicated multivariate dissimilarity in 11 of the 15 conspecifics between sea otter regions. FA analysis found essential FAs, which consumers must obtain from their diet, including 20:5ω3 (EPA) and 22:6ω3 (DHA), were common in discriminating conspecifics between sea otter regions, suggesting differences in consumer diets. Further FA analysis indicated that many consumers rely on diverse diets, regardless of sea otter region, potentially buffering these consumers from sea otter-mediated changes to diet availability. While sea otters are major consumers in this system, further studies are needed to understand the mechanisms responsible for the differences in biomarkers between regions with and without sea otters.","container-title":"Marine Ecology Progress Series","DOI":"10.3354/MEPS13819","note":"publisher: Inter-Research Science Center","page":"37-58","title":"Sea otter effects on trophic structure of seagrass communities in southeast Alaska","volume":"674","author":[{"family":"Raymond","given":"Wendel W."},{"family":"Schram","given":"Julie B."},{"family":"Eckert","given":"Ginny L."},{"family":"Galloway","given":"Aaron W. E."}],"issued":{"date-parts":[["2021",9]]}}}],"schema":"https://github.com/citation-style-language/schema/raw/master/csl-citation.json"} </w:instrText>
      </w:r>
      <w:r w:rsidRPr="00831A76">
        <w:rPr>
          <w:rFonts w:eastAsia="Times New Roman" w:cs="Times New Roman"/>
          <w:szCs w:val="24"/>
        </w:rPr>
        <w:fldChar w:fldCharType="separate"/>
      </w:r>
      <w:r w:rsidRPr="00831A76">
        <w:rPr>
          <w:rFonts w:cs="Times New Roman"/>
        </w:rPr>
        <w:t>(Raymond</w:t>
      </w:r>
      <w:r>
        <w:rPr>
          <w:rFonts w:cs="Times New Roman"/>
        </w:rPr>
        <w:t xml:space="preserve"> et al.</w:t>
      </w:r>
      <w:r w:rsidRPr="00831A76">
        <w:rPr>
          <w:rFonts w:cs="Times New Roman"/>
        </w:rPr>
        <w:t xml:space="preserve"> 2021)</w:t>
      </w:r>
      <w:r w:rsidRPr="00831A76">
        <w:rPr>
          <w:rFonts w:eastAsia="Times New Roman" w:cs="Times New Roman"/>
          <w:szCs w:val="24"/>
        </w:rPr>
        <w:fldChar w:fldCharType="end"/>
      </w:r>
      <w:r w:rsidRPr="00831A76">
        <w:rPr>
          <w:rFonts w:eastAsia="Times New Roman" w:cs="Times New Roman"/>
          <w:szCs w:val="24"/>
        </w:rPr>
        <w:t xml:space="preserve">. Eelgrass shoots were counted in each quadrat. </w:t>
      </w:r>
      <w:r>
        <w:rPr>
          <w:rFonts w:eastAsia="Times New Roman" w:cs="Times New Roman"/>
          <w:szCs w:val="24"/>
        </w:rPr>
        <w:t>Shoot density</w:t>
      </w:r>
      <w:r w:rsidRPr="00831A76">
        <w:rPr>
          <w:rFonts w:eastAsia="Times New Roman" w:cs="Times New Roman"/>
          <w:szCs w:val="24"/>
        </w:rPr>
        <w:t xml:space="preserve"> was then averaged across the eight quadrats per site. At each site in 2019, five 0.5</w:t>
      </w:r>
      <w:r>
        <w:rPr>
          <w:rFonts w:eastAsia="Times New Roman" w:cs="Times New Roman"/>
          <w:szCs w:val="24"/>
        </w:rPr>
        <w:t>-</w:t>
      </w:r>
      <w:r w:rsidRPr="00831A76">
        <w:rPr>
          <w:rFonts w:eastAsia="Times New Roman" w:cs="Times New Roman"/>
          <w:szCs w:val="24"/>
        </w:rPr>
        <w:t>m x 0.5</w:t>
      </w:r>
      <w:r>
        <w:rPr>
          <w:rFonts w:eastAsia="Times New Roman" w:cs="Times New Roman"/>
          <w:szCs w:val="24"/>
        </w:rPr>
        <w:t>-</w:t>
      </w:r>
      <w:r w:rsidRPr="00831A76">
        <w:rPr>
          <w:rFonts w:eastAsia="Times New Roman" w:cs="Times New Roman"/>
          <w:szCs w:val="24"/>
        </w:rPr>
        <w:t>m quadrats were randomly placed roughly 5-m linear distance below the upper edge of the eelgrass bed at all sites</w:t>
      </w:r>
      <w:r w:rsidR="00523F0F">
        <w:rPr>
          <w:rFonts w:eastAsia="Times New Roman" w:cs="Times New Roman"/>
          <w:szCs w:val="24"/>
        </w:rPr>
        <w:t xml:space="preserve"> (Figure 3)</w:t>
      </w:r>
      <w:r w:rsidRPr="00831A76">
        <w:rPr>
          <w:rFonts w:eastAsia="Times New Roman" w:cs="Times New Roman"/>
          <w:szCs w:val="24"/>
        </w:rPr>
        <w:t>. From each quadrat, eelgrass shoot density w</w:t>
      </w:r>
      <w:r>
        <w:rPr>
          <w:rFonts w:eastAsia="Times New Roman" w:cs="Times New Roman"/>
          <w:szCs w:val="24"/>
        </w:rPr>
        <w:t>as</w:t>
      </w:r>
      <w:r w:rsidRPr="00831A76">
        <w:rPr>
          <w:rFonts w:eastAsia="Times New Roman" w:cs="Times New Roman"/>
          <w:szCs w:val="24"/>
        </w:rPr>
        <w:t xml:space="preserve"> measured.</w:t>
      </w:r>
      <w:r>
        <w:rPr>
          <w:rFonts w:eastAsia="Times New Roman" w:cs="Times New Roman"/>
          <w:szCs w:val="24"/>
        </w:rPr>
        <w:t xml:space="preserve"> Shoot density</w:t>
      </w:r>
      <w:r w:rsidRPr="00831A76">
        <w:rPr>
          <w:rFonts w:eastAsia="Times New Roman" w:cs="Times New Roman"/>
          <w:szCs w:val="24"/>
        </w:rPr>
        <w:t xml:space="preserve"> was then averaged across the </w:t>
      </w:r>
      <w:r>
        <w:rPr>
          <w:rFonts w:eastAsia="Times New Roman" w:cs="Times New Roman"/>
          <w:szCs w:val="24"/>
        </w:rPr>
        <w:t>five</w:t>
      </w:r>
      <w:r w:rsidRPr="00831A76">
        <w:rPr>
          <w:rFonts w:eastAsia="Times New Roman" w:cs="Times New Roman"/>
          <w:szCs w:val="24"/>
        </w:rPr>
        <w:t xml:space="preserve"> quadrats per site</w:t>
      </w:r>
      <w:r>
        <w:rPr>
          <w:rFonts w:eastAsia="Times New Roman" w:cs="Times New Roman"/>
          <w:szCs w:val="24"/>
        </w:rPr>
        <w:t>.</w:t>
      </w:r>
    </w:p>
    <w:p w:rsidR="00523F0F" w:rsidRPr="009E321C" w:rsidRDefault="00523F0F" w:rsidP="00523F0F">
      <w:pPr>
        <w:keepNext/>
        <w:jc w:val="center"/>
        <w:rPr>
          <w:rFonts w:cs="Times New Roman"/>
        </w:rPr>
      </w:pPr>
      <w:r w:rsidRPr="009E321C">
        <w:rPr>
          <w:rFonts w:cs="Times New Roman"/>
          <w:noProof/>
        </w:rPr>
        <w:lastRenderedPageBreak/>
        <w:drawing>
          <wp:inline distT="0" distB="0" distL="0" distR="0" wp14:anchorId="7089A63E" wp14:editId="6BBB7C53">
            <wp:extent cx="4076700" cy="4945214"/>
            <wp:effectExtent l="38100" t="38100" r="38100" b="46355"/>
            <wp:docPr id="7" name="Picture 6">
              <a:extLst xmlns:a="http://schemas.openxmlformats.org/drawingml/2006/main">
                <a:ext uri="{FF2B5EF4-FFF2-40B4-BE49-F238E27FC236}">
                  <a16:creationId xmlns:a16="http://schemas.microsoft.com/office/drawing/2014/main" id="{C0235393-CF31-4B53-B23B-9E7F53B4D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235393-CF31-4B53-B23B-9E7F53B4D207}"/>
                        </a:ext>
                      </a:extLst>
                    </pic:cNvPr>
                    <pic:cNvPicPr>
                      <a:picLocks noChangeAspect="1"/>
                    </pic:cNvPicPr>
                  </pic:nvPicPr>
                  <pic:blipFill>
                    <a:blip r:embed="rId4"/>
                    <a:stretch>
                      <a:fillRect/>
                    </a:stretch>
                  </pic:blipFill>
                  <pic:spPr>
                    <a:xfrm>
                      <a:off x="0" y="0"/>
                      <a:ext cx="4084150" cy="4954251"/>
                    </a:xfrm>
                    <a:prstGeom prst="rect">
                      <a:avLst/>
                    </a:prstGeom>
                    <a:ln w="38100">
                      <a:solidFill>
                        <a:schemeClr val="tx1"/>
                      </a:solidFill>
                    </a:ln>
                  </pic:spPr>
                </pic:pic>
              </a:graphicData>
            </a:graphic>
          </wp:inline>
        </w:drawing>
      </w:r>
    </w:p>
    <w:p w:rsidR="00523F0F" w:rsidRDefault="00523F0F" w:rsidP="00523F0F">
      <w:pPr>
        <w:pStyle w:val="Caption"/>
        <w:rPr>
          <w:rFonts w:cs="Times New Roman"/>
          <w:i w:val="0"/>
          <w:noProof/>
          <w:color w:val="auto"/>
          <w:sz w:val="24"/>
          <w:szCs w:val="24"/>
        </w:rPr>
      </w:pPr>
      <w:r w:rsidRPr="009E321C">
        <w:rPr>
          <w:rFonts w:cs="Times New Roman"/>
          <w:i w:val="0"/>
          <w:color w:val="auto"/>
          <w:sz w:val="24"/>
          <w:szCs w:val="24"/>
        </w:rPr>
        <w:t xml:space="preserve">Figure </w:t>
      </w:r>
      <w:r w:rsidRPr="009E321C">
        <w:rPr>
          <w:rFonts w:cs="Times New Roman"/>
          <w:i w:val="0"/>
          <w:noProof/>
          <w:color w:val="auto"/>
          <w:sz w:val="24"/>
          <w:szCs w:val="24"/>
        </w:rPr>
        <w:t>1 – Study area in Southeast Alaska near Prince of Wales Island. Orange circles indicate sample sites, green triangles indicate sea otter reintroduction sites, and sea otter colonization through time is color coded by year (blue).</w:t>
      </w:r>
    </w:p>
    <w:p w:rsidR="00523F0F" w:rsidRDefault="00523F0F" w:rsidP="00E7328D">
      <w:pPr>
        <w:spacing w:before="240" w:after="240" w:line="480" w:lineRule="auto"/>
        <w:ind w:firstLine="720"/>
        <w:rPr>
          <w:rFonts w:eastAsia="Times New Roman" w:cs="Times New Roman"/>
          <w:szCs w:val="24"/>
        </w:rPr>
      </w:pPr>
    </w:p>
    <w:p w:rsidR="00E7328D" w:rsidRDefault="00E7328D" w:rsidP="00E7328D">
      <w:pPr>
        <w:keepNext/>
        <w:spacing w:before="240" w:after="240" w:line="480" w:lineRule="auto"/>
      </w:pPr>
      <w:r w:rsidRPr="00E7328D">
        <w:rPr>
          <w:rFonts w:eastAsia="Times New Roman" w:cs="Times New Roman"/>
          <w:noProof/>
          <w:szCs w:val="24"/>
        </w:rPr>
        <w:lastRenderedPageBreak/>
        <w:drawing>
          <wp:inline distT="0" distB="0" distL="0" distR="0" wp14:anchorId="255160C0" wp14:editId="29FCEC37">
            <wp:extent cx="5943600" cy="3177540"/>
            <wp:effectExtent l="38100" t="38100" r="38100" b="41910"/>
            <wp:docPr id="8" name="Google Shape;279;p42"/>
            <wp:cNvGraphicFramePr/>
            <a:graphic xmlns:a="http://schemas.openxmlformats.org/drawingml/2006/main">
              <a:graphicData uri="http://schemas.openxmlformats.org/drawingml/2006/picture">
                <pic:pic xmlns:pic="http://schemas.openxmlformats.org/drawingml/2006/picture">
                  <pic:nvPicPr>
                    <pic:cNvPr id="8" name="Google Shape;279;p42"/>
                    <pic:cNvPicPr preferRelativeResize="0"/>
                  </pic:nvPicPr>
                  <pic:blipFill>
                    <a:blip r:embed="rId5" cstate="screen">
                      <a:alphaModFix/>
                      <a:extLst>
                        <a:ext uri="{28A0092B-C50C-407E-A947-70E740481C1C}">
                          <a14:useLocalDpi xmlns:a14="http://schemas.microsoft.com/office/drawing/2010/main"/>
                        </a:ext>
                      </a:extLst>
                    </a:blip>
                    <a:stretch>
                      <a:fillRect/>
                    </a:stretch>
                  </pic:blipFill>
                  <pic:spPr>
                    <a:xfrm>
                      <a:off x="0" y="0"/>
                      <a:ext cx="5943600" cy="3177540"/>
                    </a:xfrm>
                    <a:prstGeom prst="roundRect">
                      <a:avLst/>
                    </a:prstGeom>
                    <a:noFill/>
                    <a:ln w="38100">
                      <a:solidFill>
                        <a:schemeClr val="tx1"/>
                      </a:solidFill>
                    </a:ln>
                  </pic:spPr>
                </pic:pic>
              </a:graphicData>
            </a:graphic>
          </wp:inline>
        </w:drawing>
      </w:r>
    </w:p>
    <w:p w:rsidR="00E7328D" w:rsidRPr="00523F0F" w:rsidRDefault="00E7328D" w:rsidP="00E7328D">
      <w:pPr>
        <w:pStyle w:val="Caption"/>
        <w:rPr>
          <w:rFonts w:eastAsia="Times New Roman" w:cs="Times New Roman"/>
          <w:i w:val="0"/>
          <w:color w:val="auto"/>
          <w:sz w:val="24"/>
          <w:szCs w:val="24"/>
        </w:rPr>
      </w:pPr>
      <w:r w:rsidRPr="00523F0F">
        <w:rPr>
          <w:i w:val="0"/>
          <w:color w:val="auto"/>
          <w:sz w:val="24"/>
          <w:szCs w:val="24"/>
        </w:rPr>
        <w:t xml:space="preserve">Figure </w:t>
      </w:r>
      <w:r w:rsidR="00523F0F">
        <w:rPr>
          <w:i w:val="0"/>
          <w:color w:val="auto"/>
          <w:sz w:val="24"/>
          <w:szCs w:val="24"/>
        </w:rPr>
        <w:t xml:space="preserve">2 </w:t>
      </w:r>
      <w:r w:rsidR="00523F0F" w:rsidRPr="009E321C">
        <w:rPr>
          <w:rFonts w:cs="Times New Roman"/>
          <w:i w:val="0"/>
          <w:noProof/>
          <w:color w:val="auto"/>
          <w:sz w:val="24"/>
          <w:szCs w:val="24"/>
        </w:rPr>
        <w:t xml:space="preserve">– </w:t>
      </w:r>
      <w:r w:rsidRPr="00523F0F">
        <w:rPr>
          <w:i w:val="0"/>
          <w:color w:val="auto"/>
          <w:sz w:val="24"/>
          <w:szCs w:val="24"/>
        </w:rPr>
        <w:t>Raymond et al. 2021 seagrass transect methods characterizing shoot density.</w:t>
      </w:r>
    </w:p>
    <w:p w:rsidR="00B710CB" w:rsidRDefault="00E7328D" w:rsidP="00B710CB">
      <w:pPr>
        <w:keepNext/>
        <w:spacing w:before="240" w:after="240" w:line="480" w:lineRule="auto"/>
      </w:pPr>
      <w:r>
        <w:rPr>
          <w:rFonts w:eastAsia="Times New Roman" w:cs="Times New Roman"/>
          <w:noProof/>
          <w:szCs w:val="24"/>
        </w:rPr>
        <w:drawing>
          <wp:inline distT="0" distB="0" distL="0" distR="0" wp14:anchorId="54470541" wp14:editId="43A176FD">
            <wp:extent cx="436499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4990" cy="3286125"/>
                    </a:xfrm>
                    <a:prstGeom prst="rect">
                      <a:avLst/>
                    </a:prstGeom>
                    <a:noFill/>
                  </pic:spPr>
                </pic:pic>
              </a:graphicData>
            </a:graphic>
          </wp:inline>
        </w:drawing>
      </w:r>
    </w:p>
    <w:p w:rsidR="00E7328D" w:rsidRPr="00523F0F" w:rsidRDefault="00523F0F" w:rsidP="00B710CB">
      <w:pPr>
        <w:pStyle w:val="Caption"/>
        <w:rPr>
          <w:rFonts w:eastAsia="Times New Roman" w:cs="Times New Roman"/>
          <w:i w:val="0"/>
          <w:color w:val="auto"/>
          <w:sz w:val="24"/>
          <w:szCs w:val="24"/>
        </w:rPr>
      </w:pPr>
      <w:r w:rsidRPr="00523F0F">
        <w:rPr>
          <w:i w:val="0"/>
          <w:color w:val="auto"/>
          <w:sz w:val="24"/>
          <w:szCs w:val="24"/>
        </w:rPr>
        <w:t xml:space="preserve">Figure 3 </w:t>
      </w:r>
      <w:r w:rsidRPr="00523F0F">
        <w:rPr>
          <w:rFonts w:cs="Times New Roman"/>
          <w:i w:val="0"/>
          <w:noProof/>
          <w:color w:val="auto"/>
          <w:sz w:val="24"/>
          <w:szCs w:val="24"/>
        </w:rPr>
        <w:t xml:space="preserve">– </w:t>
      </w:r>
      <w:r w:rsidR="00B710CB" w:rsidRPr="00523F0F">
        <w:rPr>
          <w:i w:val="0"/>
          <w:color w:val="auto"/>
          <w:sz w:val="24"/>
          <w:szCs w:val="24"/>
        </w:rPr>
        <w:t>2019 seagrass transect methods characterizing shoot density.</w:t>
      </w:r>
    </w:p>
    <w:p w:rsidR="00E7328D" w:rsidRPr="00E7328D" w:rsidRDefault="00E7328D" w:rsidP="00523F0F">
      <w:pPr>
        <w:pStyle w:val="Heading2"/>
      </w:pPr>
    </w:p>
    <w:p w:rsidR="00E7328D" w:rsidRDefault="00E7328D" w:rsidP="00523F0F">
      <w:pPr>
        <w:pStyle w:val="Heading2"/>
      </w:pPr>
      <w:bookmarkStart w:id="4" w:name="_GoBack"/>
      <w:r>
        <w:t>Literature Cited</w:t>
      </w:r>
    </w:p>
    <w:p w:rsidR="00523F0F" w:rsidRDefault="00523F0F" w:rsidP="00523F0F">
      <w:pPr>
        <w:pStyle w:val="Bibliography"/>
        <w:ind w:left="720"/>
        <w:rPr>
          <w:rFonts w:cs="Times New Roman"/>
          <w:szCs w:val="24"/>
        </w:rPr>
      </w:pPr>
      <w:r w:rsidRPr="00831A76">
        <w:rPr>
          <w:rFonts w:cs="Times New Roman"/>
          <w:szCs w:val="24"/>
        </w:rPr>
        <w:t xml:space="preserve">Harper JR, Morris M (2014) Alaska </w:t>
      </w:r>
      <w:proofErr w:type="spellStart"/>
      <w:r w:rsidRPr="00831A76">
        <w:rPr>
          <w:rFonts w:cs="Times New Roman"/>
          <w:szCs w:val="24"/>
        </w:rPr>
        <w:t>ShoreZone</w:t>
      </w:r>
      <w:proofErr w:type="spellEnd"/>
      <w:r w:rsidRPr="00831A76">
        <w:rPr>
          <w:rFonts w:cs="Times New Roman"/>
          <w:szCs w:val="24"/>
        </w:rPr>
        <w:t xml:space="preserve"> coastal habitat mapping protocol. Nuka Research and Planning Group, LLC.</w:t>
      </w:r>
    </w:p>
    <w:p w:rsidR="00523F0F" w:rsidRPr="00831A76" w:rsidRDefault="00523F0F" w:rsidP="00523F0F">
      <w:pPr>
        <w:pStyle w:val="Bibliography"/>
        <w:ind w:firstLine="720"/>
        <w:rPr>
          <w:rFonts w:cs="Times New Roman"/>
          <w:szCs w:val="24"/>
        </w:rPr>
      </w:pPr>
      <w:r w:rsidRPr="00831A76">
        <w:rPr>
          <w:rFonts w:cs="Times New Roman"/>
          <w:szCs w:val="24"/>
        </w:rPr>
        <w:t xml:space="preserve">National Oceanic and Atmospheric Administration (2021) </w:t>
      </w:r>
      <w:proofErr w:type="spellStart"/>
      <w:r w:rsidRPr="00831A76">
        <w:rPr>
          <w:rFonts w:cs="Times New Roman"/>
          <w:szCs w:val="24"/>
        </w:rPr>
        <w:t>ShoreZone</w:t>
      </w:r>
      <w:proofErr w:type="spellEnd"/>
      <w:r w:rsidRPr="00831A76">
        <w:rPr>
          <w:rFonts w:cs="Times New Roman"/>
          <w:szCs w:val="24"/>
        </w:rPr>
        <w:t>.</w:t>
      </w:r>
    </w:p>
    <w:p w:rsidR="00523F0F" w:rsidRDefault="00523F0F" w:rsidP="00523F0F">
      <w:pPr>
        <w:pStyle w:val="Bibliography"/>
        <w:ind w:left="720"/>
        <w:rPr>
          <w:rFonts w:cs="Times New Roman"/>
          <w:szCs w:val="24"/>
        </w:rPr>
      </w:pPr>
      <w:r w:rsidRPr="00831A76">
        <w:rPr>
          <w:rFonts w:cs="Times New Roman"/>
          <w:szCs w:val="24"/>
        </w:rPr>
        <w:t xml:space="preserve">Raymond WW, Hughes BB, Stephens TA, Mattson CR, </w:t>
      </w:r>
      <w:proofErr w:type="spellStart"/>
      <w:r w:rsidRPr="00831A76">
        <w:rPr>
          <w:rFonts w:cs="Times New Roman"/>
          <w:szCs w:val="24"/>
        </w:rPr>
        <w:t>Bolwerk</w:t>
      </w:r>
      <w:proofErr w:type="spellEnd"/>
      <w:r w:rsidRPr="00831A76">
        <w:rPr>
          <w:rFonts w:cs="Times New Roman"/>
          <w:szCs w:val="24"/>
        </w:rPr>
        <w:t xml:space="preserve"> AT, Eckert GL (2021) Testing the generality of sea otter-mediated trophic cascades in seagr</w:t>
      </w:r>
      <w:r>
        <w:rPr>
          <w:rFonts w:cs="Times New Roman"/>
          <w:szCs w:val="24"/>
        </w:rPr>
        <w:t xml:space="preserve">ass meadows. </w:t>
      </w:r>
      <w:proofErr w:type="spellStart"/>
      <w:r>
        <w:rPr>
          <w:rFonts w:cs="Times New Roman"/>
          <w:szCs w:val="24"/>
        </w:rPr>
        <w:t>Oikos</w:t>
      </w:r>
      <w:proofErr w:type="spellEnd"/>
      <w:r>
        <w:rPr>
          <w:rFonts w:cs="Times New Roman"/>
          <w:szCs w:val="24"/>
        </w:rPr>
        <w:t xml:space="preserve"> 130:725–738.</w:t>
      </w:r>
    </w:p>
    <w:bookmarkEnd w:id="4"/>
    <w:p w:rsidR="00523F0F" w:rsidRPr="00523F0F" w:rsidRDefault="00523F0F" w:rsidP="00523F0F"/>
    <w:p w:rsidR="00E7328D" w:rsidRDefault="00E7328D" w:rsidP="00E7328D">
      <w:pPr>
        <w:spacing w:before="240" w:after="240" w:line="480" w:lineRule="auto"/>
        <w:rPr>
          <w:rFonts w:eastAsia="Times New Roman" w:cs="Times New Roman"/>
          <w:szCs w:val="24"/>
        </w:rPr>
      </w:pPr>
    </w:p>
    <w:p w:rsidR="00E7328D" w:rsidRPr="00831A76" w:rsidRDefault="00E7328D" w:rsidP="00E7328D">
      <w:pPr>
        <w:spacing w:before="240" w:after="240" w:line="480" w:lineRule="auto"/>
        <w:rPr>
          <w:rFonts w:eastAsia="Times New Roman" w:cs="Times New Roman"/>
          <w:szCs w:val="24"/>
        </w:rPr>
      </w:pPr>
    </w:p>
    <w:p w:rsidR="00560F6D" w:rsidRDefault="00523F0F"/>
    <w:sectPr w:rsidR="00560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28D"/>
    <w:rsid w:val="00523F0F"/>
    <w:rsid w:val="008B2A36"/>
    <w:rsid w:val="00B63F6F"/>
    <w:rsid w:val="00B710CB"/>
    <w:rsid w:val="00E73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3E09"/>
  <w15:chartTrackingRefBased/>
  <w15:docId w15:val="{23B2B9EA-63DB-4377-B6CA-7D9352A48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28D"/>
    <w:pPr>
      <w:spacing w:after="200" w:line="276" w:lineRule="auto"/>
    </w:pPr>
    <w:rPr>
      <w:rFonts w:ascii="Times New Roman" w:hAnsi="Times New Roman"/>
      <w:sz w:val="24"/>
    </w:rPr>
  </w:style>
  <w:style w:type="paragraph" w:styleId="Heading2">
    <w:name w:val="heading 2"/>
    <w:basedOn w:val="Normal"/>
    <w:next w:val="Normal"/>
    <w:link w:val="Heading2Char"/>
    <w:uiPriority w:val="9"/>
    <w:unhideWhenUsed/>
    <w:qFormat/>
    <w:rsid w:val="00E7328D"/>
    <w:pPr>
      <w:keepNext/>
      <w:keepLines/>
      <w:spacing w:before="240" w:after="24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328D"/>
    <w:rPr>
      <w:rFonts w:ascii="Times New Roman" w:eastAsiaTheme="majorEastAsia" w:hAnsi="Times New Roman" w:cstheme="majorBidi"/>
      <w:i/>
      <w:sz w:val="24"/>
      <w:szCs w:val="26"/>
    </w:rPr>
  </w:style>
  <w:style w:type="paragraph" w:styleId="BalloonText">
    <w:name w:val="Balloon Text"/>
    <w:basedOn w:val="Normal"/>
    <w:link w:val="BalloonTextChar"/>
    <w:uiPriority w:val="99"/>
    <w:semiHidden/>
    <w:unhideWhenUsed/>
    <w:rsid w:val="00E73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28D"/>
    <w:rPr>
      <w:rFonts w:ascii="Segoe UI" w:hAnsi="Segoe UI" w:cs="Segoe UI"/>
      <w:sz w:val="18"/>
      <w:szCs w:val="18"/>
    </w:rPr>
  </w:style>
  <w:style w:type="paragraph" w:styleId="Bibliography">
    <w:name w:val="Bibliography"/>
    <w:basedOn w:val="Normal"/>
    <w:next w:val="Normal"/>
    <w:uiPriority w:val="37"/>
    <w:semiHidden/>
    <w:unhideWhenUsed/>
    <w:rsid w:val="00E7328D"/>
  </w:style>
  <w:style w:type="paragraph" w:styleId="Caption">
    <w:name w:val="caption"/>
    <w:basedOn w:val="Normal"/>
    <w:next w:val="Normal"/>
    <w:uiPriority w:val="35"/>
    <w:unhideWhenUsed/>
    <w:qFormat/>
    <w:rsid w:val="00E7328D"/>
    <w:pPr>
      <w:spacing w:line="240" w:lineRule="auto"/>
    </w:pPr>
    <w:rPr>
      <w:i/>
      <w:iCs/>
      <w:color w:val="44546A" w:themeColor="text2"/>
      <w:sz w:val="18"/>
      <w:szCs w:val="18"/>
    </w:rPr>
  </w:style>
  <w:style w:type="paragraph" w:styleId="ListParagraph">
    <w:name w:val="List Paragraph"/>
    <w:basedOn w:val="Normal"/>
    <w:uiPriority w:val="34"/>
    <w:qFormat/>
    <w:rsid w:val="00523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Rebecca.Cates</dc:creator>
  <cp:keywords/>
  <dc:description/>
  <cp:lastModifiedBy>Rebecca.Cates</cp:lastModifiedBy>
  <cp:revision>2</cp:revision>
  <dcterms:created xsi:type="dcterms:W3CDTF">2023-03-28T23:29:00Z</dcterms:created>
  <dcterms:modified xsi:type="dcterms:W3CDTF">2023-03-29T00:05:00Z</dcterms:modified>
</cp:coreProperties>
</file>