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636" w:rsidRPr="005E6636" w:rsidRDefault="005E6636" w:rsidP="005E6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Executive Report — Advanced Social Media Marketing Performance Analysis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636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Multi-Channel Social Media Marketing Optimization: Improving Conversion Efficiency While Maximizing ROAS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636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The business is experiencing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inconsistent marketing profitability across campaign types and channels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>, where increases in traffic and engagement do not consistently translate into stronger conversion performance or improved ROAS. Leadership needs a data-driven strategy to optimize campaign allocation, reduce inefficient spend, and improve customer acquisition profitability.</w:t>
      </w:r>
    </w:p>
    <w:p w:rsidR="005E6636" w:rsidRPr="005E6636" w:rsidRDefault="005E6636" w:rsidP="005E6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Executive Summary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Analysis of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20,000 campaign records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across multiple marketing channels identified significant performance differences between campaign strategies, customer segments, and acquisition channels.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Key Findings:</w:t>
      </w:r>
    </w:p>
    <w:p w:rsidR="005E6636" w:rsidRPr="005E6636" w:rsidRDefault="005E6636" w:rsidP="005E6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Conversion (7.56 ROAS)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Retargeting</w:t>
      </w:r>
      <w:proofErr w:type="gramEnd"/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(6.16 ROAS)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campaigns significantly outperform upper-funnel campaigns. </w:t>
      </w:r>
    </w:p>
    <w:p w:rsidR="005E6636" w:rsidRPr="005E6636" w:rsidRDefault="005E6636" w:rsidP="005E6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Over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1.2B impressions generated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, but funnel efficiency declines sharply into conversions. </w:t>
      </w:r>
    </w:p>
    <w:p w:rsidR="005E6636" w:rsidRPr="005E6636" w:rsidRDefault="005E6636" w:rsidP="005E6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 shows almost no correlation to conversions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36">
        <w:rPr>
          <w:rFonts w:ascii="Times New Roman" w:eastAsia="Times New Roman" w:hAnsi="Times New Roman" w:cs="Times New Roman"/>
          <w:i/>
          <w:iCs/>
          <w:sz w:val="24"/>
          <w:szCs w:val="24"/>
        </w:rPr>
        <w:t>(correlation = 0.002)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, proving that high engagement does not necessarily drive sales. </w:t>
      </w:r>
    </w:p>
    <w:p w:rsidR="005E6636" w:rsidRPr="005E6636" w:rsidRDefault="005E6636" w:rsidP="005E6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High Value customers generate 4.62x CLV-to-CAC ratio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, making them the most profitable segment. </w:t>
      </w:r>
    </w:p>
    <w:p w:rsidR="005E6636" w:rsidRPr="005E6636" w:rsidRDefault="005E6636" w:rsidP="005E66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TikTok</w:t>
      </w:r>
      <w:proofErr w:type="spellEnd"/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delivers strongest ROAS (5.47)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among all channels, while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LinkedIn underperforms (1.87 ROAS)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E6636" w:rsidRPr="005E6636" w:rsidRDefault="005E6636" w:rsidP="005E6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Chart Analysis &amp; Business Insights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636">
        <w:rPr>
          <w:rFonts w:ascii="Times New Roman" w:eastAsia="Times New Roman" w:hAnsi="Times New Roman" w:cs="Times New Roman"/>
          <w:b/>
          <w:bCs/>
          <w:sz w:val="36"/>
          <w:szCs w:val="36"/>
        </w:rPr>
        <w:t>Chart 1 — Campaign Type vs ROAS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Results</w:t>
      </w:r>
    </w:p>
    <w:p w:rsidR="005E6636" w:rsidRPr="005E6636" w:rsidRDefault="005E6636" w:rsidP="005E66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Conversion: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7.56 ROAS </w:t>
      </w:r>
    </w:p>
    <w:p w:rsidR="005E6636" w:rsidRPr="005E6636" w:rsidRDefault="005E6636" w:rsidP="005E66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Retargeting: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6.16 ROAS </w:t>
      </w:r>
    </w:p>
    <w:p w:rsidR="005E6636" w:rsidRPr="005E6636" w:rsidRDefault="005E6636" w:rsidP="005E66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Traffic: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2.47 ROAS </w:t>
      </w:r>
    </w:p>
    <w:p w:rsidR="005E6636" w:rsidRPr="005E6636" w:rsidRDefault="005E6636" w:rsidP="005E66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Engagement: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1.98 ROAS </w:t>
      </w:r>
    </w:p>
    <w:p w:rsidR="005E6636" w:rsidRPr="005E6636" w:rsidRDefault="005E6636" w:rsidP="005E66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Awareness: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1.35 ROAS 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Lower-funnel campaigns (Conversion &amp; Retargeting) are generating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3–5x higher returns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than Awareness and Engagement campaigns.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This indicates that the business is likely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overinvesting in top-of-funnel campaigns with weak short-term profitability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Reallocate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20–30% of Awareness and Engagement budget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into Conversion and Retargeting campaigns.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Business Impact</w:t>
      </w:r>
    </w:p>
    <w:p w:rsidR="005E6636" w:rsidRPr="005E6636" w:rsidRDefault="005E6636" w:rsidP="005E66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+25–40% increase in blended ROAS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636" w:rsidRPr="005E6636" w:rsidRDefault="005E6636" w:rsidP="005E66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15–20% reduction in wasted spend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636" w:rsidRPr="005E6636" w:rsidRDefault="005E6636" w:rsidP="005E66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Faster revenue generation from existing audiences 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Risk if Not Implemented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Continued overspending on low-performing campaigns may suppress profitability and increase CAC over time.</w:t>
      </w:r>
    </w:p>
    <w:p w:rsidR="005E6636" w:rsidRPr="005E6636" w:rsidRDefault="005E6636" w:rsidP="005E6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636">
        <w:rPr>
          <w:rFonts w:ascii="Times New Roman" w:eastAsia="Times New Roman" w:hAnsi="Times New Roman" w:cs="Times New Roman"/>
          <w:b/>
          <w:bCs/>
          <w:sz w:val="36"/>
          <w:szCs w:val="36"/>
        </w:rPr>
        <w:t>Chart 2 — Funnel Analysis (Impressions → Clicks → Engagement → Conversions)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:rsidR="005E6636" w:rsidRPr="005E6636" w:rsidRDefault="005E6636" w:rsidP="005E66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1.20B Impressions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636" w:rsidRPr="005E6636" w:rsidRDefault="005E6636" w:rsidP="005E66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44.7M Clicks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636" w:rsidRPr="005E6636" w:rsidRDefault="005E6636" w:rsidP="005E66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47.1M Engagements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636" w:rsidRPr="005E6636" w:rsidRDefault="005E6636" w:rsidP="005E66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158.9K Conversions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Insight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The marketing engine is highly effective at generating visibility and engagement but experiences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major drop-off at conversion stage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>, indicating poor funnel efficiency.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This suggests:</w:t>
      </w:r>
    </w:p>
    <w:p w:rsidR="005E6636" w:rsidRPr="005E6636" w:rsidRDefault="005E6636" w:rsidP="005E66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Weak landing page optimization </w:t>
      </w:r>
    </w:p>
    <w:p w:rsidR="005E6636" w:rsidRPr="005E6636" w:rsidRDefault="005E6636" w:rsidP="005E66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Ineffective call-to-actions </w:t>
      </w:r>
    </w:p>
    <w:p w:rsidR="005E6636" w:rsidRPr="005E6636" w:rsidRDefault="005E6636" w:rsidP="005E66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Poor retargeting strategy 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5E6636" w:rsidRPr="005E6636" w:rsidRDefault="005E6636" w:rsidP="005E66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Retargeting automation </w:t>
      </w:r>
    </w:p>
    <w:p w:rsidR="005E6636" w:rsidRPr="005E6636" w:rsidRDefault="005E6636" w:rsidP="005E66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Landing page A/B testing </w:t>
      </w:r>
    </w:p>
    <w:p w:rsidR="005E6636" w:rsidRPr="005E6636" w:rsidRDefault="005E6636" w:rsidP="005E66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Simplified conversion journey 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Business Impact</w:t>
      </w:r>
    </w:p>
    <w:p w:rsidR="005E6636" w:rsidRPr="005E6636" w:rsidRDefault="005E6636" w:rsidP="005E66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+10–20% conversion rate improvement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636" w:rsidRPr="005E6636" w:rsidRDefault="005E6636" w:rsidP="005E66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15–25% CAC reduction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636" w:rsidRPr="005E6636" w:rsidRDefault="005E6636" w:rsidP="005E66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Higher monetization of existing traffic 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Risk if Not Implemented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High acquisition spend will continue producing traffic without proportional revenue growth.</w:t>
      </w:r>
    </w:p>
    <w:p w:rsidR="005E6636" w:rsidRPr="005E6636" w:rsidRDefault="005E6636" w:rsidP="005E6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636">
        <w:rPr>
          <w:rFonts w:ascii="Times New Roman" w:eastAsia="Times New Roman" w:hAnsi="Times New Roman" w:cs="Times New Roman"/>
          <w:b/>
          <w:bCs/>
          <w:sz w:val="36"/>
          <w:szCs w:val="36"/>
        </w:rPr>
        <w:t>Chart 3 — Customer Segment vs CLV-to-CAC Ratio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802"/>
      </w:tblGrid>
      <w:tr w:rsidR="005E6636" w:rsidRPr="005E6636" w:rsidTr="005E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CLV:CAC Ratio</w:t>
            </w:r>
          </w:p>
        </w:tc>
      </w:tr>
      <w:tr w:rsidR="005E6636" w:rsidRPr="005E6636" w:rsidTr="005E6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High Value</w:t>
            </w:r>
          </w:p>
        </w:tc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4.62x</w:t>
            </w:r>
          </w:p>
        </w:tc>
      </w:tr>
      <w:tr w:rsidR="005E6636" w:rsidRPr="005E6636" w:rsidTr="005E6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Gen X</w:t>
            </w:r>
          </w:p>
        </w:tc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3.82x</w:t>
            </w:r>
          </w:p>
        </w:tc>
      </w:tr>
      <w:tr w:rsidR="005E6636" w:rsidRPr="005E6636" w:rsidTr="005E6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Millennials</w:t>
            </w:r>
          </w:p>
        </w:tc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2.95x</w:t>
            </w:r>
          </w:p>
        </w:tc>
      </w:tr>
      <w:tr w:rsidR="005E6636" w:rsidRPr="005E6636" w:rsidTr="005E6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Gen Z</w:t>
            </w:r>
          </w:p>
        </w:tc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2.29x</w:t>
            </w:r>
          </w:p>
        </w:tc>
      </w:tr>
      <w:tr w:rsidR="005E6636" w:rsidRPr="005E6636" w:rsidTr="005E6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Low Value</w:t>
            </w:r>
          </w:p>
        </w:tc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1.52x</w:t>
            </w:r>
          </w:p>
        </w:tc>
      </w:tr>
    </w:tbl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High Value customers are significantly more profitable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, generating over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4.6x return on acquisition cost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>, while Low Value customers barely recover acquisition investment.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Increase targeting budget toward:</w:t>
      </w:r>
    </w:p>
    <w:p w:rsidR="005E6636" w:rsidRPr="005E6636" w:rsidRDefault="005E6636" w:rsidP="005E66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High Value </w:t>
      </w:r>
    </w:p>
    <w:p w:rsidR="005E6636" w:rsidRPr="005E6636" w:rsidRDefault="005E6636" w:rsidP="005E66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Gen X </w:t>
      </w:r>
    </w:p>
    <w:p w:rsidR="005E6636" w:rsidRPr="005E6636" w:rsidRDefault="005E6636" w:rsidP="005E66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Millennials 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Reduce acquisition focus on Low Value segments.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Business Impact</w:t>
      </w:r>
    </w:p>
    <w:p w:rsidR="005E6636" w:rsidRPr="005E6636" w:rsidRDefault="005E6636" w:rsidP="005E66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20–35% increase in marketing efficiency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636" w:rsidRPr="005E6636" w:rsidRDefault="005E6636" w:rsidP="005E66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Higher long-term revenue per customer </w:t>
      </w:r>
    </w:p>
    <w:p w:rsidR="005E6636" w:rsidRPr="005E6636" w:rsidRDefault="005E6636" w:rsidP="005E66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Better customer profitability 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Risk if Not Implemented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Budget inefficiency and rising CAC due to overspending on low-value segments.</w:t>
      </w:r>
    </w:p>
    <w:p w:rsidR="005E6636" w:rsidRPr="005E6636" w:rsidRDefault="005E6636" w:rsidP="005E6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636">
        <w:rPr>
          <w:rFonts w:ascii="Times New Roman" w:eastAsia="Times New Roman" w:hAnsi="Times New Roman" w:cs="Times New Roman"/>
          <w:b/>
          <w:bCs/>
          <w:sz w:val="36"/>
          <w:szCs w:val="36"/>
        </w:rPr>
        <w:t>Chart 4 — Engagement vs Conversion Relationship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 = 0.002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There is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virtually no relationship between engagement and conversions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5E6636" w:rsidRPr="005E6636" w:rsidRDefault="005E6636" w:rsidP="005E66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High likes, comments, and shares are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not translating into sales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The company is potentially prioritizing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vanity metrics over business outcomes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Shift campaign optimization toward:</w:t>
      </w:r>
    </w:p>
    <w:p w:rsidR="005E6636" w:rsidRPr="005E6636" w:rsidRDefault="005E6636" w:rsidP="005E66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Conversion rate </w:t>
      </w:r>
    </w:p>
    <w:p w:rsidR="005E6636" w:rsidRPr="005E6636" w:rsidRDefault="005E6636" w:rsidP="005E66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ROAS </w:t>
      </w:r>
    </w:p>
    <w:p w:rsidR="005E6636" w:rsidRPr="005E6636" w:rsidRDefault="005E6636" w:rsidP="005E66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CAC efficiency 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5E6636" w:rsidRPr="005E6636" w:rsidRDefault="005E6636" w:rsidP="005E66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Likes </w:t>
      </w:r>
    </w:p>
    <w:p w:rsidR="005E6636" w:rsidRPr="005E6636" w:rsidRDefault="005E6636" w:rsidP="005E66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Comments </w:t>
      </w:r>
    </w:p>
    <w:p w:rsidR="005E6636" w:rsidRPr="005E6636" w:rsidRDefault="005E6636" w:rsidP="005E66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Shares 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Business Impact</w:t>
      </w:r>
    </w:p>
    <w:p w:rsidR="005E6636" w:rsidRPr="005E6636" w:rsidRDefault="005E6636" w:rsidP="005E66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Better ROI visibility </w:t>
      </w:r>
    </w:p>
    <w:p w:rsidR="005E6636" w:rsidRPr="005E6636" w:rsidRDefault="005E6636" w:rsidP="005E66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Improved ad efficiency </w:t>
      </w:r>
    </w:p>
    <w:p w:rsidR="005E6636" w:rsidRPr="005E6636" w:rsidRDefault="005E6636" w:rsidP="005E66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More profitable campaign optimization 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Risk if Not Implemented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Marketing teams may continue optimizing for engagement while revenue stagnates.</w:t>
      </w:r>
    </w:p>
    <w:p w:rsidR="005E6636" w:rsidRPr="005E6636" w:rsidRDefault="005E6636" w:rsidP="005E6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636">
        <w:rPr>
          <w:rFonts w:ascii="Times New Roman" w:eastAsia="Times New Roman" w:hAnsi="Times New Roman" w:cs="Times New Roman"/>
          <w:b/>
          <w:bCs/>
          <w:sz w:val="36"/>
          <w:szCs w:val="36"/>
        </w:rPr>
        <w:t>Chart 5 — Channel Performance (ROAS &amp; Conversions)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42"/>
      </w:tblGrid>
      <w:tr w:rsidR="005E6636" w:rsidRPr="005E6636" w:rsidTr="005E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ROAS</w:t>
            </w:r>
          </w:p>
        </w:tc>
      </w:tr>
      <w:tr w:rsidR="005E6636" w:rsidRPr="005E6636" w:rsidTr="005E6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TikTok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5.47</w:t>
            </w:r>
          </w:p>
        </w:tc>
      </w:tr>
      <w:tr w:rsidR="005E6636" w:rsidRPr="005E6636" w:rsidTr="005E6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4.93</w:t>
            </w:r>
          </w:p>
        </w:tc>
      </w:tr>
      <w:tr w:rsidR="005E6636" w:rsidRPr="005E6636" w:rsidTr="005E6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4.05</w:t>
            </w:r>
          </w:p>
        </w:tc>
      </w:tr>
      <w:tr w:rsidR="005E6636" w:rsidRPr="005E6636" w:rsidTr="005E6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3.21</w:t>
            </w:r>
          </w:p>
        </w:tc>
      </w:tr>
      <w:tr w:rsidR="005E6636" w:rsidRPr="005E6636" w:rsidTr="005E66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:rsidR="005E6636" w:rsidRPr="005E6636" w:rsidRDefault="005E6636" w:rsidP="005E66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636">
              <w:rPr>
                <w:rFonts w:ascii="Times New Roman" w:eastAsia="Times New Roman" w:hAnsi="Times New Roman" w:cs="Times New Roman"/>
                <w:sz w:val="24"/>
                <w:szCs w:val="24"/>
              </w:rPr>
              <w:t>1.87</w:t>
            </w:r>
          </w:p>
        </w:tc>
      </w:tr>
    </w:tbl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TikTok</w:t>
      </w:r>
      <w:proofErr w:type="spellEnd"/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YouTube outperform all channels in profitability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>, while LinkedIn produces weak financial returns.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Reallocate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15–25% of LinkedIn budget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toward </w:t>
      </w:r>
      <w:proofErr w:type="spellStart"/>
      <w:r w:rsidRPr="005E6636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and YouTube.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Business Impact</w:t>
      </w:r>
    </w:p>
    <w:p w:rsidR="005E6636" w:rsidRPr="005E6636" w:rsidRDefault="005E6636" w:rsidP="005E66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+20–30% improvement in overall ROAS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636" w:rsidRPr="005E6636" w:rsidRDefault="005E6636" w:rsidP="005E66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Increased conversion efficiency </w:t>
      </w:r>
    </w:p>
    <w:p w:rsidR="005E6636" w:rsidRPr="005E6636" w:rsidRDefault="005E6636" w:rsidP="005E66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Lower acquisition costs 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Risk if Not Implemented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Continued inefficient spending on low-performing acquisition channels.</w:t>
      </w:r>
    </w:p>
    <w:p w:rsidR="005E6636" w:rsidRPr="005E6636" w:rsidRDefault="005E6636" w:rsidP="005E6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636">
        <w:rPr>
          <w:rFonts w:ascii="Times New Roman" w:eastAsia="Times New Roman" w:hAnsi="Times New Roman" w:cs="Times New Roman"/>
          <w:b/>
          <w:bCs/>
          <w:sz w:val="36"/>
          <w:szCs w:val="36"/>
        </w:rPr>
        <w:t>Chart 6 — Revenue Over Time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Revenue volatility suggests inconsistent campaign optimization and potentially ineffective spend allocation across periods.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Introduce:</w:t>
      </w:r>
    </w:p>
    <w:p w:rsidR="005E6636" w:rsidRPr="005E6636" w:rsidRDefault="005E6636" w:rsidP="005E66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Monthly ROAS monitoring </w:t>
      </w:r>
    </w:p>
    <w:p w:rsidR="005E6636" w:rsidRPr="005E6636" w:rsidRDefault="005E6636" w:rsidP="005E66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Budget optimization model </w:t>
      </w:r>
    </w:p>
    <w:p w:rsidR="005E6636" w:rsidRPr="005E6636" w:rsidRDefault="005E6636" w:rsidP="005E66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Campaign performance forecasting 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Business Impact</w:t>
      </w:r>
    </w:p>
    <w:p w:rsidR="005E6636" w:rsidRPr="005E6636" w:rsidRDefault="005E6636" w:rsidP="005E66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More predictable revenue growth </w:t>
      </w:r>
    </w:p>
    <w:p w:rsidR="005E6636" w:rsidRPr="005E6636" w:rsidRDefault="005E6636" w:rsidP="005E66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Better spend efficiency </w:t>
      </w:r>
    </w:p>
    <w:p w:rsidR="005E6636" w:rsidRPr="005E6636" w:rsidRDefault="005E6636" w:rsidP="005E66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Reduced revenue volatility 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>Risk if Not Implemented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Revenue instability may continue, limiting growth scalability.</w:t>
      </w:r>
    </w:p>
    <w:p w:rsidR="005E6636" w:rsidRPr="005E6636" w:rsidRDefault="005E6636" w:rsidP="005E6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6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Strategic Recommendation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>The strongest growth opportunity lies in: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Scaling Conversion + Retargeting campaigns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✔</w:t>
      </w: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Prioritizing High-Value customer segments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Reducing spend on Awareness &amp; LinkedIn campaigns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6636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5E663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Optimizing conversion funnel instead of engagement metrics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636">
        <w:rPr>
          <w:rFonts w:ascii="Times New Roman" w:eastAsia="Times New Roman" w:hAnsi="Times New Roman" w:cs="Times New Roman"/>
          <w:b/>
          <w:bCs/>
          <w:sz w:val="36"/>
          <w:szCs w:val="36"/>
        </w:rPr>
        <w:t>Estimated Business Impact if Fully Implemented</w:t>
      </w:r>
    </w:p>
    <w:p w:rsidR="005E6636" w:rsidRPr="005E6636" w:rsidRDefault="005E6636" w:rsidP="005E66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ROAS improvement: +30–45%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636" w:rsidRPr="005E6636" w:rsidRDefault="005E6636" w:rsidP="005E66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Segoe UI Symbol" w:eastAsia="Times New Roman" w:hAnsi="Segoe UI Symbol" w:cs="Segoe UI Symbol"/>
          <w:sz w:val="24"/>
          <w:szCs w:val="24"/>
        </w:rPr>
        <w:t>📉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CAC reduction: 15–25%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636" w:rsidRPr="005E6636" w:rsidRDefault="005E6636" w:rsidP="005E66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Revenue uplift: +20–35%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636" w:rsidRPr="005E6636" w:rsidRDefault="005E6636" w:rsidP="005E66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Conversion improvement: +10–20%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6636" w:rsidRPr="005E6636" w:rsidRDefault="005E6636" w:rsidP="005E6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6636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5E6636" w:rsidRPr="005E6636" w:rsidRDefault="005E6636" w:rsidP="005E6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636">
        <w:rPr>
          <w:rFonts w:ascii="Times New Roman" w:eastAsia="Times New Roman" w:hAnsi="Times New Roman" w:cs="Times New Roman"/>
          <w:sz w:val="24"/>
          <w:szCs w:val="24"/>
        </w:rPr>
        <w:t xml:space="preserve">The analysis shows the business can substantially improve profitability by shifting from </w:t>
      </w:r>
      <w:r w:rsidRPr="005E6636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engagement-focused marketing to conversion-focused optimization</w:t>
      </w:r>
      <w:r w:rsidRPr="005E6636">
        <w:rPr>
          <w:rFonts w:ascii="Times New Roman" w:eastAsia="Times New Roman" w:hAnsi="Times New Roman" w:cs="Times New Roman"/>
          <w:sz w:val="24"/>
          <w:szCs w:val="24"/>
        </w:rPr>
        <w:t>, prioritizing high-value customer acquisition and reallocating spend toward high-performing campaign types and channels.</w:t>
      </w:r>
    </w:p>
    <w:p w:rsidR="00DC021C" w:rsidRDefault="00DC021C">
      <w:bookmarkStart w:id="0" w:name="_GoBack"/>
      <w:bookmarkEnd w:id="0"/>
    </w:p>
    <w:sectPr w:rsidR="00DC0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41595"/>
    <w:multiLevelType w:val="multilevel"/>
    <w:tmpl w:val="521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0323B"/>
    <w:multiLevelType w:val="multilevel"/>
    <w:tmpl w:val="6904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76D42"/>
    <w:multiLevelType w:val="multilevel"/>
    <w:tmpl w:val="A0A0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E0067"/>
    <w:multiLevelType w:val="multilevel"/>
    <w:tmpl w:val="46A6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065ED"/>
    <w:multiLevelType w:val="multilevel"/>
    <w:tmpl w:val="12C4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80D1D"/>
    <w:multiLevelType w:val="multilevel"/>
    <w:tmpl w:val="85A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145AD"/>
    <w:multiLevelType w:val="multilevel"/>
    <w:tmpl w:val="8402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F4E2C"/>
    <w:multiLevelType w:val="multilevel"/>
    <w:tmpl w:val="4E12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71A3A"/>
    <w:multiLevelType w:val="multilevel"/>
    <w:tmpl w:val="B040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445B1"/>
    <w:multiLevelType w:val="multilevel"/>
    <w:tmpl w:val="9578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D761B"/>
    <w:multiLevelType w:val="multilevel"/>
    <w:tmpl w:val="964C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452A1"/>
    <w:multiLevelType w:val="multilevel"/>
    <w:tmpl w:val="6C6C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D3DD1"/>
    <w:multiLevelType w:val="multilevel"/>
    <w:tmpl w:val="5DC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A6A91"/>
    <w:multiLevelType w:val="multilevel"/>
    <w:tmpl w:val="08EE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75A34"/>
    <w:multiLevelType w:val="multilevel"/>
    <w:tmpl w:val="9E2A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D3B02"/>
    <w:multiLevelType w:val="multilevel"/>
    <w:tmpl w:val="DDEA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8"/>
  </w:num>
  <w:num w:numId="5">
    <w:abstractNumId w:val="12"/>
  </w:num>
  <w:num w:numId="6">
    <w:abstractNumId w:val="4"/>
  </w:num>
  <w:num w:numId="7">
    <w:abstractNumId w:val="7"/>
  </w:num>
  <w:num w:numId="8">
    <w:abstractNumId w:val="15"/>
  </w:num>
  <w:num w:numId="9">
    <w:abstractNumId w:val="5"/>
  </w:num>
  <w:num w:numId="10">
    <w:abstractNumId w:val="13"/>
  </w:num>
  <w:num w:numId="11">
    <w:abstractNumId w:val="9"/>
  </w:num>
  <w:num w:numId="12">
    <w:abstractNumId w:val="3"/>
  </w:num>
  <w:num w:numId="13">
    <w:abstractNumId w:val="6"/>
  </w:num>
  <w:num w:numId="14">
    <w:abstractNumId w:val="11"/>
  </w:num>
  <w:num w:numId="15">
    <w:abstractNumId w:val="1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636"/>
    <w:rsid w:val="005E6636"/>
    <w:rsid w:val="00DC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CA97E2-7F19-4156-8249-D1145AD7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66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66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66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6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66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66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6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6636"/>
    <w:rPr>
      <w:b/>
      <w:bCs/>
    </w:rPr>
  </w:style>
  <w:style w:type="character" w:styleId="Emphasis">
    <w:name w:val="Emphasis"/>
    <w:basedOn w:val="DefaultParagraphFont"/>
    <w:uiPriority w:val="20"/>
    <w:qFormat/>
    <w:rsid w:val="005E66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1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1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0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2026-05-22T22:34:00Z</dcterms:created>
  <dcterms:modified xsi:type="dcterms:W3CDTF">2026-05-22T22:38:00Z</dcterms:modified>
</cp:coreProperties>
</file>