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003366"/>
          <w:sz w:val="36"/>
        </w:rPr>
        <w:t>Coach4U EOS Growth Plan and Operating Rhythm</w:t>
      </w:r>
    </w:p>
    <w:p>
      <w:pPr>
        <w:spacing w:after="480"/>
        <w:jc w:val="center"/>
      </w:pPr>
      <w:r>
        <w:rPr>
          <w:rFonts w:ascii="Arial" w:hAnsi="Arial"/>
          <w:b/>
          <w:color w:val="003366"/>
          <w:sz w:val="24"/>
        </w:rPr>
        <w:t>March 2026 to June 2027</w:t>
      </w:r>
    </w:p>
    <w:tbl>
      <w:tblPr>
        <w:tblW w:type="auto" w:w="0"/>
        <w:jc w:val="center"/>
        <w:tblLayout w:type="fixed"/>
        <w:tblLook w:firstColumn="1" w:firstRow="1" w:lastColumn="0" w:lastRow="0" w:noHBand="0" w:noVBand="1" w:val="04A0"/>
      </w:tblPr>
      <w:tblGrid>
        <w:gridCol w:w="9360"/>
      </w:tblGrid>
      <w:tr>
        <w:tc>
          <w:tcPr>
            <w:tcW w:type="dxa" w:w="9360"/>
            <w:shd w:fill="EDF4FA"/>
            <w:tcMar>
              <w:top w:w="120" w:type="dxa"/>
              <w:start w:w="140" w:type="dxa"/>
              <w:bottom w:w="120" w:type="dxa"/>
              <w:end w:w="140" w:type="dxa"/>
            </w:tcMar>
          </w:tcPr>
          <w:p>
            <w:pPr>
              <w:spacing w:after="60"/>
            </w:pPr>
            <w:r>
              <w:rPr>
                <w:rFonts w:ascii="Arial" w:hAnsi="Arial"/>
                <w:b/>
                <w:color w:val="003366"/>
                <w:sz w:val="22"/>
              </w:rPr>
              <w:t>Purpose</w:t>
            </w:r>
          </w:p>
          <w:p>
            <w:pPr>
              <w:spacing w:after="0" w:before="0" w:line="276" w:lineRule="auto"/>
            </w:pPr>
            <w:r>
              <w:rPr>
                <w:rFonts w:ascii="Aptos" w:hAnsi="Aptos"/>
                <w:b w:val="0"/>
                <w:i w:val="0"/>
                <w:color w:val="000000"/>
                <w:sz w:val="21"/>
              </w:rPr>
              <w:t>This document turns EOS into a practical operating system for Coach4U. It is designed to keep focus tight, stop Ideation from pulling the business in too many directions, and create a written rhythm from the long-range vision down to the weekly actions and Issues List.</w:t>
            </w:r>
          </w:p>
        </w:tc>
      </w:tr>
    </w:tbl>
    <w:p/>
    <w:p>
      <w:pPr>
        <w:jc w:val="center"/>
      </w:pPr>
      <w:r>
        <w:rPr>
          <w:rFonts w:ascii="Aptos" w:hAnsi="Aptos"/>
          <w:i/>
          <w:color w:val="646464"/>
          <w:sz w:val="22"/>
        </w:rPr>
        <w:t>Use this document as the source of truth for strategic focus, quarterly Rocks, weekly traction, and parked ideas.</w:t>
      </w:r>
    </w:p>
    <w:p/>
    <w:p>
      <w:r>
        <w:br w:type="page"/>
      </w:r>
    </w:p>
    <w:p>
      <w:pPr>
        <w:spacing w:after="120" w:before="240" w:line="276" w:lineRule="auto"/>
      </w:pPr>
      <w:r>
        <w:rPr>
          <w:rFonts w:ascii="Arial" w:hAnsi="Arial"/>
          <w:b/>
          <w:i w:val="0"/>
          <w:color w:val="003366"/>
          <w:sz w:val="24"/>
        </w:rPr>
        <w:t>1. EOS at Coach4U: How the System Works</w:t>
      </w:r>
    </w:p>
    <w:p>
      <w:pPr>
        <w:spacing w:after="120" w:before="0" w:line="276" w:lineRule="auto"/>
      </w:pPr>
      <w:r>
        <w:rPr>
          <w:rFonts w:ascii="Aptos" w:hAnsi="Aptos"/>
          <w:b w:val="0"/>
          <w:i w:val="0"/>
          <w:color w:val="000000"/>
          <w:sz w:val="22"/>
        </w:rPr>
        <w:t>EOS is not being used here as a complex corporate system. It is being used as a focus tool for a small, relationship-based business where clarity, repetition, and disciplined follow-through matter more than complexity.</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20"/>
        <w:gridCol w:w="3120"/>
        <w:gridCol w:w="3120"/>
      </w:tblGrid>
      <w:tr>
        <w:trPr>
          <w:tblHeader w:val="true"/>
        </w:trPr>
        <w:tc>
          <w:tcPr>
            <w:tcW w:type="dxa" w:w="2016"/>
            <w:shd w:fill="DCE6F1"/>
            <w:tcMar>
              <w:top w:w="80" w:type="dxa"/>
              <w:start w:w="120" w:type="dxa"/>
              <w:bottom w:w="80" w:type="dxa"/>
              <w:end w:w="120" w:type="dxa"/>
            </w:tcMar>
            <w:vAlign w:val="center"/>
          </w:tcPr>
          <w:p>
            <w:pPr>
              <w:spacing w:after="0" w:before="0" w:line="276" w:lineRule="auto"/>
            </w:pPr>
            <w:r>
              <w:rPr>
                <w:rFonts w:ascii="Arial" w:hAnsi="Arial"/>
                <w:b/>
                <w:i w:val="0"/>
                <w:color w:val="003366"/>
                <w:sz w:val="21"/>
              </w:rPr>
              <w:t>EOS layer</w:t>
            </w:r>
          </w:p>
        </w:tc>
        <w:tc>
          <w:tcPr>
            <w:tcW w:type="dxa" w:w="3168"/>
            <w:shd w:fill="DCE6F1"/>
            <w:tcMar>
              <w:top w:w="80" w:type="dxa"/>
              <w:start w:w="120" w:type="dxa"/>
              <w:bottom w:w="80" w:type="dxa"/>
              <w:end w:w="120" w:type="dxa"/>
            </w:tcMar>
            <w:vAlign w:val="center"/>
          </w:tcPr>
          <w:p>
            <w:pPr>
              <w:spacing w:after="0" w:before="0" w:line="276" w:lineRule="auto"/>
            </w:pPr>
            <w:r>
              <w:rPr>
                <w:rFonts w:ascii="Arial" w:hAnsi="Arial"/>
                <w:b/>
                <w:i w:val="0"/>
                <w:color w:val="003366"/>
                <w:sz w:val="21"/>
              </w:rPr>
              <w:t>What it answers</w:t>
            </w:r>
          </w:p>
        </w:tc>
        <w:tc>
          <w:tcPr>
            <w:tcW w:type="dxa" w:w="4176"/>
            <w:shd w:fill="DCE6F1"/>
            <w:tcMar>
              <w:top w:w="80" w:type="dxa"/>
              <w:start w:w="120" w:type="dxa"/>
              <w:bottom w:w="80" w:type="dxa"/>
              <w:end w:w="120" w:type="dxa"/>
            </w:tcMar>
            <w:vAlign w:val="center"/>
          </w:tcPr>
          <w:p>
            <w:pPr>
              <w:spacing w:after="0" w:before="0" w:line="276" w:lineRule="auto"/>
            </w:pPr>
            <w:r>
              <w:rPr>
                <w:rFonts w:ascii="Arial" w:hAnsi="Arial"/>
                <w:b/>
                <w:i w:val="0"/>
                <w:color w:val="003366"/>
                <w:sz w:val="21"/>
              </w:rPr>
              <w:t>How Coach4U will use it</w:t>
            </w:r>
          </w:p>
        </w:tc>
      </w:tr>
      <w:tr>
        <w:trPr>
          <w:cantSplit/>
        </w:trPr>
        <w:tc>
          <w:tcPr>
            <w:tcW w:type="dxa" w:w="201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5-Year Vision</w:t>
            </w:r>
          </w:p>
        </w:tc>
        <w:tc>
          <w:tcPr>
            <w:tcW w:type="dxa" w:w="3168"/>
            <w:tcMar>
              <w:top w:w="80" w:type="dxa"/>
              <w:start w:w="120" w:type="dxa"/>
              <w:bottom w:w="80" w:type="dxa"/>
              <w:end w:w="120" w:type="dxa"/>
            </w:tcMar>
            <w:vAlign w:val="center"/>
          </w:tcPr>
          <w:p>
            <w:pPr>
              <w:spacing w:after="0" w:before="0" w:line="276" w:lineRule="auto"/>
            </w:pPr>
            <w:r>
              <w:rPr>
                <w:rFonts w:ascii="Aptos" w:hAnsi="Aptos"/>
                <w:b w:val="0"/>
                <w:i w:val="0"/>
                <w:color w:val="000000"/>
                <w:sz w:val="20"/>
              </w:rPr>
              <w:t>Where is the business heading?</w:t>
            </w:r>
          </w:p>
        </w:tc>
        <w:tc>
          <w:tcPr>
            <w:tcW w:type="dxa" w:w="417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Defines the long-term destination so decisions are not made from urgency alone.</w:t>
            </w:r>
          </w:p>
        </w:tc>
      </w:tr>
      <w:tr>
        <w:trPr>
          <w:cantSplit/>
        </w:trPr>
        <w:tc>
          <w:tcPr>
            <w:tcW w:type="dxa" w:w="201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3-Year Picture</w:t>
            </w:r>
          </w:p>
        </w:tc>
        <w:tc>
          <w:tcPr>
            <w:tcW w:type="dxa" w:w="3168"/>
            <w:tcMar>
              <w:top w:w="80" w:type="dxa"/>
              <w:start w:w="120" w:type="dxa"/>
              <w:bottom w:w="80" w:type="dxa"/>
              <w:end w:w="120" w:type="dxa"/>
            </w:tcMar>
            <w:vAlign w:val="center"/>
          </w:tcPr>
          <w:p>
            <w:pPr>
              <w:spacing w:after="0" w:before="0" w:line="276" w:lineRule="auto"/>
            </w:pPr>
            <w:r>
              <w:rPr>
                <w:rFonts w:ascii="Aptos" w:hAnsi="Aptos"/>
                <w:b w:val="0"/>
                <w:i w:val="0"/>
                <w:color w:val="000000"/>
                <w:sz w:val="20"/>
              </w:rPr>
              <w:t>What should be true if the long-term plan is on track?</w:t>
            </w:r>
          </w:p>
        </w:tc>
        <w:tc>
          <w:tcPr>
            <w:tcW w:type="dxa" w:w="417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Clarifies the future business model, client mix, and positioning.</w:t>
            </w:r>
          </w:p>
        </w:tc>
      </w:tr>
      <w:tr>
        <w:trPr>
          <w:cantSplit/>
        </w:trPr>
        <w:tc>
          <w:tcPr>
            <w:tcW w:type="dxa" w:w="201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1-Year Plan</w:t>
            </w:r>
          </w:p>
        </w:tc>
        <w:tc>
          <w:tcPr>
            <w:tcW w:type="dxa" w:w="3168"/>
            <w:tcMar>
              <w:top w:w="80" w:type="dxa"/>
              <w:start w:w="120" w:type="dxa"/>
              <w:bottom w:w="80" w:type="dxa"/>
              <w:end w:w="120" w:type="dxa"/>
            </w:tcMar>
            <w:vAlign w:val="center"/>
          </w:tcPr>
          <w:p>
            <w:pPr>
              <w:spacing w:after="0" w:before="0" w:line="276" w:lineRule="auto"/>
            </w:pPr>
            <w:r>
              <w:rPr>
                <w:rFonts w:ascii="Aptos" w:hAnsi="Aptos"/>
                <w:b w:val="0"/>
                <w:i w:val="0"/>
                <w:color w:val="000000"/>
                <w:sz w:val="20"/>
              </w:rPr>
              <w:t>What must be built in the next 12 months?</w:t>
            </w:r>
          </w:p>
        </w:tc>
        <w:tc>
          <w:tcPr>
            <w:tcW w:type="dxa" w:w="417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Sets the annual priorities for the next financial year.</w:t>
            </w:r>
          </w:p>
        </w:tc>
      </w:tr>
      <w:tr>
        <w:trPr>
          <w:cantSplit/>
        </w:trPr>
        <w:tc>
          <w:tcPr>
            <w:tcW w:type="dxa" w:w="201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Quarterly Rocks</w:t>
            </w:r>
          </w:p>
        </w:tc>
        <w:tc>
          <w:tcPr>
            <w:tcW w:type="dxa" w:w="3168"/>
            <w:tcMar>
              <w:top w:w="80" w:type="dxa"/>
              <w:start w:w="120" w:type="dxa"/>
              <w:bottom w:w="80" w:type="dxa"/>
              <w:end w:w="120" w:type="dxa"/>
            </w:tcMar>
            <w:vAlign w:val="center"/>
          </w:tcPr>
          <w:p>
            <w:pPr>
              <w:spacing w:after="0" w:before="0" w:line="276" w:lineRule="auto"/>
            </w:pPr>
            <w:r>
              <w:rPr>
                <w:rFonts w:ascii="Aptos" w:hAnsi="Aptos"/>
                <w:b w:val="0"/>
                <w:i w:val="0"/>
                <w:color w:val="000000"/>
                <w:sz w:val="20"/>
              </w:rPr>
              <w:t>What matters most this quarter?</w:t>
            </w:r>
          </w:p>
        </w:tc>
        <w:tc>
          <w:tcPr>
            <w:tcW w:type="dxa" w:w="417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Limits focus to a small number of must-win priorities.</w:t>
            </w:r>
          </w:p>
        </w:tc>
      </w:tr>
      <w:tr>
        <w:trPr>
          <w:cantSplit/>
        </w:trPr>
        <w:tc>
          <w:tcPr>
            <w:tcW w:type="dxa" w:w="201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Scorecard</w:t>
            </w:r>
          </w:p>
        </w:tc>
        <w:tc>
          <w:tcPr>
            <w:tcW w:type="dxa" w:w="3168"/>
            <w:tcMar>
              <w:top w:w="80" w:type="dxa"/>
              <w:start w:w="120" w:type="dxa"/>
              <w:bottom w:w="80" w:type="dxa"/>
              <w:end w:w="120" w:type="dxa"/>
            </w:tcMar>
            <w:vAlign w:val="center"/>
          </w:tcPr>
          <w:p>
            <w:pPr>
              <w:spacing w:after="0" w:before="0" w:line="276" w:lineRule="auto"/>
            </w:pPr>
            <w:r>
              <w:rPr>
                <w:rFonts w:ascii="Aptos" w:hAnsi="Aptos"/>
                <w:b w:val="0"/>
                <w:i w:val="0"/>
                <w:color w:val="000000"/>
                <w:sz w:val="20"/>
              </w:rPr>
              <w:t>Are the weekly numbers moving?</w:t>
            </w:r>
          </w:p>
        </w:tc>
        <w:tc>
          <w:tcPr>
            <w:tcW w:type="dxa" w:w="417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Tracks leading indicators, not just revenue after the fact.</w:t>
            </w:r>
          </w:p>
        </w:tc>
      </w:tr>
      <w:tr>
        <w:trPr>
          <w:cantSplit/>
        </w:trPr>
        <w:tc>
          <w:tcPr>
            <w:tcW w:type="dxa" w:w="201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L10 Rhythm</w:t>
            </w:r>
          </w:p>
        </w:tc>
        <w:tc>
          <w:tcPr>
            <w:tcW w:type="dxa" w:w="3168"/>
            <w:tcMar>
              <w:top w:w="80" w:type="dxa"/>
              <w:start w:w="120" w:type="dxa"/>
              <w:bottom w:w="80" w:type="dxa"/>
              <w:end w:w="120" w:type="dxa"/>
            </w:tcMar>
            <w:vAlign w:val="center"/>
          </w:tcPr>
          <w:p>
            <w:pPr>
              <w:spacing w:after="0" w:before="0" w:line="276" w:lineRule="auto"/>
            </w:pPr>
            <w:r>
              <w:rPr>
                <w:rFonts w:ascii="Aptos" w:hAnsi="Aptos"/>
                <w:b w:val="0"/>
                <w:i w:val="0"/>
                <w:color w:val="000000"/>
                <w:sz w:val="20"/>
              </w:rPr>
              <w:t>What needs attention this week?</w:t>
            </w:r>
          </w:p>
        </w:tc>
        <w:tc>
          <w:tcPr>
            <w:tcW w:type="dxa" w:w="417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Creates a disciplined weekly review with Lou and a clear Issues List.</w:t>
            </w:r>
          </w:p>
        </w:tc>
      </w:tr>
      <w:tr>
        <w:trPr>
          <w:cantSplit/>
        </w:trPr>
        <w:tc>
          <w:tcPr>
            <w:tcW w:type="dxa" w:w="201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Issues List</w:t>
            </w:r>
          </w:p>
        </w:tc>
        <w:tc>
          <w:tcPr>
            <w:tcW w:type="dxa" w:w="3168"/>
            <w:tcMar>
              <w:top w:w="80" w:type="dxa"/>
              <w:start w:w="120" w:type="dxa"/>
              <w:bottom w:w="80" w:type="dxa"/>
              <w:end w:w="120" w:type="dxa"/>
            </w:tcMar>
            <w:vAlign w:val="center"/>
          </w:tcPr>
          <w:p>
            <w:pPr>
              <w:spacing w:after="0" w:before="0" w:line="276" w:lineRule="auto"/>
            </w:pPr>
            <w:r>
              <w:rPr>
                <w:rFonts w:ascii="Aptos" w:hAnsi="Aptos"/>
                <w:b w:val="0"/>
                <w:i w:val="0"/>
                <w:color w:val="000000"/>
                <w:sz w:val="20"/>
              </w:rPr>
              <w:t>What ideas, problems, or opportunities need to be discussed later?</w:t>
            </w:r>
          </w:p>
        </w:tc>
        <w:tc>
          <w:tcPr>
            <w:tcW w:type="dxa" w:w="4176"/>
            <w:tcMar>
              <w:top w:w="80" w:type="dxa"/>
              <w:start w:w="120" w:type="dxa"/>
              <w:bottom w:w="80" w:type="dxa"/>
              <w:end w:w="120" w:type="dxa"/>
            </w:tcMar>
            <w:vAlign w:val="center"/>
          </w:tcPr>
          <w:p>
            <w:pPr>
              <w:spacing w:after="0" w:before="0" w:line="276" w:lineRule="auto"/>
            </w:pPr>
            <w:r>
              <w:rPr>
                <w:rFonts w:ascii="Aptos" w:hAnsi="Aptos"/>
                <w:b w:val="0"/>
                <w:i w:val="0"/>
                <w:color w:val="000000"/>
                <w:sz w:val="20"/>
              </w:rPr>
              <w:t>Acts as the holding place for Ideation so it is captured without hijacking execution.</w:t>
            </w:r>
          </w:p>
        </w:tc>
      </w:tr>
    </w:tbl>
    <w:p/>
    <w:tbl>
      <w:tblPr>
        <w:tblW w:type="auto" w:w="0"/>
        <w:jc w:val="center"/>
        <w:tblLayout w:type="fixed"/>
        <w:tblLook w:firstColumn="1" w:firstRow="1" w:lastColumn="0" w:lastRow="0" w:noHBand="0" w:noVBand="1" w:val="04A0"/>
      </w:tblPr>
      <w:tblGrid>
        <w:gridCol w:w="9360"/>
      </w:tblGrid>
      <w:tr>
        <w:tc>
          <w:tcPr>
            <w:tcW w:type="dxa" w:w="9360"/>
            <w:shd w:fill="EDF4FA"/>
            <w:tcMar>
              <w:top w:w="120" w:type="dxa"/>
              <w:start w:w="140" w:type="dxa"/>
              <w:bottom w:w="120" w:type="dxa"/>
              <w:end w:w="140" w:type="dxa"/>
            </w:tcMar>
          </w:tcPr>
          <w:p>
            <w:pPr>
              <w:spacing w:after="60"/>
            </w:pPr>
            <w:r>
              <w:rPr>
                <w:rFonts w:ascii="Arial" w:hAnsi="Arial"/>
                <w:b/>
                <w:color w:val="003366"/>
                <w:sz w:val="22"/>
              </w:rPr>
              <w:t>Coach4U rule</w:t>
            </w:r>
          </w:p>
          <w:p>
            <w:pPr>
              <w:spacing w:after="0" w:before="0" w:line="276" w:lineRule="auto"/>
            </w:pPr>
            <w:r>
              <w:rPr>
                <w:rFonts w:ascii="Aptos" w:hAnsi="Aptos"/>
                <w:b w:val="0"/>
                <w:i w:val="0"/>
                <w:color w:val="000000"/>
                <w:sz w:val="21"/>
              </w:rPr>
              <w:t>New ideas are valuable, but they are not automatically priorities. If an idea does not directly support a current Rock, it goes onto the Issues List or the Future Ideas list for later review.</w:t>
            </w:r>
          </w:p>
        </w:tc>
      </w:tr>
    </w:tbl>
    <w:p/>
    <w:p>
      <w:pPr>
        <w:spacing w:after="120" w:before="240" w:line="276" w:lineRule="auto"/>
      </w:pPr>
      <w:r>
        <w:rPr>
          <w:rFonts w:ascii="Arial" w:hAnsi="Arial"/>
          <w:b/>
          <w:i w:val="0"/>
          <w:color w:val="003366"/>
          <w:sz w:val="24"/>
        </w:rPr>
        <w:t>2. Coach4U 5-Year Vision | By June 2031</w:t>
      </w:r>
    </w:p>
    <w:p>
      <w:pPr>
        <w:spacing w:after="120" w:before="0" w:line="276" w:lineRule="auto"/>
      </w:pPr>
      <w:r>
        <w:rPr>
          <w:rFonts w:ascii="Aptos" w:hAnsi="Aptos"/>
          <w:b w:val="0"/>
          <w:i w:val="0"/>
          <w:color w:val="000000"/>
          <w:sz w:val="22"/>
        </w:rPr>
        <w:t>The 5-Year Vision is the anchor. It is not a detailed business plan. It is the picture that allows quarter-by-quarter decisions to be made with discipline.</w:t>
      </w:r>
    </w:p>
    <w:p>
      <w:pPr>
        <w:pStyle w:val="ListBullet"/>
        <w:spacing w:after="60" w:before="0" w:line="276" w:lineRule="auto"/>
      </w:pPr>
      <w:r>
        <w:rPr>
          <w:rFonts w:ascii="Aptos" w:hAnsi="Aptos"/>
          <w:b w:val="0"/>
          <w:i w:val="0"/>
          <w:color w:val="000000"/>
          <w:sz w:val="22"/>
        </w:rPr>
        <w:t>Coach4U is known as a go-to practice for couples where ADHD is part of the dynamic, supported by a clear strengths-based and evidence-based approach.</w:t>
      </w:r>
    </w:p>
    <w:p>
      <w:pPr>
        <w:pStyle w:val="ListBullet"/>
        <w:spacing w:after="60" w:before="0" w:line="276" w:lineRule="auto"/>
      </w:pPr>
      <w:r>
        <w:rPr>
          <w:rFonts w:ascii="Aptos" w:hAnsi="Aptos"/>
          <w:b w:val="0"/>
          <w:i w:val="0"/>
          <w:color w:val="000000"/>
          <w:sz w:val="22"/>
        </w:rPr>
        <w:t>The business has a balanced revenue mix across couples work, individual ADHD-informed coaching/counselling, ThriveHQ group work, workshops, and selected consulting.</w:t>
      </w:r>
    </w:p>
    <w:p>
      <w:pPr>
        <w:pStyle w:val="ListBullet"/>
        <w:spacing w:after="60" w:before="0" w:line="276" w:lineRule="auto"/>
      </w:pPr>
      <w:r>
        <w:rPr>
          <w:rFonts w:ascii="Aptos" w:hAnsi="Aptos"/>
          <w:b w:val="0"/>
          <w:i w:val="0"/>
          <w:color w:val="000000"/>
          <w:sz w:val="22"/>
        </w:rPr>
        <w:t>The business is not heavily dependent on one contract or one referral stream.</w:t>
      </w:r>
    </w:p>
    <w:p>
      <w:pPr>
        <w:pStyle w:val="ListBullet"/>
        <w:spacing w:after="60" w:before="0" w:line="276" w:lineRule="auto"/>
      </w:pPr>
      <w:r>
        <w:rPr>
          <w:rFonts w:ascii="Aptos" w:hAnsi="Aptos"/>
          <w:b w:val="0"/>
          <w:i w:val="0"/>
          <w:color w:val="000000"/>
          <w:sz w:val="22"/>
        </w:rPr>
        <w:t>Marketing is consistent, simple, and systems-driven rather than personality-driven or ad hoc.</w:t>
      </w:r>
    </w:p>
    <w:p>
      <w:pPr>
        <w:pStyle w:val="ListBullet"/>
        <w:spacing w:after="60" w:before="0" w:line="276" w:lineRule="auto"/>
      </w:pPr>
      <w:r>
        <w:rPr>
          <w:rFonts w:ascii="Aptos" w:hAnsi="Aptos"/>
          <w:b w:val="0"/>
          <w:i w:val="0"/>
          <w:color w:val="000000"/>
          <w:sz w:val="22"/>
        </w:rPr>
        <w:t>Lou and supporting systems handle a larger share of admin, allowing Cath to stay in high-value work: counselling, coaching, facilitation, partnerships, and offer design.</w:t>
      </w:r>
    </w:p>
    <w:p>
      <w:pPr>
        <w:pStyle w:val="ListBullet"/>
        <w:spacing w:after="60" w:before="0" w:line="276" w:lineRule="auto"/>
      </w:pPr>
      <w:r>
        <w:rPr>
          <w:rFonts w:ascii="Aptos" w:hAnsi="Aptos"/>
          <w:b w:val="0"/>
          <w:i w:val="0"/>
          <w:color w:val="000000"/>
          <w:sz w:val="22"/>
        </w:rPr>
        <w:t>A reliable referral ecosystem exists with GPs, allied health professionals, professional networks, and past clients who clearly understand what Coach4U offers.</w:t>
      </w:r>
    </w:p>
    <w:tbl>
      <w:tblPr>
        <w:tblW w:type="auto" w:w="0"/>
        <w:jc w:val="center"/>
        <w:tblLayout w:type="fixed"/>
        <w:tblLook w:firstColumn="1" w:firstRow="1" w:lastColumn="0" w:lastRow="0" w:noHBand="0" w:noVBand="1" w:val="04A0"/>
      </w:tblPr>
      <w:tblGrid>
        <w:gridCol w:w="9360"/>
      </w:tblGrid>
      <w:tr>
        <w:tc>
          <w:tcPr>
            <w:tcW w:type="dxa" w:w="9360"/>
            <w:shd w:fill="EDF4FA"/>
            <w:tcMar>
              <w:top w:w="120" w:type="dxa"/>
              <w:start w:w="140" w:type="dxa"/>
              <w:bottom w:w="120" w:type="dxa"/>
              <w:end w:w="140" w:type="dxa"/>
            </w:tcMar>
          </w:tcPr>
          <w:p>
            <w:pPr>
              <w:spacing w:after="60"/>
            </w:pPr>
            <w:r>
              <w:rPr>
                <w:rFonts w:ascii="Arial" w:hAnsi="Arial"/>
                <w:b/>
                <w:color w:val="003366"/>
                <w:sz w:val="22"/>
              </w:rPr>
              <w:t>5-Year identity statement</w:t>
            </w:r>
          </w:p>
          <w:p>
            <w:pPr>
              <w:spacing w:after="0" w:before="0" w:line="276" w:lineRule="auto"/>
            </w:pPr>
            <w:r>
              <w:rPr>
                <w:rFonts w:ascii="Aptos" w:hAnsi="Aptos"/>
                <w:b w:val="0"/>
                <w:i w:val="0"/>
                <w:color w:val="000000"/>
                <w:sz w:val="21"/>
              </w:rPr>
              <w:t>Coach4U is known for ADHD-informed couples work, strengths-based growth, and practical support that helps individuals, couples, and professionals move from overload and reactivity to clarity and connection.</w:t>
            </w:r>
          </w:p>
        </w:tc>
      </w:tr>
    </w:tbl>
    <w:p/>
    <w:p>
      <w:pPr>
        <w:spacing w:after="120" w:before="240" w:line="276" w:lineRule="auto"/>
      </w:pPr>
      <w:r>
        <w:rPr>
          <w:rFonts w:ascii="Arial" w:hAnsi="Arial"/>
          <w:b/>
          <w:i w:val="0"/>
          <w:color w:val="003366"/>
          <w:sz w:val="24"/>
        </w:rPr>
        <w:t>3. Coach4U 3-Year Picture | By June 2029</w:t>
      </w:r>
    </w:p>
    <w:p>
      <w:pPr>
        <w:pStyle w:val="ListBullet"/>
        <w:spacing w:after="60" w:before="0" w:line="276" w:lineRule="auto"/>
      </w:pPr>
      <w:r>
        <w:rPr>
          <w:rFonts w:ascii="Aptos" w:hAnsi="Aptos"/>
          <w:b w:val="0"/>
          <w:i w:val="0"/>
          <w:color w:val="000000"/>
          <w:sz w:val="22"/>
        </w:rPr>
        <w:t>A steady pipeline of couples clients comes through referrals, professional connections, and clear positioning around ADHD in relationships.</w:t>
      </w:r>
    </w:p>
    <w:p>
      <w:pPr>
        <w:pStyle w:val="ListBullet"/>
        <w:spacing w:after="60" w:before="0" w:line="276" w:lineRule="auto"/>
      </w:pPr>
      <w:r>
        <w:rPr>
          <w:rFonts w:ascii="Aptos" w:hAnsi="Aptos"/>
          <w:b w:val="0"/>
          <w:i w:val="0"/>
          <w:color w:val="000000"/>
          <w:sz w:val="22"/>
        </w:rPr>
        <w:t>ThriveHQ is operating on a repeatable cycle with a clear intake flow, stable participation, and a simple messaging rhythm that reinforces learning.</w:t>
      </w:r>
    </w:p>
    <w:p>
      <w:pPr>
        <w:pStyle w:val="ListBullet"/>
        <w:spacing w:after="60" w:before="0" w:line="276" w:lineRule="auto"/>
      </w:pPr>
      <w:r>
        <w:rPr>
          <w:rFonts w:ascii="Aptos" w:hAnsi="Aptos"/>
          <w:b w:val="0"/>
          <w:i w:val="0"/>
          <w:color w:val="000000"/>
          <w:sz w:val="22"/>
        </w:rPr>
        <w:t>Workshops are running every 10 to 12 weeks and are used deliberately as feeder offers into groups, couples work, and 1:1 support.</w:t>
      </w:r>
    </w:p>
    <w:p>
      <w:pPr>
        <w:pStyle w:val="ListBullet"/>
        <w:spacing w:after="60" w:before="0" w:line="276" w:lineRule="auto"/>
      </w:pPr>
      <w:r>
        <w:rPr>
          <w:rFonts w:ascii="Aptos" w:hAnsi="Aptos"/>
          <w:b w:val="0"/>
          <w:i w:val="0"/>
          <w:color w:val="000000"/>
          <w:sz w:val="22"/>
        </w:rPr>
        <w:t>Coach4U has 5 to 10 active referrers who regularly understand when and why to refer.</w:t>
      </w:r>
    </w:p>
    <w:p>
      <w:pPr>
        <w:pStyle w:val="ListBullet"/>
        <w:spacing w:after="60" w:before="0" w:line="276" w:lineRule="auto"/>
      </w:pPr>
      <w:r>
        <w:rPr>
          <w:rFonts w:ascii="Aptos" w:hAnsi="Aptos"/>
          <w:b w:val="0"/>
          <w:i w:val="0"/>
          <w:color w:val="000000"/>
          <w:sz w:val="22"/>
        </w:rPr>
        <w:t>The business has a simple marketing system that lives in existing channels instead of requiring heavy content production or constant social media presence.</w:t>
      </w:r>
    </w:p>
    <w:p>
      <w:pPr>
        <w:pStyle w:val="ListBullet"/>
        <w:spacing w:after="60" w:before="0" w:line="276" w:lineRule="auto"/>
      </w:pPr>
      <w:r>
        <w:rPr>
          <w:rFonts w:ascii="Aptos" w:hAnsi="Aptos"/>
          <w:b w:val="0"/>
          <w:i w:val="0"/>
          <w:color w:val="000000"/>
          <w:sz w:val="22"/>
        </w:rPr>
        <w:t>The core message is clear: Coach4U supports couples and individuals where ADHD is affecting relationships, capacity, routines, and daily life, using a strengths-based lens.</w:t>
      </w:r>
    </w:p>
    <w:p>
      <w:pPr>
        <w:spacing w:after="120" w:before="240" w:line="276" w:lineRule="auto"/>
      </w:pPr>
      <w:r>
        <w:rPr>
          <w:rFonts w:ascii="Arial" w:hAnsi="Arial"/>
          <w:b/>
          <w:i w:val="0"/>
          <w:color w:val="003366"/>
          <w:sz w:val="24"/>
        </w:rPr>
        <w:t>4. One-Year Plan | July 2026 to June 2027</w:t>
      </w:r>
    </w:p>
    <w:p>
      <w:pPr>
        <w:spacing w:after="120" w:before="0" w:line="276" w:lineRule="auto"/>
      </w:pPr>
      <w:r>
        <w:rPr>
          <w:rFonts w:ascii="Aptos" w:hAnsi="Aptos"/>
          <w:b w:val="0"/>
          <w:i w:val="0"/>
          <w:color w:val="000000"/>
          <w:sz w:val="22"/>
        </w:rPr>
        <w:t>This is the next financial year plan. It should be reviewed at the start of July and refined each quarter, but the annual direction should remain stable unless a major business reason requires a change.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20"/>
        <w:gridCol w:w="3120"/>
        <w:gridCol w:w="3120"/>
      </w:tblGrid>
      <w:tr>
        <w:trPr>
          <w:tblHeader w:val="true"/>
        </w:trPr>
        <w:tc>
          <w:tcPr>
            <w:tcW w:type="dxa" w:w="2880"/>
            <w:shd w:fill="DCE6F1"/>
            <w:tcMar>
              <w:top w:w="80" w:type="dxa"/>
              <w:start w:w="120" w:type="dxa"/>
              <w:bottom w:w="80" w:type="dxa"/>
              <w:end w:w="120" w:type="dxa"/>
            </w:tcMar>
          </w:tcPr>
          <w:p>
            <w:pPr>
              <w:spacing w:after="0" w:before="0" w:line="276" w:lineRule="auto"/>
            </w:pPr>
            <w:r>
              <w:rPr>
                <w:rFonts w:ascii="Arial" w:hAnsi="Arial"/>
                <w:b/>
                <w:i w:val="0"/>
                <w:color w:val="003366"/>
                <w:sz w:val="20"/>
              </w:rPr>
              <w:t>Annual priority</w:t>
            </w:r>
          </w:p>
        </w:tc>
        <w:tc>
          <w:tcPr>
            <w:tcW w:type="dxa" w:w="4320"/>
            <w:shd w:fill="DCE6F1"/>
            <w:tcMar>
              <w:top w:w="80" w:type="dxa"/>
              <w:start w:w="120" w:type="dxa"/>
              <w:bottom w:w="80" w:type="dxa"/>
              <w:end w:w="120" w:type="dxa"/>
            </w:tcMar>
          </w:tcPr>
          <w:p>
            <w:pPr>
              <w:spacing w:after="0" w:before="0" w:line="276" w:lineRule="auto"/>
            </w:pPr>
            <w:r>
              <w:rPr>
                <w:rFonts w:ascii="Arial" w:hAnsi="Arial"/>
                <w:b/>
                <w:i w:val="0"/>
                <w:color w:val="003366"/>
                <w:sz w:val="20"/>
              </w:rPr>
              <w:t>What success looks like</w:t>
            </w:r>
          </w:p>
        </w:tc>
        <w:tc>
          <w:tcPr>
            <w:tcW w:type="dxa" w:w="2448"/>
            <w:shd w:fill="DCE6F1"/>
            <w:tcMar>
              <w:top w:w="80" w:type="dxa"/>
              <w:start w:w="120" w:type="dxa"/>
              <w:bottom w:w="80" w:type="dxa"/>
              <w:end w:w="120" w:type="dxa"/>
            </w:tcMar>
          </w:tcPr>
          <w:p>
            <w:pPr>
              <w:spacing w:after="0" w:before="0" w:line="276" w:lineRule="auto"/>
            </w:pPr>
            <w:r>
              <w:rPr>
                <w:rFonts w:ascii="Arial" w:hAnsi="Arial"/>
                <w:b/>
                <w:i w:val="0"/>
                <w:color w:val="003366"/>
                <w:sz w:val="20"/>
              </w:rPr>
              <w:t>How it will be measured</w:t>
            </w:r>
          </w:p>
        </w:tc>
      </w:tr>
      <w:tr>
        <w:trPr>
          <w:cantSplit/>
        </w:trPr>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Lock positioning</w:t>
            </w:r>
          </w:p>
        </w:tc>
        <w:tc>
          <w:tcPr>
            <w:tcW w:type="dxa" w:w="4320"/>
            <w:tcMar>
              <w:top w:w="80" w:type="dxa"/>
              <w:start w:w="120" w:type="dxa"/>
              <w:bottom w:w="80" w:type="dxa"/>
              <w:end w:w="120" w:type="dxa"/>
            </w:tcMar>
          </w:tcPr>
          <w:p>
            <w:pPr>
              <w:spacing w:after="0" w:before="0" w:line="276" w:lineRule="auto"/>
            </w:pPr>
            <w:r>
              <w:rPr>
                <w:rFonts w:ascii="Aptos" w:hAnsi="Aptos"/>
                <w:b w:val="0"/>
                <w:i w:val="0"/>
                <w:color w:val="000000"/>
                <w:sz w:val="20"/>
              </w:rPr>
              <w:t>Coach4U is consistently described as ADHD-informed couples work plus strengths-based individual support.</w:t>
            </w:r>
          </w:p>
        </w:tc>
        <w:tc>
          <w:tcPr>
            <w:tcW w:type="dxa" w:w="2448"/>
            <w:tcMar>
              <w:top w:w="80" w:type="dxa"/>
              <w:start w:w="120" w:type="dxa"/>
              <w:bottom w:w="80" w:type="dxa"/>
              <w:end w:w="120" w:type="dxa"/>
            </w:tcMar>
          </w:tcPr>
          <w:p>
            <w:pPr>
              <w:spacing w:after="0" w:before="0" w:line="276" w:lineRule="auto"/>
            </w:pPr>
            <w:r>
              <w:rPr>
                <w:rFonts w:ascii="Aptos" w:hAnsi="Aptos"/>
                <w:b w:val="0"/>
                <w:i w:val="0"/>
                <w:color w:val="000000"/>
                <w:sz w:val="20"/>
              </w:rPr>
              <w:t>Message used across posts, conversations, referral sheets, and offers.</w:t>
            </w:r>
          </w:p>
        </w:tc>
      </w:tr>
      <w:tr>
        <w:trPr>
          <w:cantSplit/>
        </w:trPr>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Stabilise ThriveHQ</w:t>
            </w:r>
          </w:p>
        </w:tc>
        <w:tc>
          <w:tcPr>
            <w:tcW w:type="dxa" w:w="4320"/>
            <w:tcMar>
              <w:top w:w="80" w:type="dxa"/>
              <w:start w:w="120" w:type="dxa"/>
              <w:bottom w:w="80" w:type="dxa"/>
              <w:end w:w="120" w:type="dxa"/>
            </w:tcMar>
          </w:tcPr>
          <w:p>
            <w:pPr>
              <w:spacing w:after="0" w:before="0" w:line="276" w:lineRule="auto"/>
            </w:pPr>
            <w:r>
              <w:rPr>
                <w:rFonts w:ascii="Aptos" w:hAnsi="Aptos"/>
                <w:b w:val="0"/>
                <w:i w:val="0"/>
                <w:color w:val="000000"/>
                <w:sz w:val="20"/>
              </w:rPr>
              <w:t>Each 10-week block has a clear start, reinforcement rhythm, and next-step offer.</w:t>
            </w:r>
          </w:p>
        </w:tc>
        <w:tc>
          <w:tcPr>
            <w:tcW w:type="dxa" w:w="2448"/>
            <w:tcMar>
              <w:top w:w="80" w:type="dxa"/>
              <w:start w:w="120" w:type="dxa"/>
              <w:bottom w:w="80" w:type="dxa"/>
              <w:end w:w="120" w:type="dxa"/>
            </w:tcMar>
          </w:tcPr>
          <w:p>
            <w:pPr>
              <w:spacing w:after="0" w:before="0" w:line="276" w:lineRule="auto"/>
            </w:pPr>
            <w:r>
              <w:rPr>
                <w:rFonts w:ascii="Aptos" w:hAnsi="Aptos"/>
                <w:b w:val="0"/>
                <w:i w:val="0"/>
                <w:color w:val="000000"/>
                <w:sz w:val="20"/>
              </w:rPr>
              <w:t>Number of members, retention into next block, workshop uptake.</w:t>
            </w:r>
          </w:p>
        </w:tc>
      </w:tr>
      <w:tr>
        <w:trPr>
          <w:cantSplit/>
        </w:trPr>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Establish workshops</w:t>
            </w:r>
          </w:p>
        </w:tc>
        <w:tc>
          <w:tcPr>
            <w:tcW w:type="dxa" w:w="4320"/>
            <w:tcMar>
              <w:top w:w="80" w:type="dxa"/>
              <w:start w:w="120" w:type="dxa"/>
              <w:bottom w:w="80" w:type="dxa"/>
              <w:end w:w="120" w:type="dxa"/>
            </w:tcMar>
          </w:tcPr>
          <w:p>
            <w:pPr>
              <w:spacing w:after="0" w:before="0" w:line="276" w:lineRule="auto"/>
            </w:pPr>
            <w:r>
              <w:rPr>
                <w:rFonts w:ascii="Aptos" w:hAnsi="Aptos"/>
                <w:b w:val="0"/>
                <w:i w:val="0"/>
                <w:color w:val="000000"/>
                <w:sz w:val="20"/>
              </w:rPr>
              <w:t>Four to six workshops are run across the year with a repeatable structure and clear pathway into services.</w:t>
            </w:r>
          </w:p>
        </w:tc>
        <w:tc>
          <w:tcPr>
            <w:tcW w:type="dxa" w:w="2448"/>
            <w:tcMar>
              <w:top w:w="80" w:type="dxa"/>
              <w:start w:w="120" w:type="dxa"/>
              <w:bottom w:w="80" w:type="dxa"/>
              <w:end w:w="120" w:type="dxa"/>
            </w:tcMar>
          </w:tcPr>
          <w:p>
            <w:pPr>
              <w:spacing w:after="0" w:before="0" w:line="276" w:lineRule="auto"/>
            </w:pPr>
            <w:r>
              <w:rPr>
                <w:rFonts w:ascii="Aptos" w:hAnsi="Aptos"/>
                <w:b w:val="0"/>
                <w:i w:val="0"/>
                <w:color w:val="000000"/>
                <w:sz w:val="20"/>
              </w:rPr>
              <w:t>Workshop attendance, conversion into enquiries or bookings.</w:t>
            </w:r>
          </w:p>
        </w:tc>
      </w:tr>
      <w:tr>
        <w:trPr>
          <w:cantSplit/>
        </w:trPr>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Build referral pathways</w:t>
            </w:r>
          </w:p>
        </w:tc>
        <w:tc>
          <w:tcPr>
            <w:tcW w:type="dxa" w:w="4320"/>
            <w:tcMar>
              <w:top w:w="80" w:type="dxa"/>
              <w:start w:w="120" w:type="dxa"/>
              <w:bottom w:w="80" w:type="dxa"/>
              <w:end w:w="120" w:type="dxa"/>
            </w:tcMar>
          </w:tcPr>
          <w:p>
            <w:pPr>
              <w:spacing w:after="0" w:before="0" w:line="276" w:lineRule="auto"/>
            </w:pPr>
            <w:r>
              <w:rPr>
                <w:rFonts w:ascii="Aptos" w:hAnsi="Aptos"/>
                <w:b w:val="0"/>
                <w:i w:val="0"/>
                <w:color w:val="000000"/>
                <w:sz w:val="20"/>
              </w:rPr>
              <w:t>Targeted GP and professional referral activity is underway and producing conversations.</w:t>
            </w:r>
          </w:p>
        </w:tc>
        <w:tc>
          <w:tcPr>
            <w:tcW w:type="dxa" w:w="2448"/>
            <w:tcMar>
              <w:top w:w="80" w:type="dxa"/>
              <w:start w:w="120" w:type="dxa"/>
              <w:bottom w:w="80" w:type="dxa"/>
              <w:end w:w="120" w:type="dxa"/>
            </w:tcMar>
          </w:tcPr>
          <w:p>
            <w:pPr>
              <w:spacing w:after="0" w:before="0" w:line="276" w:lineRule="auto"/>
            </w:pPr>
            <w:r>
              <w:rPr>
                <w:rFonts w:ascii="Aptos" w:hAnsi="Aptos"/>
                <w:b w:val="0"/>
                <w:i w:val="0"/>
                <w:color w:val="000000"/>
                <w:sz w:val="20"/>
              </w:rPr>
              <w:t>Number of GP contacts, referral partners, and attributable enquiries.</w:t>
            </w:r>
          </w:p>
        </w:tc>
      </w:tr>
      <w:tr>
        <w:trPr>
          <w:cantSplit/>
        </w:trPr>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Create simple weekly marketing rhythm</w:t>
            </w:r>
          </w:p>
        </w:tc>
        <w:tc>
          <w:tcPr>
            <w:tcW w:type="dxa" w:w="4320"/>
            <w:tcMar>
              <w:top w:w="80" w:type="dxa"/>
              <w:start w:w="120" w:type="dxa"/>
              <w:bottom w:w="80" w:type="dxa"/>
              <w:end w:w="120" w:type="dxa"/>
            </w:tcMar>
          </w:tcPr>
          <w:p>
            <w:pPr>
              <w:spacing w:after="0" w:before="0" w:line="276" w:lineRule="auto"/>
            </w:pPr>
            <w:r>
              <w:rPr>
                <w:rFonts w:ascii="Aptos" w:hAnsi="Aptos"/>
                <w:b w:val="0"/>
                <w:i w:val="0"/>
                <w:color w:val="000000"/>
                <w:sz w:val="20"/>
              </w:rPr>
              <w:t>Marketing happens weekly without creating drag or requiring constant new ideas.</w:t>
            </w:r>
          </w:p>
        </w:tc>
        <w:tc>
          <w:tcPr>
            <w:tcW w:type="dxa" w:w="2448"/>
            <w:tcMar>
              <w:top w:w="80" w:type="dxa"/>
              <w:start w:w="120" w:type="dxa"/>
              <w:bottom w:w="80" w:type="dxa"/>
              <w:end w:w="120" w:type="dxa"/>
            </w:tcMar>
          </w:tcPr>
          <w:p>
            <w:pPr>
              <w:spacing w:after="0" w:before="0" w:line="276" w:lineRule="auto"/>
            </w:pPr>
            <w:r>
              <w:rPr>
                <w:rFonts w:ascii="Aptos" w:hAnsi="Aptos"/>
                <w:b w:val="0"/>
                <w:i w:val="0"/>
                <w:color w:val="000000"/>
                <w:sz w:val="20"/>
              </w:rPr>
              <w:t>Weekly completion of key actions, not perfect content volume.</w:t>
            </w:r>
          </w:p>
        </w:tc>
      </w:tr>
    </w:tbl>
    <w:p/>
    <w:p>
      <w:pPr>
        <w:spacing w:after="120" w:before="240" w:line="276" w:lineRule="auto"/>
      </w:pPr>
      <w:r>
        <w:rPr>
          <w:rFonts w:ascii="Arial" w:hAnsi="Arial"/>
          <w:b/>
          <w:i w:val="0"/>
          <w:color w:val="003366"/>
          <w:sz w:val="24"/>
        </w:rPr>
        <w:t>5. Current Quarter Plan | April to June 2026</w:t>
      </w:r>
    </w:p>
    <w:p>
      <w:pPr>
        <w:spacing w:after="120" w:before="0" w:line="276" w:lineRule="auto"/>
      </w:pPr>
      <w:r>
        <w:rPr>
          <w:rFonts w:ascii="Aptos" w:hAnsi="Aptos"/>
          <w:b w:val="0"/>
          <w:i w:val="0"/>
          <w:color w:val="000000"/>
          <w:sz w:val="22"/>
        </w:rPr>
        <w:t>This quarter takes Coach4U to the end of the financial year. The objective is not to do everything. The objective is to finish the year with focus, test what works, and set up the next financial year with a cleaner operating rhythm.</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40"/>
        <w:gridCol w:w="2340"/>
        <w:gridCol w:w="2340"/>
        <w:gridCol w:w="2340"/>
      </w:tblGrid>
      <w:tr>
        <w:trPr>
          <w:tblHeader w:val="true"/>
        </w:trPr>
        <w:tc>
          <w:tcPr>
            <w:tcW w:type="dxa" w:w="1440"/>
            <w:shd w:fill="DCE6F1"/>
            <w:tcMar>
              <w:top w:w="80" w:type="dxa"/>
              <w:start w:w="120" w:type="dxa"/>
              <w:bottom w:w="80" w:type="dxa"/>
              <w:end w:w="120" w:type="dxa"/>
            </w:tcMar>
          </w:tcPr>
          <w:p>
            <w:pPr>
              <w:spacing w:after="0" w:before="0" w:line="276" w:lineRule="auto"/>
            </w:pPr>
            <w:r>
              <w:rPr>
                <w:rFonts w:ascii="Arial" w:hAnsi="Arial"/>
                <w:b/>
                <w:i w:val="0"/>
                <w:color w:val="003366"/>
                <w:sz w:val="20"/>
              </w:rPr>
              <w:t>Rock</w:t>
            </w:r>
          </w:p>
        </w:tc>
        <w:tc>
          <w:tcPr>
            <w:tcW w:type="dxa" w:w="4320"/>
            <w:shd w:fill="DCE6F1"/>
            <w:tcMar>
              <w:top w:w="80" w:type="dxa"/>
              <w:start w:w="120" w:type="dxa"/>
              <w:bottom w:w="80" w:type="dxa"/>
              <w:end w:w="120" w:type="dxa"/>
            </w:tcMar>
          </w:tcPr>
          <w:p>
            <w:pPr>
              <w:spacing w:after="0" w:before="0" w:line="276" w:lineRule="auto"/>
            </w:pPr>
            <w:r>
              <w:rPr>
                <w:rFonts w:ascii="Arial" w:hAnsi="Arial"/>
                <w:b/>
                <w:i w:val="0"/>
                <w:color w:val="003366"/>
                <w:sz w:val="20"/>
              </w:rPr>
              <w:t>Outcome by 30 June 2026</w:t>
            </w:r>
          </w:p>
        </w:tc>
        <w:tc>
          <w:tcPr>
            <w:tcW w:type="dxa" w:w="1152"/>
            <w:shd w:fill="DCE6F1"/>
            <w:tcMar>
              <w:top w:w="80" w:type="dxa"/>
              <w:start w:w="120" w:type="dxa"/>
              <w:bottom w:w="80" w:type="dxa"/>
              <w:end w:w="120" w:type="dxa"/>
            </w:tcMar>
          </w:tcPr>
          <w:p>
            <w:pPr>
              <w:spacing w:after="0" w:before="0" w:line="276" w:lineRule="auto"/>
            </w:pPr>
            <w:r>
              <w:rPr>
                <w:rFonts w:ascii="Arial" w:hAnsi="Arial"/>
                <w:b/>
                <w:i w:val="0"/>
                <w:color w:val="003366"/>
                <w:sz w:val="20"/>
              </w:rPr>
              <w:t>Owner</w:t>
            </w:r>
          </w:p>
        </w:tc>
        <w:tc>
          <w:tcPr>
            <w:tcW w:type="dxa" w:w="3024"/>
            <w:shd w:fill="DCE6F1"/>
            <w:tcMar>
              <w:top w:w="80" w:type="dxa"/>
              <w:start w:w="120" w:type="dxa"/>
              <w:bottom w:w="80" w:type="dxa"/>
              <w:end w:w="120" w:type="dxa"/>
            </w:tcMar>
          </w:tcPr>
          <w:p>
            <w:pPr>
              <w:spacing w:after="0" w:before="0" w:line="276" w:lineRule="auto"/>
            </w:pPr>
            <w:r>
              <w:rPr>
                <w:rFonts w:ascii="Arial" w:hAnsi="Arial"/>
                <w:b/>
                <w:i w:val="0"/>
                <w:color w:val="003366"/>
                <w:sz w:val="20"/>
              </w:rPr>
              <w:t>Weekly traction actions</w:t>
            </w:r>
          </w:p>
        </w:tc>
      </w:tr>
      <w:tr>
        <w:trPr>
          <w:cantSplit/>
        </w:trPr>
        <w:tc>
          <w:tcPr>
            <w:tcW w:type="dxa" w:w="144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1</w:t>
            </w:r>
          </w:p>
        </w:tc>
        <w:tc>
          <w:tcPr>
            <w:tcW w:type="dxa" w:w="432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Positioning is locked in writing and used consistently: Coach4U supports couples and individuals where ADHD affects relationships, capacity, routines, and daily life, using a strengths-based approach.</w:t>
            </w:r>
          </w:p>
        </w:tc>
        <w:tc>
          <w:tcPr>
            <w:tcW w:type="dxa" w:w="1152"/>
            <w:tcMar>
              <w:top w:w="80" w:type="dxa"/>
              <w:start w:w="120" w:type="dxa"/>
              <w:bottom w:w="80" w:type="dxa"/>
              <w:end w:w="120" w:type="dxa"/>
            </w:tcMar>
            <w:vAlign w:val="center"/>
          </w:tcPr>
          <w:p>
            <w:pPr>
              <w:spacing w:after="0" w:before="0" w:line="276" w:lineRule="auto"/>
            </w:pPr>
            <w:r>
              <w:rPr>
                <w:rFonts w:ascii="Aptos" w:hAnsi="Aptos"/>
                <w:b w:val="0"/>
                <w:i w:val="0"/>
                <w:color w:val="000000"/>
                <w:sz w:val="20"/>
              </w:rPr>
              <w:t>Cath</w:t>
            </w:r>
          </w:p>
        </w:tc>
        <w:tc>
          <w:tcPr>
            <w:tcW w:type="dxa" w:w="3024"/>
            <w:tcMar>
              <w:top w:w="80" w:type="dxa"/>
              <w:start w:w="120" w:type="dxa"/>
              <w:bottom w:w="80" w:type="dxa"/>
              <w:end w:w="120" w:type="dxa"/>
            </w:tcMar>
            <w:vAlign w:val="center"/>
          </w:tcPr>
          <w:p>
            <w:pPr>
              <w:spacing w:after="0" w:before="0" w:line="276" w:lineRule="auto"/>
            </w:pPr>
            <w:r>
              <w:rPr>
                <w:rFonts w:ascii="Aptos" w:hAnsi="Aptos"/>
                <w:b w:val="0"/>
                <w:i w:val="0"/>
                <w:color w:val="000000"/>
                <w:sz w:val="20"/>
              </w:rPr>
              <w:t>Use the positioning statement in North Shore Mums posts, MHPN interactions, referral drafts, and offer conversations.</w:t>
            </w:r>
          </w:p>
        </w:tc>
      </w:tr>
      <w:tr>
        <w:trPr>
          <w:cantSplit/>
        </w:trPr>
        <w:tc>
          <w:tcPr>
            <w:tcW w:type="dxa" w:w="144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2</w:t>
            </w:r>
          </w:p>
        </w:tc>
        <w:tc>
          <w:tcPr>
            <w:tcW w:type="dxa" w:w="432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ThriveHQ has a repeatable weekly anchor-message rhythm in place inside the existing group space. No newsletter is created unless later data clearly supports it.</w:t>
            </w:r>
          </w:p>
        </w:tc>
        <w:tc>
          <w:tcPr>
            <w:tcW w:type="dxa" w:w="1152"/>
            <w:tcMar>
              <w:top w:w="80" w:type="dxa"/>
              <w:start w:w="120" w:type="dxa"/>
              <w:bottom w:w="80" w:type="dxa"/>
              <w:end w:w="120" w:type="dxa"/>
            </w:tcMar>
            <w:vAlign w:val="center"/>
          </w:tcPr>
          <w:p>
            <w:pPr>
              <w:spacing w:after="0" w:before="0" w:line="276" w:lineRule="auto"/>
            </w:pPr>
            <w:r>
              <w:rPr>
                <w:rFonts w:ascii="Aptos" w:hAnsi="Aptos"/>
                <w:b w:val="0"/>
                <w:i w:val="0"/>
                <w:color w:val="000000"/>
                <w:sz w:val="20"/>
              </w:rPr>
              <w:t>Cath</w:t>
            </w:r>
          </w:p>
        </w:tc>
        <w:tc>
          <w:tcPr>
            <w:tcW w:type="dxa" w:w="3024"/>
            <w:tcMar>
              <w:top w:w="80" w:type="dxa"/>
              <w:start w:w="120" w:type="dxa"/>
              <w:bottom w:w="80" w:type="dxa"/>
              <w:end w:w="120" w:type="dxa"/>
            </w:tcMar>
            <w:vAlign w:val="center"/>
          </w:tcPr>
          <w:p>
            <w:pPr>
              <w:spacing w:after="0" w:before="0" w:line="276" w:lineRule="auto"/>
            </w:pPr>
            <w:r>
              <w:rPr>
                <w:rFonts w:ascii="Aptos" w:hAnsi="Aptos"/>
                <w:b w:val="0"/>
                <w:i w:val="0"/>
                <w:color w:val="000000"/>
                <w:sz w:val="20"/>
              </w:rPr>
              <w:t>Post one useful anchor message each week. Capture the best ideas for future worksheets and workshops.</w:t>
            </w:r>
          </w:p>
        </w:tc>
      </w:tr>
      <w:tr>
        <w:trPr>
          <w:cantSplit/>
        </w:trPr>
        <w:tc>
          <w:tcPr>
            <w:tcW w:type="dxa" w:w="144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3</w:t>
            </w:r>
          </w:p>
        </w:tc>
        <w:tc>
          <w:tcPr>
            <w:tcW w:type="dxa" w:w="432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The North Shore Mums couples page is used every Tuesday night with a clear post that names a real problem and makes the next step obvious.</w:t>
            </w:r>
          </w:p>
        </w:tc>
        <w:tc>
          <w:tcPr>
            <w:tcW w:type="dxa" w:w="1152"/>
            <w:tcMar>
              <w:top w:w="80" w:type="dxa"/>
              <w:start w:w="120" w:type="dxa"/>
              <w:bottom w:w="80" w:type="dxa"/>
              <w:end w:w="120" w:type="dxa"/>
            </w:tcMar>
            <w:vAlign w:val="center"/>
          </w:tcPr>
          <w:p>
            <w:pPr>
              <w:spacing w:after="0" w:before="0" w:line="276" w:lineRule="auto"/>
            </w:pPr>
            <w:r>
              <w:rPr>
                <w:rFonts w:ascii="Aptos" w:hAnsi="Aptos"/>
                <w:b w:val="0"/>
                <w:i w:val="0"/>
                <w:color w:val="000000"/>
                <w:sz w:val="20"/>
              </w:rPr>
              <w:t>Cath</w:t>
            </w:r>
          </w:p>
        </w:tc>
        <w:tc>
          <w:tcPr>
            <w:tcW w:type="dxa" w:w="3024"/>
            <w:tcMar>
              <w:top w:w="80" w:type="dxa"/>
              <w:start w:w="120" w:type="dxa"/>
              <w:bottom w:w="80" w:type="dxa"/>
              <w:end w:w="120" w:type="dxa"/>
            </w:tcMar>
            <w:vAlign w:val="center"/>
          </w:tcPr>
          <w:p>
            <w:pPr>
              <w:spacing w:after="0" w:before="0" w:line="276" w:lineRule="auto"/>
            </w:pPr>
            <w:r>
              <w:rPr>
                <w:rFonts w:ascii="Aptos" w:hAnsi="Aptos"/>
                <w:b w:val="0"/>
                <w:i w:val="0"/>
                <w:color w:val="000000"/>
                <w:sz w:val="20"/>
              </w:rPr>
              <w:t>Prepare one Tuesday post each week and respond to relevant comments or posts with a clear, calm invitation.</w:t>
            </w:r>
          </w:p>
        </w:tc>
      </w:tr>
      <w:tr>
        <w:trPr>
          <w:cantSplit/>
        </w:trPr>
        <w:tc>
          <w:tcPr>
            <w:tcW w:type="dxa" w:w="144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4</w:t>
            </w:r>
          </w:p>
        </w:tc>
        <w:tc>
          <w:tcPr>
            <w:tcW w:type="dxa" w:w="432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Referral outreach begins with a one-page referral sheet and first GP/professional contacts. MHPN is treated as a referral channel, not only a facilitation task.</w:t>
            </w:r>
          </w:p>
        </w:tc>
        <w:tc>
          <w:tcPr>
            <w:tcW w:type="dxa" w:w="1152"/>
            <w:tcMar>
              <w:top w:w="80" w:type="dxa"/>
              <w:start w:w="120" w:type="dxa"/>
              <w:bottom w:w="80" w:type="dxa"/>
              <w:end w:w="120" w:type="dxa"/>
            </w:tcMar>
            <w:vAlign w:val="center"/>
          </w:tcPr>
          <w:p>
            <w:pPr>
              <w:spacing w:after="0" w:before="0" w:line="276" w:lineRule="auto"/>
            </w:pPr>
            <w:r>
              <w:rPr>
                <w:rFonts w:ascii="Aptos" w:hAnsi="Aptos"/>
                <w:b w:val="0"/>
                <w:i w:val="0"/>
                <w:color w:val="000000"/>
                <w:sz w:val="20"/>
              </w:rPr>
              <w:t>Cath</w:t>
            </w:r>
          </w:p>
        </w:tc>
        <w:tc>
          <w:tcPr>
            <w:tcW w:type="dxa" w:w="3024"/>
            <w:tcMar>
              <w:top w:w="80" w:type="dxa"/>
              <w:start w:w="120" w:type="dxa"/>
              <w:bottom w:w="80" w:type="dxa"/>
              <w:end w:w="120" w:type="dxa"/>
            </w:tcMar>
            <w:vAlign w:val="center"/>
          </w:tcPr>
          <w:p>
            <w:pPr>
              <w:spacing w:after="0" w:before="0" w:line="276" w:lineRule="auto"/>
            </w:pPr>
            <w:r>
              <w:rPr>
                <w:rFonts w:ascii="Aptos" w:hAnsi="Aptos"/>
                <w:b w:val="0"/>
                <w:i w:val="0"/>
                <w:color w:val="000000"/>
                <w:sz w:val="20"/>
              </w:rPr>
              <w:t>Draft referral sheet, shortlist local GPs, and make one referral-building move each week.</w:t>
            </w:r>
          </w:p>
        </w:tc>
      </w:tr>
      <w:tr>
        <w:trPr>
          <w:cantSplit/>
        </w:trPr>
        <w:tc>
          <w:tcPr>
            <w:tcW w:type="dxa" w:w="144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5</w:t>
            </w:r>
          </w:p>
        </w:tc>
        <w:tc>
          <w:tcPr>
            <w:tcW w:type="dxa" w:w="4320"/>
            <w:tcMar>
              <w:top w:w="80" w:type="dxa"/>
              <w:start w:w="120" w:type="dxa"/>
              <w:bottom w:w="80" w:type="dxa"/>
              <w:end w:w="120" w:type="dxa"/>
            </w:tcMar>
            <w:vAlign w:val="center"/>
          </w:tcPr>
          <w:p>
            <w:pPr>
              <w:spacing w:after="0" w:before="0" w:line="276" w:lineRule="auto"/>
            </w:pPr>
            <w:r>
              <w:rPr>
                <w:rFonts w:ascii="Aptos" w:hAnsi="Aptos"/>
                <w:b w:val="0"/>
                <w:i w:val="0"/>
                <w:color w:val="000000"/>
                <w:sz w:val="20"/>
              </w:rPr>
              <w:t>One pilot workshop is planned and offered before or just after the end of the quarter, positioned around strengths, capacity, ADHD, or couples with ADHD.</w:t>
            </w:r>
          </w:p>
        </w:tc>
        <w:tc>
          <w:tcPr>
            <w:tcW w:type="dxa" w:w="1152"/>
            <w:tcMar>
              <w:top w:w="80" w:type="dxa"/>
              <w:start w:w="120" w:type="dxa"/>
              <w:bottom w:w="80" w:type="dxa"/>
              <w:end w:w="120" w:type="dxa"/>
            </w:tcMar>
            <w:vAlign w:val="center"/>
          </w:tcPr>
          <w:p>
            <w:pPr>
              <w:spacing w:after="0" w:before="0" w:line="276" w:lineRule="auto"/>
            </w:pPr>
            <w:r>
              <w:rPr>
                <w:rFonts w:ascii="Aptos" w:hAnsi="Aptos"/>
                <w:b w:val="0"/>
                <w:i w:val="0"/>
                <w:color w:val="000000"/>
                <w:sz w:val="20"/>
              </w:rPr>
              <w:t>Cath</w:t>
            </w:r>
          </w:p>
        </w:tc>
        <w:tc>
          <w:tcPr>
            <w:tcW w:type="dxa" w:w="3024"/>
            <w:tcMar>
              <w:top w:w="80" w:type="dxa"/>
              <w:start w:w="120" w:type="dxa"/>
              <w:bottom w:w="80" w:type="dxa"/>
              <w:end w:w="120" w:type="dxa"/>
            </w:tcMar>
            <w:vAlign w:val="center"/>
          </w:tcPr>
          <w:p>
            <w:pPr>
              <w:spacing w:after="0" w:before="0" w:line="276" w:lineRule="auto"/>
            </w:pPr>
            <w:r>
              <w:rPr>
                <w:rFonts w:ascii="Aptos" w:hAnsi="Aptos"/>
                <w:b w:val="0"/>
                <w:i w:val="0"/>
                <w:color w:val="000000"/>
                <w:sz w:val="20"/>
              </w:rPr>
              <w:t>Choose topic, date, audience, and invitation pathway. Seed the offer regularly in warm channels.</w:t>
            </w:r>
          </w:p>
        </w:tc>
      </w:tr>
    </w:tbl>
    <w:p/>
    <w:tbl>
      <w:tblPr>
        <w:tblW w:type="auto" w:w="0"/>
        <w:jc w:val="center"/>
        <w:tblLayout w:type="fixed"/>
        <w:tblLook w:firstColumn="1" w:firstRow="1" w:lastColumn="0" w:lastRow="0" w:noHBand="0" w:noVBand="1" w:val="04A0"/>
      </w:tblPr>
      <w:tblGrid>
        <w:gridCol w:w="9360"/>
      </w:tblGrid>
      <w:tr>
        <w:tc>
          <w:tcPr>
            <w:tcW w:type="dxa" w:w="9360"/>
            <w:shd w:fill="EDF4FA"/>
            <w:tcMar>
              <w:top w:w="120" w:type="dxa"/>
              <w:start w:w="140" w:type="dxa"/>
              <w:bottom w:w="120" w:type="dxa"/>
              <w:end w:w="140" w:type="dxa"/>
            </w:tcMar>
          </w:tcPr>
          <w:p>
            <w:pPr>
              <w:spacing w:after="60"/>
            </w:pPr>
            <w:r>
              <w:rPr>
                <w:rFonts w:ascii="Arial" w:hAnsi="Arial"/>
                <w:b/>
                <w:color w:val="003366"/>
                <w:sz w:val="22"/>
              </w:rPr>
              <w:t>Quarterly discipline rule</w:t>
            </w:r>
          </w:p>
          <w:p>
            <w:pPr>
              <w:spacing w:after="0" w:before="0" w:line="276" w:lineRule="auto"/>
            </w:pPr>
            <w:r>
              <w:rPr>
                <w:rFonts w:ascii="Aptos" w:hAnsi="Aptos"/>
                <w:b w:val="0"/>
                <w:i w:val="0"/>
                <w:color w:val="000000"/>
                <w:sz w:val="21"/>
              </w:rPr>
              <w:t>If a new idea arrives during the quarter, it gets written down. It does not automatically become a Rock. Rocks only change if something genuinely more important must replace an existing priority.</w:t>
            </w:r>
          </w:p>
        </w:tc>
      </w:tr>
    </w:tbl>
    <w:p/>
    <w:p>
      <w:pPr>
        <w:spacing w:after="120" w:before="240" w:line="276" w:lineRule="auto"/>
      </w:pPr>
      <w:r>
        <w:rPr>
          <w:rFonts w:ascii="Arial" w:hAnsi="Arial"/>
          <w:b/>
          <w:i w:val="0"/>
          <w:color w:val="003366"/>
          <w:sz w:val="24"/>
        </w:rPr>
        <w:t>6. Weekly Scorecard</w:t>
      </w:r>
    </w:p>
    <w:p>
      <w:pPr>
        <w:spacing w:after="120" w:before="0" w:line="276" w:lineRule="auto"/>
      </w:pPr>
      <w:r>
        <w:rPr>
          <w:rFonts w:ascii="Aptos" w:hAnsi="Aptos"/>
          <w:b w:val="0"/>
          <w:i w:val="0"/>
          <w:color w:val="000000"/>
          <w:sz w:val="22"/>
        </w:rPr>
        <w:t>The Scorecard is designed to track leading indicators. These are the numbers that show whether visibility, offers, and referral activity are actually happening each week.</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40"/>
        <w:gridCol w:w="2340"/>
        <w:gridCol w:w="2340"/>
        <w:gridCol w:w="2340"/>
      </w:tblGrid>
      <w:tr>
        <w:trPr>
          <w:tblHeader w:val="true"/>
        </w:trPr>
        <w:tc>
          <w:tcPr>
            <w:tcW w:type="dxa" w:w="3168"/>
            <w:shd w:fill="DCE6F1"/>
            <w:tcMar>
              <w:top w:w="80" w:type="dxa"/>
              <w:start w:w="120" w:type="dxa"/>
              <w:bottom w:w="80" w:type="dxa"/>
              <w:end w:w="120" w:type="dxa"/>
            </w:tcMar>
          </w:tcPr>
          <w:p>
            <w:pPr>
              <w:spacing w:after="0" w:before="0" w:line="276" w:lineRule="auto"/>
            </w:pPr>
            <w:r>
              <w:rPr>
                <w:rFonts w:ascii="Arial" w:hAnsi="Arial"/>
                <w:b/>
                <w:i w:val="0"/>
                <w:color w:val="003366"/>
                <w:sz w:val="20"/>
              </w:rPr>
              <w:t>Metric</w:t>
            </w:r>
          </w:p>
        </w:tc>
        <w:tc>
          <w:tcPr>
            <w:tcW w:type="dxa" w:w="1872"/>
            <w:shd w:fill="DCE6F1"/>
            <w:tcMar>
              <w:top w:w="80" w:type="dxa"/>
              <w:start w:w="120" w:type="dxa"/>
              <w:bottom w:w="80" w:type="dxa"/>
              <w:end w:w="120" w:type="dxa"/>
            </w:tcMar>
          </w:tcPr>
          <w:p>
            <w:pPr>
              <w:spacing w:after="0" w:before="0" w:line="276" w:lineRule="auto"/>
            </w:pPr>
            <w:r>
              <w:rPr>
                <w:rFonts w:ascii="Arial" w:hAnsi="Arial"/>
                <w:b/>
                <w:i w:val="0"/>
                <w:color w:val="003366"/>
                <w:sz w:val="20"/>
              </w:rPr>
              <w:t>Weekly target</w:t>
            </w:r>
          </w:p>
        </w:tc>
        <w:tc>
          <w:tcPr>
            <w:tcW w:type="dxa" w:w="4032"/>
            <w:shd w:fill="DCE6F1"/>
            <w:tcMar>
              <w:top w:w="80" w:type="dxa"/>
              <w:start w:w="120" w:type="dxa"/>
              <w:bottom w:w="80" w:type="dxa"/>
              <w:end w:w="120" w:type="dxa"/>
            </w:tcMar>
          </w:tcPr>
          <w:p>
            <w:pPr>
              <w:spacing w:after="0" w:before="0" w:line="276" w:lineRule="auto"/>
            </w:pPr>
            <w:r>
              <w:rPr>
                <w:rFonts w:ascii="Arial" w:hAnsi="Arial"/>
                <w:b/>
                <w:i w:val="0"/>
                <w:color w:val="003366"/>
                <w:sz w:val="20"/>
              </w:rPr>
              <w:t>Why it matters</w:t>
            </w:r>
          </w:p>
        </w:tc>
        <w:tc>
          <w:tcPr>
            <w:tcW w:type="dxa" w:w="1008"/>
            <w:shd w:fill="DCE6F1"/>
            <w:tcMar>
              <w:top w:w="80" w:type="dxa"/>
              <w:start w:w="120" w:type="dxa"/>
              <w:bottom w:w="80" w:type="dxa"/>
              <w:end w:w="120" w:type="dxa"/>
            </w:tcMar>
          </w:tcPr>
          <w:p>
            <w:pPr>
              <w:spacing w:after="0" w:before="0" w:line="276" w:lineRule="auto"/>
            </w:pPr>
            <w:r>
              <w:rPr>
                <w:rFonts w:ascii="Arial" w:hAnsi="Arial"/>
                <w:b/>
                <w:i w:val="0"/>
                <w:color w:val="003366"/>
                <w:sz w:val="20"/>
              </w:rPr>
              <w:t>Owner</w:t>
            </w:r>
          </w:p>
        </w:tc>
      </w:tr>
      <w:tr>
        <w:trPr>
          <w:cantSplit/>
        </w:trPr>
        <w:tc>
          <w:tcPr>
            <w:tcW w:type="dxa" w:w="3168"/>
            <w:tcMar>
              <w:top w:w="80" w:type="dxa"/>
              <w:start w:w="120" w:type="dxa"/>
              <w:bottom w:w="80" w:type="dxa"/>
              <w:end w:w="120" w:type="dxa"/>
            </w:tcMar>
          </w:tcPr>
          <w:p>
            <w:pPr>
              <w:spacing w:after="0" w:before="0" w:line="276" w:lineRule="auto"/>
            </w:pPr>
            <w:r>
              <w:rPr>
                <w:rFonts w:ascii="Aptos" w:hAnsi="Aptos"/>
                <w:b w:val="0"/>
                <w:i w:val="0"/>
                <w:color w:val="000000"/>
                <w:sz w:val="20"/>
              </w:rPr>
              <w:t>North Shore Mums post completed</w:t>
            </w:r>
          </w:p>
        </w:tc>
        <w:tc>
          <w:tcPr>
            <w:tcW w:type="dxa" w:w="1872"/>
            <w:tcMar>
              <w:top w:w="80" w:type="dxa"/>
              <w:start w:w="120" w:type="dxa"/>
              <w:bottom w:w="80" w:type="dxa"/>
              <w:end w:w="120" w:type="dxa"/>
            </w:tcMar>
          </w:tcPr>
          <w:p>
            <w:pPr>
              <w:spacing w:after="0" w:before="0" w:line="276" w:lineRule="auto"/>
            </w:pPr>
            <w:r>
              <w:rPr>
                <w:rFonts w:ascii="Aptos" w:hAnsi="Aptos"/>
                <w:b w:val="0"/>
                <w:i w:val="0"/>
                <w:color w:val="000000"/>
                <w:sz w:val="20"/>
              </w:rPr>
              <w:t>1</w:t>
            </w:r>
          </w:p>
        </w:tc>
        <w:tc>
          <w:tcPr>
            <w:tcW w:type="dxa" w:w="4032"/>
            <w:tcMar>
              <w:top w:w="80" w:type="dxa"/>
              <w:start w:w="120" w:type="dxa"/>
              <w:bottom w:w="80" w:type="dxa"/>
              <w:end w:w="120" w:type="dxa"/>
            </w:tcMar>
          </w:tcPr>
          <w:p>
            <w:pPr>
              <w:spacing w:after="0" w:before="0" w:line="276" w:lineRule="auto"/>
            </w:pPr>
            <w:r>
              <w:rPr>
                <w:rFonts w:ascii="Aptos" w:hAnsi="Aptos"/>
                <w:b w:val="0"/>
                <w:i w:val="0"/>
                <w:color w:val="000000"/>
                <w:sz w:val="20"/>
              </w:rPr>
              <w:t>Maintains weekly visibility in the paid channel already purchased.</w:t>
            </w:r>
          </w:p>
        </w:tc>
        <w:tc>
          <w:tcPr>
            <w:tcW w:type="dxa" w:w="1008"/>
            <w:tcMar>
              <w:top w:w="80" w:type="dxa"/>
              <w:start w:w="120" w:type="dxa"/>
              <w:bottom w:w="80" w:type="dxa"/>
              <w:end w:w="120" w:type="dxa"/>
            </w:tcMar>
          </w:tcPr>
          <w:p>
            <w:pPr>
              <w:spacing w:after="0" w:before="0" w:line="276" w:lineRule="auto"/>
            </w:pPr>
            <w:r>
              <w:rPr>
                <w:rFonts w:ascii="Aptos" w:hAnsi="Aptos"/>
                <w:b w:val="0"/>
                <w:i w:val="0"/>
                <w:color w:val="000000"/>
                <w:sz w:val="20"/>
              </w:rPr>
              <w:t>Cath</w:t>
            </w:r>
          </w:p>
        </w:tc>
      </w:tr>
      <w:tr>
        <w:trPr>
          <w:cantSplit/>
        </w:trPr>
        <w:tc>
          <w:tcPr>
            <w:tcW w:type="dxa" w:w="3168"/>
            <w:tcMar>
              <w:top w:w="80" w:type="dxa"/>
              <w:start w:w="120" w:type="dxa"/>
              <w:bottom w:w="80" w:type="dxa"/>
              <w:end w:w="120" w:type="dxa"/>
            </w:tcMar>
          </w:tcPr>
          <w:p>
            <w:pPr>
              <w:spacing w:after="0" w:before="0" w:line="276" w:lineRule="auto"/>
            </w:pPr>
            <w:r>
              <w:rPr>
                <w:rFonts w:ascii="Aptos" w:hAnsi="Aptos"/>
                <w:b w:val="0"/>
                <w:i w:val="0"/>
                <w:color w:val="000000"/>
                <w:sz w:val="20"/>
              </w:rPr>
              <w:t>ThriveHQ anchor message posted</w:t>
            </w:r>
          </w:p>
        </w:tc>
        <w:tc>
          <w:tcPr>
            <w:tcW w:type="dxa" w:w="1872"/>
            <w:tcMar>
              <w:top w:w="80" w:type="dxa"/>
              <w:start w:w="120" w:type="dxa"/>
              <w:bottom w:w="80" w:type="dxa"/>
              <w:end w:w="120" w:type="dxa"/>
            </w:tcMar>
          </w:tcPr>
          <w:p>
            <w:pPr>
              <w:spacing w:after="0" w:before="0" w:line="276" w:lineRule="auto"/>
            </w:pPr>
            <w:r>
              <w:rPr>
                <w:rFonts w:ascii="Aptos" w:hAnsi="Aptos"/>
                <w:b w:val="0"/>
                <w:i w:val="0"/>
                <w:color w:val="000000"/>
                <w:sz w:val="20"/>
              </w:rPr>
              <w:t>1</w:t>
            </w:r>
          </w:p>
        </w:tc>
        <w:tc>
          <w:tcPr>
            <w:tcW w:type="dxa" w:w="4032"/>
            <w:tcMar>
              <w:top w:w="80" w:type="dxa"/>
              <w:start w:w="120" w:type="dxa"/>
              <w:bottom w:w="80" w:type="dxa"/>
              <w:end w:w="120" w:type="dxa"/>
            </w:tcMar>
          </w:tcPr>
          <w:p>
            <w:pPr>
              <w:spacing w:after="0" w:before="0" w:line="276" w:lineRule="auto"/>
            </w:pPr>
            <w:r>
              <w:rPr>
                <w:rFonts w:ascii="Aptos" w:hAnsi="Aptos"/>
                <w:b w:val="0"/>
                <w:i w:val="0"/>
                <w:color w:val="000000"/>
                <w:sz w:val="20"/>
              </w:rPr>
              <w:t>Reinforces learning and creates a repeatable content habit.</w:t>
            </w:r>
          </w:p>
        </w:tc>
        <w:tc>
          <w:tcPr>
            <w:tcW w:type="dxa" w:w="1008"/>
            <w:tcMar>
              <w:top w:w="80" w:type="dxa"/>
              <w:start w:w="120" w:type="dxa"/>
              <w:bottom w:w="80" w:type="dxa"/>
              <w:end w:w="120" w:type="dxa"/>
            </w:tcMar>
          </w:tcPr>
          <w:p>
            <w:pPr>
              <w:spacing w:after="0" w:before="0" w:line="276" w:lineRule="auto"/>
            </w:pPr>
            <w:r>
              <w:rPr>
                <w:rFonts w:ascii="Aptos" w:hAnsi="Aptos"/>
                <w:b w:val="0"/>
                <w:i w:val="0"/>
                <w:color w:val="000000"/>
                <w:sz w:val="20"/>
              </w:rPr>
              <w:t>Cath</w:t>
            </w:r>
          </w:p>
        </w:tc>
      </w:tr>
      <w:tr>
        <w:trPr>
          <w:cantSplit/>
        </w:trPr>
        <w:tc>
          <w:tcPr>
            <w:tcW w:type="dxa" w:w="3168"/>
            <w:tcMar>
              <w:top w:w="80" w:type="dxa"/>
              <w:start w:w="120" w:type="dxa"/>
              <w:bottom w:w="80" w:type="dxa"/>
              <w:end w:w="120" w:type="dxa"/>
            </w:tcMar>
          </w:tcPr>
          <w:p>
            <w:pPr>
              <w:spacing w:after="0" w:before="0" w:line="276" w:lineRule="auto"/>
            </w:pPr>
            <w:r>
              <w:rPr>
                <w:rFonts w:ascii="Aptos" w:hAnsi="Aptos"/>
                <w:b w:val="0"/>
                <w:i w:val="0"/>
                <w:color w:val="000000"/>
                <w:sz w:val="20"/>
              </w:rPr>
              <w:t>Clear offers made to existing clients or group members</w:t>
            </w:r>
          </w:p>
        </w:tc>
        <w:tc>
          <w:tcPr>
            <w:tcW w:type="dxa" w:w="1872"/>
            <w:tcMar>
              <w:top w:w="80" w:type="dxa"/>
              <w:start w:w="120" w:type="dxa"/>
              <w:bottom w:w="80" w:type="dxa"/>
              <w:end w:w="120" w:type="dxa"/>
            </w:tcMar>
          </w:tcPr>
          <w:p>
            <w:pPr>
              <w:spacing w:after="0" w:before="0" w:line="276" w:lineRule="auto"/>
            </w:pPr>
            <w:r>
              <w:rPr>
                <w:rFonts w:ascii="Aptos" w:hAnsi="Aptos"/>
                <w:b w:val="0"/>
                <w:i w:val="0"/>
                <w:color w:val="000000"/>
                <w:sz w:val="20"/>
              </w:rPr>
              <w:t>2</w:t>
            </w:r>
          </w:p>
        </w:tc>
        <w:tc>
          <w:tcPr>
            <w:tcW w:type="dxa" w:w="4032"/>
            <w:tcMar>
              <w:top w:w="80" w:type="dxa"/>
              <w:start w:w="120" w:type="dxa"/>
              <w:bottom w:w="80" w:type="dxa"/>
              <w:end w:w="120" w:type="dxa"/>
            </w:tcMar>
          </w:tcPr>
          <w:p>
            <w:pPr>
              <w:spacing w:after="0" w:before="0" w:line="276" w:lineRule="auto"/>
            </w:pPr>
            <w:r>
              <w:rPr>
                <w:rFonts w:ascii="Aptos" w:hAnsi="Aptos"/>
                <w:b w:val="0"/>
                <w:i w:val="0"/>
                <w:color w:val="000000"/>
                <w:sz w:val="20"/>
              </w:rPr>
              <w:t>Growth currently comes mainly through warm relationships and upsell pathways.</w:t>
            </w:r>
          </w:p>
        </w:tc>
        <w:tc>
          <w:tcPr>
            <w:tcW w:type="dxa" w:w="1008"/>
            <w:tcMar>
              <w:top w:w="80" w:type="dxa"/>
              <w:start w:w="120" w:type="dxa"/>
              <w:bottom w:w="80" w:type="dxa"/>
              <w:end w:w="120" w:type="dxa"/>
            </w:tcMar>
          </w:tcPr>
          <w:p>
            <w:pPr>
              <w:spacing w:after="0" w:before="0" w:line="276" w:lineRule="auto"/>
            </w:pPr>
            <w:r>
              <w:rPr>
                <w:rFonts w:ascii="Aptos" w:hAnsi="Aptos"/>
                <w:b w:val="0"/>
                <w:i w:val="0"/>
                <w:color w:val="000000"/>
                <w:sz w:val="20"/>
              </w:rPr>
              <w:t>Cath</w:t>
            </w:r>
          </w:p>
        </w:tc>
      </w:tr>
      <w:tr>
        <w:trPr>
          <w:cantSplit/>
        </w:trPr>
        <w:tc>
          <w:tcPr>
            <w:tcW w:type="dxa" w:w="3168"/>
            <w:tcMar>
              <w:top w:w="80" w:type="dxa"/>
              <w:start w:w="120" w:type="dxa"/>
              <w:bottom w:w="80" w:type="dxa"/>
              <w:end w:w="120" w:type="dxa"/>
            </w:tcMar>
          </w:tcPr>
          <w:p>
            <w:pPr>
              <w:spacing w:after="0" w:before="0" w:line="276" w:lineRule="auto"/>
            </w:pPr>
            <w:r>
              <w:rPr>
                <w:rFonts w:ascii="Aptos" w:hAnsi="Aptos"/>
                <w:b w:val="0"/>
                <w:i w:val="0"/>
                <w:color w:val="000000"/>
                <w:sz w:val="20"/>
              </w:rPr>
              <w:t>Referral-building action completed</w:t>
            </w:r>
          </w:p>
        </w:tc>
        <w:tc>
          <w:tcPr>
            <w:tcW w:type="dxa" w:w="1872"/>
            <w:tcMar>
              <w:top w:w="80" w:type="dxa"/>
              <w:start w:w="120" w:type="dxa"/>
              <w:bottom w:w="80" w:type="dxa"/>
              <w:end w:w="120" w:type="dxa"/>
            </w:tcMar>
          </w:tcPr>
          <w:p>
            <w:pPr>
              <w:spacing w:after="0" w:before="0" w:line="276" w:lineRule="auto"/>
            </w:pPr>
            <w:r>
              <w:rPr>
                <w:rFonts w:ascii="Aptos" w:hAnsi="Aptos"/>
                <w:b w:val="0"/>
                <w:i w:val="0"/>
                <w:color w:val="000000"/>
                <w:sz w:val="20"/>
              </w:rPr>
              <w:t>1</w:t>
            </w:r>
          </w:p>
        </w:tc>
        <w:tc>
          <w:tcPr>
            <w:tcW w:type="dxa" w:w="4032"/>
            <w:tcMar>
              <w:top w:w="80" w:type="dxa"/>
              <w:start w:w="120" w:type="dxa"/>
              <w:bottom w:w="80" w:type="dxa"/>
              <w:end w:w="120" w:type="dxa"/>
            </w:tcMar>
          </w:tcPr>
          <w:p>
            <w:pPr>
              <w:spacing w:after="0" w:before="0" w:line="276" w:lineRule="auto"/>
            </w:pPr>
            <w:r>
              <w:rPr>
                <w:rFonts w:ascii="Aptos" w:hAnsi="Aptos"/>
                <w:b w:val="0"/>
                <w:i w:val="0"/>
                <w:color w:val="000000"/>
                <w:sz w:val="20"/>
              </w:rPr>
              <w:t>Creates future pipeline through GPs, MHPN, and allied professionals.</w:t>
            </w:r>
          </w:p>
        </w:tc>
        <w:tc>
          <w:tcPr>
            <w:tcW w:type="dxa" w:w="1008"/>
            <w:tcMar>
              <w:top w:w="80" w:type="dxa"/>
              <w:start w:w="120" w:type="dxa"/>
              <w:bottom w:w="80" w:type="dxa"/>
              <w:end w:w="120" w:type="dxa"/>
            </w:tcMar>
          </w:tcPr>
          <w:p>
            <w:pPr>
              <w:spacing w:after="0" w:before="0" w:line="276" w:lineRule="auto"/>
            </w:pPr>
            <w:r>
              <w:rPr>
                <w:rFonts w:ascii="Aptos" w:hAnsi="Aptos"/>
                <w:b w:val="0"/>
                <w:i w:val="0"/>
                <w:color w:val="000000"/>
                <w:sz w:val="20"/>
              </w:rPr>
              <w:t>Cath</w:t>
            </w:r>
          </w:p>
        </w:tc>
      </w:tr>
      <w:tr>
        <w:trPr>
          <w:cantSplit/>
        </w:trPr>
        <w:tc>
          <w:tcPr>
            <w:tcW w:type="dxa" w:w="3168"/>
            <w:tcMar>
              <w:top w:w="80" w:type="dxa"/>
              <w:start w:w="120" w:type="dxa"/>
              <w:bottom w:w="80" w:type="dxa"/>
              <w:end w:w="120" w:type="dxa"/>
            </w:tcMar>
          </w:tcPr>
          <w:p>
            <w:pPr>
              <w:spacing w:after="0" w:before="0" w:line="276" w:lineRule="auto"/>
            </w:pPr>
            <w:r>
              <w:rPr>
                <w:rFonts w:ascii="Aptos" w:hAnsi="Aptos"/>
                <w:b w:val="0"/>
                <w:i w:val="0"/>
                <w:color w:val="000000"/>
                <w:sz w:val="20"/>
              </w:rPr>
              <w:t>Workshop promotion touches</w:t>
            </w:r>
          </w:p>
        </w:tc>
        <w:tc>
          <w:tcPr>
            <w:tcW w:type="dxa" w:w="1872"/>
            <w:tcMar>
              <w:top w:w="80" w:type="dxa"/>
              <w:start w:w="120" w:type="dxa"/>
              <w:bottom w:w="80" w:type="dxa"/>
              <w:end w:w="120" w:type="dxa"/>
            </w:tcMar>
          </w:tcPr>
          <w:p>
            <w:pPr>
              <w:spacing w:after="0" w:before="0" w:line="276" w:lineRule="auto"/>
            </w:pPr>
            <w:r>
              <w:rPr>
                <w:rFonts w:ascii="Aptos" w:hAnsi="Aptos"/>
                <w:b w:val="0"/>
                <w:i w:val="0"/>
                <w:color w:val="000000"/>
                <w:sz w:val="20"/>
              </w:rPr>
              <w:t>1 to 2</w:t>
            </w:r>
          </w:p>
        </w:tc>
        <w:tc>
          <w:tcPr>
            <w:tcW w:type="dxa" w:w="4032"/>
            <w:tcMar>
              <w:top w:w="80" w:type="dxa"/>
              <w:start w:w="120" w:type="dxa"/>
              <w:bottom w:w="80" w:type="dxa"/>
              <w:end w:w="120" w:type="dxa"/>
            </w:tcMar>
          </w:tcPr>
          <w:p>
            <w:pPr>
              <w:spacing w:after="0" w:before="0" w:line="276" w:lineRule="auto"/>
            </w:pPr>
            <w:r>
              <w:rPr>
                <w:rFonts w:ascii="Aptos" w:hAnsi="Aptos"/>
                <w:b w:val="0"/>
                <w:i w:val="0"/>
                <w:color w:val="000000"/>
                <w:sz w:val="20"/>
              </w:rPr>
              <w:t>Keeps the pilot offer visible without overcomplicating marketing.</w:t>
            </w:r>
          </w:p>
        </w:tc>
        <w:tc>
          <w:tcPr>
            <w:tcW w:type="dxa" w:w="1008"/>
            <w:tcMar>
              <w:top w:w="80" w:type="dxa"/>
              <w:start w:w="120" w:type="dxa"/>
              <w:bottom w:w="80" w:type="dxa"/>
              <w:end w:w="120" w:type="dxa"/>
            </w:tcMar>
          </w:tcPr>
          <w:p>
            <w:pPr>
              <w:spacing w:after="0" w:before="0" w:line="276" w:lineRule="auto"/>
            </w:pPr>
            <w:r>
              <w:rPr>
                <w:rFonts w:ascii="Aptos" w:hAnsi="Aptos"/>
                <w:b w:val="0"/>
                <w:i w:val="0"/>
                <w:color w:val="000000"/>
                <w:sz w:val="20"/>
              </w:rPr>
              <w:t>Cath</w:t>
            </w:r>
          </w:p>
        </w:tc>
      </w:tr>
      <w:tr>
        <w:trPr>
          <w:cantSplit/>
        </w:trPr>
        <w:tc>
          <w:tcPr>
            <w:tcW w:type="dxa" w:w="3168"/>
            <w:tcMar>
              <w:top w:w="80" w:type="dxa"/>
              <w:start w:w="120" w:type="dxa"/>
              <w:bottom w:w="80" w:type="dxa"/>
              <w:end w:w="120" w:type="dxa"/>
            </w:tcMar>
          </w:tcPr>
          <w:p>
            <w:pPr>
              <w:spacing w:after="0" w:before="0" w:line="276" w:lineRule="auto"/>
            </w:pPr>
            <w:r>
              <w:rPr>
                <w:rFonts w:ascii="Aptos" w:hAnsi="Aptos"/>
                <w:b w:val="0"/>
                <w:i w:val="0"/>
                <w:color w:val="000000"/>
                <w:sz w:val="20"/>
              </w:rPr>
              <w:t>Ideas added to Issues List</w:t>
            </w:r>
          </w:p>
        </w:tc>
        <w:tc>
          <w:tcPr>
            <w:tcW w:type="dxa" w:w="1872"/>
            <w:tcMar>
              <w:top w:w="80" w:type="dxa"/>
              <w:start w:w="120" w:type="dxa"/>
              <w:bottom w:w="80" w:type="dxa"/>
              <w:end w:w="120" w:type="dxa"/>
            </w:tcMar>
          </w:tcPr>
          <w:p>
            <w:pPr>
              <w:spacing w:after="0" w:before="0" w:line="276" w:lineRule="auto"/>
            </w:pPr>
            <w:r>
              <w:rPr>
                <w:rFonts w:ascii="Aptos" w:hAnsi="Aptos"/>
                <w:b w:val="0"/>
                <w:i w:val="0"/>
                <w:color w:val="000000"/>
                <w:sz w:val="20"/>
              </w:rPr>
              <w:t>As needed</w:t>
            </w:r>
          </w:p>
        </w:tc>
        <w:tc>
          <w:tcPr>
            <w:tcW w:type="dxa" w:w="4032"/>
            <w:tcMar>
              <w:top w:w="80" w:type="dxa"/>
              <w:start w:w="120" w:type="dxa"/>
              <w:bottom w:w="80" w:type="dxa"/>
              <w:end w:w="120" w:type="dxa"/>
            </w:tcMar>
          </w:tcPr>
          <w:p>
            <w:pPr>
              <w:spacing w:after="0" w:before="0" w:line="276" w:lineRule="auto"/>
            </w:pPr>
            <w:r>
              <w:rPr>
                <w:rFonts w:ascii="Aptos" w:hAnsi="Aptos"/>
                <w:b w:val="0"/>
                <w:i w:val="0"/>
                <w:color w:val="000000"/>
                <w:sz w:val="20"/>
              </w:rPr>
              <w:t>Protects focus while still capturing insight and opportunity.</w:t>
            </w:r>
          </w:p>
        </w:tc>
        <w:tc>
          <w:tcPr>
            <w:tcW w:type="dxa" w:w="1008"/>
            <w:tcMar>
              <w:top w:w="80" w:type="dxa"/>
              <w:start w:w="120" w:type="dxa"/>
              <w:bottom w:w="80" w:type="dxa"/>
              <w:end w:w="120" w:type="dxa"/>
            </w:tcMar>
          </w:tcPr>
          <w:p>
            <w:pPr>
              <w:spacing w:after="0" w:before="0" w:line="276" w:lineRule="auto"/>
            </w:pPr>
            <w:r>
              <w:rPr>
                <w:rFonts w:ascii="Aptos" w:hAnsi="Aptos"/>
                <w:b w:val="0"/>
                <w:i w:val="0"/>
                <w:color w:val="000000"/>
                <w:sz w:val="20"/>
              </w:rPr>
              <w:t>Cath / Lou</w:t>
            </w:r>
          </w:p>
        </w:tc>
      </w:tr>
    </w:tbl>
    <w:p/>
    <w:p>
      <w:pPr>
        <w:spacing w:after="120" w:before="240" w:line="276" w:lineRule="auto"/>
      </w:pPr>
      <w:r>
        <w:rPr>
          <w:rFonts w:ascii="Arial" w:hAnsi="Arial"/>
          <w:b/>
          <w:i w:val="0"/>
          <w:color w:val="003366"/>
          <w:sz w:val="24"/>
        </w:rPr>
        <w:t>7. Weekly L10 Meeting Rhythm for Coach4U</w:t>
      </w:r>
    </w:p>
    <w:p>
      <w:pPr>
        <w:spacing w:after="120" w:before="0" w:line="276" w:lineRule="auto"/>
      </w:pPr>
      <w:r>
        <w:rPr>
          <w:rFonts w:ascii="Aptos" w:hAnsi="Aptos"/>
          <w:b w:val="0"/>
          <w:i w:val="0"/>
          <w:color w:val="000000"/>
          <w:sz w:val="22"/>
        </w:rPr>
        <w:t>Run a short weekly leadership meeting, ideally with Lou where relevant, using the same order each week. The purpose is to maintain traction, solve issues, and stop the week from being run by whatever feels urgent.</w:t>
      </w:r>
    </w:p>
    <w:p>
      <w:pPr>
        <w:pStyle w:val="ListNumber"/>
        <w:spacing w:after="80" w:before="0" w:line="276" w:lineRule="auto"/>
      </w:pPr>
      <w:r>
        <w:rPr>
          <w:rFonts w:ascii="Aptos" w:hAnsi="Aptos"/>
          <w:b w:val="0"/>
          <w:i w:val="0"/>
          <w:color w:val="000000"/>
          <w:sz w:val="22"/>
        </w:rPr>
        <w:t>Segue: Start with a very quick personal and business check-in so the meeting begins grounded rather than rushed.</w:t>
      </w:r>
    </w:p>
    <w:p>
      <w:pPr>
        <w:pStyle w:val="ListNumber"/>
        <w:spacing w:after="80" w:before="0" w:line="276" w:lineRule="auto"/>
      </w:pPr>
      <w:r>
        <w:rPr>
          <w:rFonts w:ascii="Aptos" w:hAnsi="Aptos"/>
          <w:b w:val="0"/>
          <w:i w:val="0"/>
          <w:color w:val="000000"/>
          <w:sz w:val="22"/>
        </w:rPr>
        <w:t>Scorecard: Review the weekly numbers. Mark each item as on track or off track.</w:t>
      </w:r>
    </w:p>
    <w:p>
      <w:pPr>
        <w:pStyle w:val="ListNumber"/>
        <w:spacing w:after="80" w:before="0" w:line="276" w:lineRule="auto"/>
      </w:pPr>
      <w:r>
        <w:rPr>
          <w:rFonts w:ascii="Aptos" w:hAnsi="Aptos"/>
          <w:b w:val="0"/>
          <w:i w:val="0"/>
          <w:color w:val="000000"/>
          <w:sz w:val="22"/>
        </w:rPr>
        <w:t>Rock review: Check the five current quarter Rocks and note progress or blockages.</w:t>
      </w:r>
    </w:p>
    <w:p>
      <w:pPr>
        <w:pStyle w:val="ListNumber"/>
        <w:spacing w:after="80" w:before="0" w:line="276" w:lineRule="auto"/>
      </w:pPr>
      <w:r>
        <w:rPr>
          <w:rFonts w:ascii="Aptos" w:hAnsi="Aptos"/>
          <w:b w:val="0"/>
          <w:i w:val="0"/>
          <w:color w:val="000000"/>
          <w:sz w:val="22"/>
        </w:rPr>
        <w:t>Customer and people headlines: Capture anything significant with clients, referral relationships, systems, or support needs.</w:t>
      </w:r>
    </w:p>
    <w:p>
      <w:pPr>
        <w:pStyle w:val="ListNumber"/>
        <w:spacing w:after="80" w:before="0" w:line="276" w:lineRule="auto"/>
      </w:pPr>
      <w:r>
        <w:rPr>
          <w:rFonts w:ascii="Aptos" w:hAnsi="Aptos"/>
          <w:b w:val="0"/>
          <w:i w:val="0"/>
          <w:color w:val="000000"/>
          <w:sz w:val="22"/>
        </w:rPr>
        <w:t>To-do review: Confirm which actions were completed from last week and which need to be rolled or discussed.</w:t>
      </w:r>
    </w:p>
    <w:p>
      <w:pPr>
        <w:pStyle w:val="ListNumber"/>
        <w:spacing w:after="80" w:before="0" w:line="276" w:lineRule="auto"/>
      </w:pPr>
      <w:r>
        <w:rPr>
          <w:rFonts w:ascii="Aptos" w:hAnsi="Aptos"/>
          <w:b w:val="0"/>
          <w:i w:val="0"/>
          <w:color w:val="000000"/>
          <w:sz w:val="22"/>
        </w:rPr>
        <w:t>Issues List: Prioritise the top one to three issues and discuss them properly. This is where ideas can be promoted into action only if they genuinely matter.</w:t>
      </w:r>
    </w:p>
    <w:p>
      <w:pPr>
        <w:pStyle w:val="ListNumber"/>
        <w:spacing w:after="80" w:before="0" w:line="276" w:lineRule="auto"/>
      </w:pPr>
      <w:r>
        <w:rPr>
          <w:rFonts w:ascii="Aptos" w:hAnsi="Aptos"/>
          <w:b w:val="0"/>
          <w:i w:val="0"/>
          <w:color w:val="000000"/>
          <w:sz w:val="22"/>
        </w:rPr>
        <w:t>Conclude: Confirm the week’s to-dos, owners, and deadlines.</w:t>
      </w:r>
    </w:p>
    <w:tbl>
      <w:tblPr>
        <w:tblW w:type="auto" w:w="0"/>
        <w:jc w:val="center"/>
        <w:tblLayout w:type="fixed"/>
        <w:tblLook w:firstColumn="1" w:firstRow="1" w:lastColumn="0" w:lastRow="0" w:noHBand="0" w:noVBand="1" w:val="04A0"/>
      </w:tblPr>
      <w:tblGrid>
        <w:gridCol w:w="9360"/>
      </w:tblGrid>
      <w:tr>
        <w:tc>
          <w:tcPr>
            <w:tcW w:type="dxa" w:w="9360"/>
            <w:shd w:fill="EDF4FA"/>
            <w:tcMar>
              <w:top w:w="120" w:type="dxa"/>
              <w:start w:w="140" w:type="dxa"/>
              <w:bottom w:w="120" w:type="dxa"/>
              <w:end w:w="140" w:type="dxa"/>
            </w:tcMar>
          </w:tcPr>
          <w:p>
            <w:pPr>
              <w:spacing w:after="60"/>
            </w:pPr>
            <w:r>
              <w:rPr>
                <w:rFonts w:ascii="Arial" w:hAnsi="Arial"/>
                <w:b/>
                <w:color w:val="003366"/>
                <w:sz w:val="22"/>
              </w:rPr>
              <w:t>Suggested cadence</w:t>
            </w:r>
          </w:p>
          <w:p>
            <w:pPr>
              <w:spacing w:after="0" w:before="0" w:line="276" w:lineRule="auto"/>
            </w:pPr>
            <w:r>
              <w:rPr>
                <w:rFonts w:ascii="Aptos" w:hAnsi="Aptos"/>
                <w:b w:val="0"/>
                <w:i w:val="0"/>
                <w:color w:val="000000"/>
                <w:sz w:val="21"/>
              </w:rPr>
              <w:t>Hold the meeting at the same time each week. Keep it simple and brief. Consistency matters more than perfection. If Lou attends, use the meeting to keep admin, follow-up, and visibility tasks aligned with the current Rocks.</w:t>
            </w:r>
          </w:p>
        </w:tc>
      </w:tr>
    </w:tbl>
    <w:p/>
    <w:p>
      <w:pPr>
        <w:spacing w:after="120" w:before="240" w:line="276" w:lineRule="auto"/>
      </w:pPr>
      <w:r>
        <w:rPr>
          <w:rFonts w:ascii="Arial" w:hAnsi="Arial"/>
          <w:b/>
          <w:i w:val="0"/>
          <w:color w:val="003366"/>
          <w:sz w:val="24"/>
        </w:rPr>
        <w:t>8. Issues List and Ideation Parking Lot</w:t>
      </w:r>
    </w:p>
    <w:p>
      <w:pPr>
        <w:spacing w:after="120" w:before="0" w:line="276" w:lineRule="auto"/>
      </w:pPr>
      <w:r>
        <w:rPr>
          <w:rFonts w:ascii="Aptos" w:hAnsi="Aptos"/>
          <w:b w:val="0"/>
          <w:i w:val="0"/>
          <w:color w:val="000000"/>
          <w:sz w:val="22"/>
        </w:rPr>
        <w:t>The Issues List is not just for problems. At Coach4U it also acts as the parking lot for ideas generated by Ideation. The job of the list is to capture the insight without losing focus.</w:t>
      </w:r>
    </w:p>
    <w:p>
      <w:pPr>
        <w:pStyle w:val="ListBullet"/>
        <w:spacing w:after="60" w:before="0" w:line="276" w:lineRule="auto"/>
      </w:pPr>
      <w:r>
        <w:rPr>
          <w:rFonts w:ascii="Aptos" w:hAnsi="Aptos"/>
          <w:b w:val="0"/>
          <w:i w:val="0"/>
          <w:color w:val="000000"/>
          <w:sz w:val="22"/>
        </w:rPr>
        <w:t>Write every new idea down immediately instead of carrying it mentally.</w:t>
      </w:r>
    </w:p>
    <w:p>
      <w:pPr>
        <w:pStyle w:val="ListBullet"/>
        <w:spacing w:after="60" w:before="0" w:line="276" w:lineRule="auto"/>
      </w:pPr>
      <w:r>
        <w:rPr>
          <w:rFonts w:ascii="Aptos" w:hAnsi="Aptos"/>
          <w:b w:val="0"/>
          <w:i w:val="0"/>
          <w:color w:val="000000"/>
          <w:sz w:val="22"/>
        </w:rPr>
        <w:t>Tag each item as one of three types: Issue, Opportunity, or Future Idea.</w:t>
      </w:r>
    </w:p>
    <w:p>
      <w:pPr>
        <w:pStyle w:val="ListBullet"/>
        <w:spacing w:after="60" w:before="0" w:line="276" w:lineRule="auto"/>
      </w:pPr>
      <w:r>
        <w:rPr>
          <w:rFonts w:ascii="Aptos" w:hAnsi="Aptos"/>
          <w:b w:val="0"/>
          <w:i w:val="0"/>
          <w:color w:val="000000"/>
          <w:sz w:val="22"/>
        </w:rPr>
        <w:t>Review the list weekly during the L10 meeting, but do not allow the list to become a second to-do list.</w:t>
      </w:r>
    </w:p>
    <w:p>
      <w:pPr>
        <w:pStyle w:val="ListBullet"/>
        <w:spacing w:after="60" w:before="0" w:line="276" w:lineRule="auto"/>
      </w:pPr>
      <w:r>
        <w:rPr>
          <w:rFonts w:ascii="Aptos" w:hAnsi="Aptos"/>
          <w:b w:val="0"/>
          <w:i w:val="0"/>
          <w:color w:val="000000"/>
          <w:sz w:val="22"/>
        </w:rPr>
        <w:t>Only promote an item into action if it directly supports a current Rock or becomes a priority for the next quarter.</w:t>
      </w:r>
    </w:p>
    <w:p>
      <w:pPr>
        <w:pStyle w:val="ListBullet"/>
        <w:spacing w:after="60" w:before="0" w:line="276" w:lineRule="auto"/>
      </w:pPr>
      <w:r>
        <w:rPr>
          <w:rFonts w:ascii="Aptos" w:hAnsi="Aptos"/>
          <w:b w:val="0"/>
          <w:i w:val="0"/>
          <w:color w:val="000000"/>
          <w:sz w:val="22"/>
        </w:rPr>
        <w:t>If the item is valuable but not timely, leave it parked. Stored ideas are not lost ideas.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872"/>
        <w:gridCol w:w="1872"/>
        <w:gridCol w:w="1872"/>
        <w:gridCol w:w="1872"/>
        <w:gridCol w:w="1872"/>
      </w:tblGrid>
      <w:tr>
        <w:trPr>
          <w:tblHeader w:val="true"/>
        </w:trPr>
        <w:tc>
          <w:tcPr>
            <w:tcW w:type="dxa" w:w="1584"/>
            <w:shd w:fill="DCE6F1"/>
            <w:tcMar>
              <w:top w:w="80" w:type="dxa"/>
              <w:start w:w="120" w:type="dxa"/>
              <w:bottom w:w="80" w:type="dxa"/>
              <w:end w:w="120" w:type="dxa"/>
            </w:tcMar>
          </w:tcPr>
          <w:p>
            <w:pPr>
              <w:spacing w:after="0" w:before="0" w:line="276" w:lineRule="auto"/>
            </w:pPr>
            <w:r>
              <w:rPr>
                <w:rFonts w:ascii="Arial" w:hAnsi="Arial"/>
                <w:b/>
                <w:i w:val="0"/>
                <w:color w:val="003366"/>
                <w:sz w:val="20"/>
              </w:rPr>
              <w:t>Date added</w:t>
            </w:r>
          </w:p>
        </w:tc>
        <w:tc>
          <w:tcPr>
            <w:tcW w:type="dxa" w:w="3600"/>
            <w:shd w:fill="DCE6F1"/>
            <w:tcMar>
              <w:top w:w="80" w:type="dxa"/>
              <w:start w:w="120" w:type="dxa"/>
              <w:bottom w:w="80" w:type="dxa"/>
              <w:end w:w="120" w:type="dxa"/>
            </w:tcMar>
          </w:tcPr>
          <w:p>
            <w:pPr>
              <w:spacing w:after="0" w:before="0" w:line="276" w:lineRule="auto"/>
            </w:pPr>
            <w:r>
              <w:rPr>
                <w:rFonts w:ascii="Arial" w:hAnsi="Arial"/>
                <w:b/>
                <w:i w:val="0"/>
                <w:color w:val="003366"/>
                <w:sz w:val="20"/>
              </w:rPr>
              <w:t>Item</w:t>
            </w:r>
          </w:p>
        </w:tc>
        <w:tc>
          <w:tcPr>
            <w:tcW w:type="dxa" w:w="1152"/>
            <w:shd w:fill="DCE6F1"/>
            <w:tcMar>
              <w:top w:w="80" w:type="dxa"/>
              <w:start w:w="120" w:type="dxa"/>
              <w:bottom w:w="80" w:type="dxa"/>
              <w:end w:w="120" w:type="dxa"/>
            </w:tcMar>
          </w:tcPr>
          <w:p>
            <w:pPr>
              <w:spacing w:after="0" w:before="0" w:line="276" w:lineRule="auto"/>
            </w:pPr>
            <w:r>
              <w:rPr>
                <w:rFonts w:ascii="Arial" w:hAnsi="Arial"/>
                <w:b/>
                <w:i w:val="0"/>
                <w:color w:val="003366"/>
                <w:sz w:val="20"/>
              </w:rPr>
              <w:t>Type</w:t>
            </w:r>
          </w:p>
        </w:tc>
        <w:tc>
          <w:tcPr>
            <w:tcW w:type="dxa" w:w="3168"/>
            <w:shd w:fill="DCE6F1"/>
            <w:tcMar>
              <w:top w:w="80" w:type="dxa"/>
              <w:start w:w="120" w:type="dxa"/>
              <w:bottom w:w="80" w:type="dxa"/>
              <w:end w:w="120" w:type="dxa"/>
            </w:tcMar>
          </w:tcPr>
          <w:p>
            <w:pPr>
              <w:spacing w:after="0" w:before="0" w:line="276" w:lineRule="auto"/>
            </w:pPr>
            <w:r>
              <w:rPr>
                <w:rFonts w:ascii="Arial" w:hAnsi="Arial"/>
                <w:b/>
                <w:i w:val="0"/>
                <w:color w:val="003366"/>
                <w:sz w:val="20"/>
              </w:rPr>
              <w:t>Why it matters</w:t>
            </w:r>
          </w:p>
        </w:tc>
        <w:tc>
          <w:tcPr>
            <w:tcW w:type="dxa" w:w="1584"/>
            <w:shd w:fill="DCE6F1"/>
            <w:tcMar>
              <w:top w:w="80" w:type="dxa"/>
              <w:start w:w="120" w:type="dxa"/>
              <w:bottom w:w="80" w:type="dxa"/>
              <w:end w:w="120" w:type="dxa"/>
            </w:tcMar>
          </w:tcPr>
          <w:p>
            <w:pPr>
              <w:spacing w:after="0" w:before="0" w:line="276" w:lineRule="auto"/>
            </w:pPr>
            <w:r>
              <w:rPr>
                <w:rFonts w:ascii="Arial" w:hAnsi="Arial"/>
                <w:b/>
                <w:i w:val="0"/>
                <w:color w:val="003366"/>
                <w:sz w:val="20"/>
              </w:rPr>
              <w:t>Decision / next review</w:t>
            </w:r>
          </w:p>
        </w:tc>
      </w:tr>
      <w:tr>
        <w:trPr>
          <w:cantSplit/>
        </w:trPr>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600"/>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152"/>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168"/>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r>
      <w:tr>
        <w:trPr>
          <w:cantSplit/>
        </w:trPr>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600"/>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152"/>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168"/>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r>
      <w:tr>
        <w:trPr>
          <w:cantSplit/>
        </w:trPr>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600"/>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152"/>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168"/>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r>
      <w:tr>
        <w:trPr>
          <w:cantSplit/>
        </w:trPr>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600"/>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152"/>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168"/>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r>
      <w:tr>
        <w:trPr>
          <w:cantSplit/>
        </w:trPr>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600"/>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152"/>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168"/>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r>
      <w:tr>
        <w:trPr>
          <w:cantSplit/>
        </w:trPr>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600"/>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152"/>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3168"/>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c>
          <w:tcPr>
            <w:tcW w:type="dxa" w:w="1584"/>
            <w:tcMar>
              <w:top w:w="120" w:type="dxa"/>
              <w:start w:w="120" w:type="dxa"/>
              <w:bottom w:w="120" w:type="dxa"/>
              <w:end w:w="120" w:type="dxa"/>
            </w:tcMar>
          </w:tcPr>
          <w:p>
            <w:pPr>
              <w:spacing w:after="0" w:before="0" w:line="276" w:lineRule="auto"/>
            </w:pPr>
            <w:r>
              <w:rPr>
                <w:rFonts w:ascii="Aptos" w:hAnsi="Aptos"/>
                <w:b w:val="0"/>
                <w:i w:val="0"/>
                <w:color w:val="000000"/>
                <w:sz w:val="20"/>
              </w:rPr>
              <w:t xml:space="preserve"> </w:t>
            </w:r>
          </w:p>
        </w:tc>
      </w:tr>
    </w:tbl>
    <w:p/>
    <w:p>
      <w:pPr>
        <w:spacing w:after="120" w:before="240" w:line="276" w:lineRule="auto"/>
      </w:pPr>
      <w:r>
        <w:rPr>
          <w:rFonts w:ascii="Arial" w:hAnsi="Arial"/>
          <w:b/>
          <w:i w:val="0"/>
          <w:color w:val="003366"/>
          <w:sz w:val="24"/>
        </w:rPr>
        <w:t>9. Coach4U Operating Rhythm</w:t>
      </w:r>
    </w:p>
    <w:p>
      <w:pPr>
        <w:spacing w:after="120" w:before="0" w:line="276" w:lineRule="auto"/>
      </w:pPr>
      <w:r>
        <w:rPr>
          <w:rFonts w:ascii="Aptos" w:hAnsi="Aptos"/>
          <w:b w:val="0"/>
          <w:i w:val="0"/>
          <w:color w:val="000000"/>
          <w:sz w:val="22"/>
        </w:rPr>
        <w:t>This operating rhythm turns strategy into repeatable action without requiring heavy admin or constant reinvention.</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120"/>
        <w:gridCol w:w="3120"/>
        <w:gridCol w:w="3120"/>
      </w:tblGrid>
      <w:tr>
        <w:trPr>
          <w:tblHeader w:val="true"/>
        </w:trPr>
        <w:tc>
          <w:tcPr>
            <w:tcW w:type="dxa" w:w="1584"/>
            <w:shd w:fill="DCE6F1"/>
            <w:tcMar>
              <w:top w:w="80" w:type="dxa"/>
              <w:start w:w="120" w:type="dxa"/>
              <w:bottom w:w="80" w:type="dxa"/>
              <w:end w:w="120" w:type="dxa"/>
            </w:tcMar>
          </w:tcPr>
          <w:p>
            <w:pPr>
              <w:spacing w:after="0" w:before="0" w:line="276" w:lineRule="auto"/>
            </w:pPr>
            <w:r>
              <w:rPr>
                <w:rFonts w:ascii="Arial" w:hAnsi="Arial"/>
                <w:b/>
                <w:i w:val="0"/>
                <w:color w:val="003366"/>
                <w:sz w:val="20"/>
              </w:rPr>
              <w:t>Rhythm</w:t>
            </w:r>
          </w:p>
        </w:tc>
        <w:tc>
          <w:tcPr>
            <w:tcW w:type="dxa" w:w="5472"/>
            <w:shd w:fill="DCE6F1"/>
            <w:tcMar>
              <w:top w:w="80" w:type="dxa"/>
              <w:start w:w="120" w:type="dxa"/>
              <w:bottom w:w="80" w:type="dxa"/>
              <w:end w:w="120" w:type="dxa"/>
            </w:tcMar>
          </w:tcPr>
          <w:p>
            <w:pPr>
              <w:spacing w:after="0" w:before="0" w:line="276" w:lineRule="auto"/>
            </w:pPr>
            <w:r>
              <w:rPr>
                <w:rFonts w:ascii="Arial" w:hAnsi="Arial"/>
                <w:b/>
                <w:i w:val="0"/>
                <w:color w:val="003366"/>
                <w:sz w:val="20"/>
              </w:rPr>
              <w:t>What happens</w:t>
            </w:r>
          </w:p>
        </w:tc>
        <w:tc>
          <w:tcPr>
            <w:tcW w:type="dxa" w:w="2880"/>
            <w:shd w:fill="DCE6F1"/>
            <w:tcMar>
              <w:top w:w="80" w:type="dxa"/>
              <w:start w:w="120" w:type="dxa"/>
              <w:bottom w:w="80" w:type="dxa"/>
              <w:end w:w="120" w:type="dxa"/>
            </w:tcMar>
          </w:tcPr>
          <w:p>
            <w:pPr>
              <w:spacing w:after="0" w:before="0" w:line="276" w:lineRule="auto"/>
            </w:pPr>
            <w:r>
              <w:rPr>
                <w:rFonts w:ascii="Arial" w:hAnsi="Arial"/>
                <w:b/>
                <w:i w:val="0"/>
                <w:color w:val="003366"/>
                <w:sz w:val="20"/>
              </w:rPr>
              <w:t>Outcome</w:t>
            </w:r>
          </w:p>
        </w:tc>
      </w:tr>
      <w:tr>
        <w:trPr>
          <w:cantSplit/>
        </w:trPr>
        <w:tc>
          <w:tcPr>
            <w:tcW w:type="dxa" w:w="1584"/>
            <w:tcMar>
              <w:top w:w="80" w:type="dxa"/>
              <w:start w:w="120" w:type="dxa"/>
              <w:bottom w:w="80" w:type="dxa"/>
              <w:end w:w="120" w:type="dxa"/>
            </w:tcMar>
          </w:tcPr>
          <w:p>
            <w:pPr>
              <w:spacing w:after="0" w:before="0" w:line="276" w:lineRule="auto"/>
            </w:pPr>
            <w:r>
              <w:rPr>
                <w:rFonts w:ascii="Aptos" w:hAnsi="Aptos"/>
                <w:b w:val="0"/>
                <w:i w:val="0"/>
                <w:color w:val="000000"/>
                <w:sz w:val="20"/>
              </w:rPr>
              <w:t>Weekly</w:t>
            </w:r>
          </w:p>
        </w:tc>
        <w:tc>
          <w:tcPr>
            <w:tcW w:type="dxa" w:w="5472"/>
            <w:tcMar>
              <w:top w:w="80" w:type="dxa"/>
              <w:start w:w="120" w:type="dxa"/>
              <w:bottom w:w="80" w:type="dxa"/>
              <w:end w:w="120" w:type="dxa"/>
            </w:tcMar>
          </w:tcPr>
          <w:p>
            <w:pPr>
              <w:spacing w:after="0" w:before="0" w:line="276" w:lineRule="auto"/>
            </w:pPr>
            <w:r>
              <w:rPr>
                <w:rFonts w:ascii="Aptos" w:hAnsi="Aptos"/>
                <w:b w:val="0"/>
                <w:i w:val="0"/>
                <w:color w:val="000000"/>
                <w:sz w:val="20"/>
              </w:rPr>
              <w:t>Post one ThriveHQ anchor message, complete one North Shore Mums post, make one referral-building move, and make clear offers inside warm conversations.</w:t>
            </w:r>
          </w:p>
        </w:tc>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Visibility and traction stay alive.</w:t>
            </w:r>
          </w:p>
        </w:tc>
      </w:tr>
      <w:tr>
        <w:trPr>
          <w:cantSplit/>
        </w:trPr>
        <w:tc>
          <w:tcPr>
            <w:tcW w:type="dxa" w:w="1584"/>
            <w:tcMar>
              <w:top w:w="80" w:type="dxa"/>
              <w:start w:w="120" w:type="dxa"/>
              <w:bottom w:w="80" w:type="dxa"/>
              <w:end w:w="120" w:type="dxa"/>
            </w:tcMar>
          </w:tcPr>
          <w:p>
            <w:pPr>
              <w:spacing w:after="0" w:before="0" w:line="276" w:lineRule="auto"/>
            </w:pPr>
            <w:r>
              <w:rPr>
                <w:rFonts w:ascii="Aptos" w:hAnsi="Aptos"/>
                <w:b w:val="0"/>
                <w:i w:val="0"/>
                <w:color w:val="000000"/>
                <w:sz w:val="20"/>
              </w:rPr>
              <w:t>Monthly</w:t>
            </w:r>
          </w:p>
        </w:tc>
        <w:tc>
          <w:tcPr>
            <w:tcW w:type="dxa" w:w="5472"/>
            <w:tcMar>
              <w:top w:w="80" w:type="dxa"/>
              <w:start w:w="120" w:type="dxa"/>
              <w:bottom w:w="80" w:type="dxa"/>
              <w:end w:w="120" w:type="dxa"/>
            </w:tcMar>
          </w:tcPr>
          <w:p>
            <w:pPr>
              <w:spacing w:after="0" w:before="0" w:line="276" w:lineRule="auto"/>
            </w:pPr>
            <w:r>
              <w:rPr>
                <w:rFonts w:ascii="Aptos" w:hAnsi="Aptos"/>
                <w:b w:val="0"/>
                <w:i w:val="0"/>
                <w:color w:val="000000"/>
                <w:sz w:val="20"/>
              </w:rPr>
              <w:t>Review which messages, offers, and conversations created response. Adjust the messaging, not the whole strategy.</w:t>
            </w:r>
          </w:p>
        </w:tc>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Learning compounds without constant reinvention.</w:t>
            </w:r>
          </w:p>
        </w:tc>
      </w:tr>
      <w:tr>
        <w:trPr>
          <w:cantSplit/>
        </w:trPr>
        <w:tc>
          <w:tcPr>
            <w:tcW w:type="dxa" w:w="1584"/>
            <w:tcMar>
              <w:top w:w="80" w:type="dxa"/>
              <w:start w:w="120" w:type="dxa"/>
              <w:bottom w:w="80" w:type="dxa"/>
              <w:end w:w="120" w:type="dxa"/>
            </w:tcMar>
          </w:tcPr>
          <w:p>
            <w:pPr>
              <w:spacing w:after="0" w:before="0" w:line="276" w:lineRule="auto"/>
            </w:pPr>
            <w:r>
              <w:rPr>
                <w:rFonts w:ascii="Aptos" w:hAnsi="Aptos"/>
                <w:b w:val="0"/>
                <w:i w:val="0"/>
                <w:color w:val="000000"/>
                <w:sz w:val="20"/>
              </w:rPr>
              <w:t>Quarterly</w:t>
            </w:r>
          </w:p>
        </w:tc>
        <w:tc>
          <w:tcPr>
            <w:tcW w:type="dxa" w:w="5472"/>
            <w:tcMar>
              <w:top w:w="80" w:type="dxa"/>
              <w:start w:w="120" w:type="dxa"/>
              <w:bottom w:w="80" w:type="dxa"/>
              <w:end w:w="120" w:type="dxa"/>
            </w:tcMar>
          </w:tcPr>
          <w:p>
            <w:pPr>
              <w:spacing w:after="0" w:before="0" w:line="276" w:lineRule="auto"/>
            </w:pPr>
            <w:r>
              <w:rPr>
                <w:rFonts w:ascii="Aptos" w:hAnsi="Aptos"/>
                <w:b w:val="0"/>
                <w:i w:val="0"/>
                <w:color w:val="000000"/>
                <w:sz w:val="20"/>
              </w:rPr>
              <w:t>Set 3 to 5 Rocks, run a quarter review, clean up the Issues List, and decide what deserves focus next.</w:t>
            </w:r>
          </w:p>
        </w:tc>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The business stays disciplined and strategic.</w:t>
            </w:r>
          </w:p>
        </w:tc>
      </w:tr>
      <w:tr>
        <w:trPr>
          <w:cantSplit/>
        </w:trPr>
        <w:tc>
          <w:tcPr>
            <w:tcW w:type="dxa" w:w="1584"/>
            <w:tcMar>
              <w:top w:w="80" w:type="dxa"/>
              <w:start w:w="120" w:type="dxa"/>
              <w:bottom w:w="80" w:type="dxa"/>
              <w:end w:w="120" w:type="dxa"/>
            </w:tcMar>
          </w:tcPr>
          <w:p>
            <w:pPr>
              <w:spacing w:after="0" w:before="0" w:line="276" w:lineRule="auto"/>
            </w:pPr>
            <w:r>
              <w:rPr>
                <w:rFonts w:ascii="Aptos" w:hAnsi="Aptos"/>
                <w:b w:val="0"/>
                <w:i w:val="0"/>
                <w:color w:val="000000"/>
                <w:sz w:val="20"/>
              </w:rPr>
              <w:t>Annual</w:t>
            </w:r>
          </w:p>
        </w:tc>
        <w:tc>
          <w:tcPr>
            <w:tcW w:type="dxa" w:w="5472"/>
            <w:tcMar>
              <w:top w:w="80" w:type="dxa"/>
              <w:start w:w="120" w:type="dxa"/>
              <w:bottom w:w="80" w:type="dxa"/>
              <w:end w:w="120" w:type="dxa"/>
            </w:tcMar>
          </w:tcPr>
          <w:p>
            <w:pPr>
              <w:spacing w:after="0" w:before="0" w:line="276" w:lineRule="auto"/>
            </w:pPr>
            <w:r>
              <w:rPr>
                <w:rFonts w:ascii="Aptos" w:hAnsi="Aptos"/>
                <w:b w:val="0"/>
                <w:i w:val="0"/>
                <w:color w:val="000000"/>
                <w:sz w:val="20"/>
              </w:rPr>
              <w:t>Review the financial year, update the 1-Year Plan, and check whether the 3-Year Picture and 5-Year Vision still fit.</w:t>
            </w:r>
          </w:p>
        </w:tc>
        <w:tc>
          <w:tcPr>
            <w:tcW w:type="dxa" w:w="2880"/>
            <w:tcMar>
              <w:top w:w="80" w:type="dxa"/>
              <w:start w:w="120" w:type="dxa"/>
              <w:bottom w:w="80" w:type="dxa"/>
              <w:end w:w="120" w:type="dxa"/>
            </w:tcMar>
          </w:tcPr>
          <w:p>
            <w:pPr>
              <w:spacing w:after="0" w:before="0" w:line="276" w:lineRule="auto"/>
            </w:pPr>
            <w:r>
              <w:rPr>
                <w:rFonts w:ascii="Aptos" w:hAnsi="Aptos"/>
                <w:b w:val="0"/>
                <w:i w:val="0"/>
                <w:color w:val="000000"/>
                <w:sz w:val="20"/>
              </w:rPr>
              <w:t>The next year starts with intention instead of reaction.</w:t>
            </w:r>
          </w:p>
        </w:tc>
      </w:tr>
    </w:tbl>
    <w:p/>
    <w:p>
      <w:pPr>
        <w:spacing w:after="120" w:before="240" w:line="276" w:lineRule="auto"/>
      </w:pPr>
      <w:r>
        <w:rPr>
          <w:rFonts w:ascii="Arial" w:hAnsi="Arial"/>
          <w:b/>
          <w:i w:val="0"/>
          <w:color w:val="003366"/>
          <w:sz w:val="24"/>
        </w:rPr>
        <w:t>10. End of Financial Year Review and Next Financial Year Planning</w:t>
      </w:r>
    </w:p>
    <w:p>
      <w:pPr>
        <w:spacing w:after="120" w:before="0" w:line="276" w:lineRule="auto"/>
      </w:pPr>
      <w:r>
        <w:rPr>
          <w:rFonts w:ascii="Aptos" w:hAnsi="Aptos"/>
          <w:b w:val="0"/>
          <w:i w:val="0"/>
          <w:color w:val="000000"/>
          <w:sz w:val="22"/>
        </w:rPr>
        <w:t>At the end of June, use the questions below to close the year properly and prepare the next one. This is where Coach4U moves from reflection into the next 12-month plan.</w:t>
      </w:r>
    </w:p>
    <w:p>
      <w:pPr>
        <w:pStyle w:val="ListBullet"/>
        <w:spacing w:after="60" w:before="0" w:line="276" w:lineRule="auto"/>
      </w:pPr>
      <w:r>
        <w:rPr>
          <w:rFonts w:ascii="Aptos" w:hAnsi="Aptos"/>
          <w:b w:val="0"/>
          <w:i w:val="0"/>
          <w:color w:val="000000"/>
          <w:sz w:val="22"/>
        </w:rPr>
        <w:t>What actually generated enquiries or new work this year?</w:t>
      </w:r>
    </w:p>
    <w:p>
      <w:pPr>
        <w:pStyle w:val="ListBullet"/>
        <w:spacing w:after="60" w:before="0" w:line="276" w:lineRule="auto"/>
      </w:pPr>
      <w:r>
        <w:rPr>
          <w:rFonts w:ascii="Aptos" w:hAnsi="Aptos"/>
          <w:b w:val="0"/>
          <w:i w:val="0"/>
          <w:color w:val="000000"/>
          <w:sz w:val="22"/>
        </w:rPr>
        <w:t>Which offers or channels felt light and sustainable, and which felt draining or low-return?</w:t>
      </w:r>
    </w:p>
    <w:p>
      <w:pPr>
        <w:pStyle w:val="ListBullet"/>
        <w:spacing w:after="60" w:before="0" w:line="276" w:lineRule="auto"/>
      </w:pPr>
      <w:r>
        <w:rPr>
          <w:rFonts w:ascii="Aptos" w:hAnsi="Aptos"/>
          <w:b w:val="0"/>
          <w:i w:val="0"/>
          <w:color w:val="000000"/>
          <w:sz w:val="22"/>
        </w:rPr>
        <w:t>Where did referrals come from most reliably?</w:t>
      </w:r>
    </w:p>
    <w:p>
      <w:pPr>
        <w:pStyle w:val="ListBullet"/>
        <w:spacing w:after="60" w:before="0" w:line="276" w:lineRule="auto"/>
      </w:pPr>
      <w:r>
        <w:rPr>
          <w:rFonts w:ascii="Aptos" w:hAnsi="Aptos"/>
          <w:b w:val="0"/>
          <w:i w:val="0"/>
          <w:color w:val="000000"/>
          <w:sz w:val="22"/>
        </w:rPr>
        <w:t>Which client types do I most want to grow next year?</w:t>
      </w:r>
    </w:p>
    <w:p>
      <w:pPr>
        <w:pStyle w:val="ListBullet"/>
        <w:spacing w:after="60" w:before="0" w:line="276" w:lineRule="auto"/>
      </w:pPr>
      <w:r>
        <w:rPr>
          <w:rFonts w:ascii="Aptos" w:hAnsi="Aptos"/>
          <w:b w:val="0"/>
          <w:i w:val="0"/>
          <w:color w:val="000000"/>
          <w:sz w:val="22"/>
        </w:rPr>
        <w:t>What should stay, stop, start, or be delegated?</w:t>
      </w:r>
    </w:p>
    <w:p>
      <w:pPr>
        <w:pStyle w:val="ListBullet"/>
        <w:spacing w:after="60" w:before="0" w:line="276" w:lineRule="auto"/>
      </w:pPr>
      <w:r>
        <w:rPr>
          <w:rFonts w:ascii="Aptos" w:hAnsi="Aptos"/>
          <w:b w:val="0"/>
          <w:i w:val="0"/>
          <w:color w:val="000000"/>
          <w:sz w:val="22"/>
        </w:rPr>
        <w:t>What must be true by next June for the year to count as successful?</w:t>
      </w:r>
    </w:p>
    <w:p>
      <w:pPr>
        <w:spacing w:after="120" w:before="240" w:line="276" w:lineRule="auto"/>
      </w:pPr>
      <w:r>
        <w:rPr>
          <w:rFonts w:ascii="Arial" w:hAnsi="Arial"/>
          <w:b/>
          <w:i w:val="0"/>
          <w:color w:val="003366"/>
          <w:sz w:val="24"/>
        </w:rPr>
        <w:t>11. Quarterly Planning Process</w:t>
      </w:r>
    </w:p>
    <w:p>
      <w:pPr>
        <w:pStyle w:val="ListNumber"/>
        <w:spacing w:after="80" w:before="0" w:line="276" w:lineRule="auto"/>
      </w:pPr>
      <w:r>
        <w:rPr>
          <w:rFonts w:ascii="Aptos" w:hAnsi="Aptos"/>
          <w:b w:val="0"/>
          <w:i w:val="0"/>
          <w:color w:val="000000"/>
          <w:sz w:val="22"/>
        </w:rPr>
        <w:t>Review the previous quarter’s Scorecard, to-dos, and results.</w:t>
      </w:r>
    </w:p>
    <w:p>
      <w:pPr>
        <w:pStyle w:val="ListNumber"/>
        <w:spacing w:after="80" w:before="0" w:line="276" w:lineRule="auto"/>
      </w:pPr>
      <w:r>
        <w:rPr>
          <w:rFonts w:ascii="Aptos" w:hAnsi="Aptos"/>
          <w:b w:val="0"/>
          <w:i w:val="0"/>
          <w:color w:val="000000"/>
          <w:sz w:val="22"/>
        </w:rPr>
        <w:t>Assess which Rocks were completed, which were not, and why.</w:t>
      </w:r>
    </w:p>
    <w:p>
      <w:pPr>
        <w:pStyle w:val="ListNumber"/>
        <w:spacing w:after="80" w:before="0" w:line="276" w:lineRule="auto"/>
      </w:pPr>
      <w:r>
        <w:rPr>
          <w:rFonts w:ascii="Aptos" w:hAnsi="Aptos"/>
          <w:b w:val="0"/>
          <w:i w:val="0"/>
          <w:color w:val="000000"/>
          <w:sz w:val="22"/>
        </w:rPr>
        <w:t>Review the Issues List and promote only the few items that truly matter next.</w:t>
      </w:r>
    </w:p>
    <w:p>
      <w:pPr>
        <w:pStyle w:val="ListNumber"/>
        <w:spacing w:after="80" w:before="0" w:line="276" w:lineRule="auto"/>
      </w:pPr>
      <w:r>
        <w:rPr>
          <w:rFonts w:ascii="Aptos" w:hAnsi="Aptos"/>
          <w:b w:val="0"/>
          <w:i w:val="0"/>
          <w:color w:val="000000"/>
          <w:sz w:val="22"/>
        </w:rPr>
        <w:t>Set 3 to 5 Rocks for the next quarter. Fewer Rocks means better follow-through.</w:t>
      </w:r>
    </w:p>
    <w:p>
      <w:pPr>
        <w:pStyle w:val="ListNumber"/>
        <w:spacing w:after="80" w:before="0" w:line="276" w:lineRule="auto"/>
      </w:pPr>
      <w:r>
        <w:rPr>
          <w:rFonts w:ascii="Aptos" w:hAnsi="Aptos"/>
          <w:b w:val="0"/>
          <w:i w:val="0"/>
          <w:color w:val="000000"/>
          <w:sz w:val="22"/>
        </w:rPr>
        <w:t>Translate each Rock into weekly traction actions and a simple owner.</w:t>
      </w:r>
    </w:p>
    <w:p>
      <w:pPr>
        <w:pStyle w:val="ListNumber"/>
        <w:spacing w:after="80" w:before="0" w:line="276" w:lineRule="auto"/>
      </w:pPr>
      <w:r>
        <w:rPr>
          <w:rFonts w:ascii="Aptos" w:hAnsi="Aptos"/>
          <w:b w:val="0"/>
          <w:i w:val="0"/>
          <w:color w:val="000000"/>
          <w:sz w:val="22"/>
        </w:rPr>
        <w:t>Reset the Scorecard if needed so it tracks the behaviours that matter most in the new quarter.</w:t>
      </w:r>
    </w:p>
    <w:p>
      <w:pPr>
        <w:pStyle w:val="ListNumber"/>
        <w:spacing w:after="80" w:before="0" w:line="276" w:lineRule="auto"/>
      </w:pPr>
      <w:r>
        <w:rPr>
          <w:rFonts w:ascii="Aptos" w:hAnsi="Aptos"/>
          <w:b w:val="0"/>
          <w:i w:val="0"/>
          <w:color w:val="000000"/>
          <w:sz w:val="22"/>
        </w:rPr>
        <w:t>Communicate the quarter focus clearly to Lou and any other relevant support people.</w:t>
      </w:r>
    </w:p>
    <w:p>
      <w:pPr>
        <w:spacing w:after="120" w:before="240" w:line="276" w:lineRule="auto"/>
      </w:pPr>
      <w:r>
        <w:rPr>
          <w:rFonts w:ascii="Arial" w:hAnsi="Arial"/>
          <w:b/>
          <w:i w:val="0"/>
          <w:color w:val="003366"/>
          <w:sz w:val="24"/>
        </w:rPr>
        <w:t>12. Planning Templates</w:t>
      </w:r>
    </w:p>
    <w:p>
      <w:pPr>
        <w:spacing w:after="120" w:before="0" w:line="276" w:lineRule="auto"/>
      </w:pPr>
      <w:r>
        <w:rPr>
          <w:rFonts w:ascii="Aptos" w:hAnsi="Aptos"/>
          <w:b w:val="0"/>
          <w:i w:val="0"/>
          <w:color w:val="000000"/>
          <w:sz w:val="22"/>
        </w:rPr>
        <w:t>Use the pages below as working templates. They are deliberately simple so they can be maintained.</w:t>
      </w:r>
    </w:p>
    <w:p>
      <w:pPr>
        <w:spacing w:after="120" w:before="240" w:line="276" w:lineRule="auto"/>
      </w:pPr>
      <w:r>
        <w:rPr>
          <w:rFonts w:ascii="Arial" w:hAnsi="Arial"/>
          <w:b/>
          <w:i w:val="0"/>
          <w:color w:val="003366"/>
          <w:sz w:val="22"/>
        </w:rPr>
        <w:t>Annual Plan Template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680"/>
        <w:gridCol w:w="4680"/>
      </w:tblGrid>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Primary business focus for the year:</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Core positioning statement:</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Top 3 outcomes that must be achieved:</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Revenue or offer mix priorities:</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Referral priorities:</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What will not be a focus this year:</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bl>
    <w:p/>
    <w:p>
      <w:pPr>
        <w:spacing w:after="120" w:before="240" w:line="276" w:lineRule="auto"/>
      </w:pPr>
      <w:r>
        <w:rPr>
          <w:rFonts w:ascii="Arial" w:hAnsi="Arial"/>
          <w:b/>
          <w:i w:val="0"/>
          <w:color w:val="003366"/>
          <w:sz w:val="22"/>
        </w:rPr>
        <w:t>Quarterly Rock Template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680"/>
        <w:gridCol w:w="4680"/>
      </w:tblGrid>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Quarter:</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Rock 1:</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Rock 2:</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Rock 3:</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Rock 4:</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Rock 5:</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Quarterly discipline rule for this period:</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bl>
    <w:p/>
    <w:p>
      <w:pPr>
        <w:spacing w:after="120" w:before="240" w:line="276" w:lineRule="auto"/>
      </w:pPr>
      <w:r>
        <w:rPr>
          <w:rFonts w:ascii="Arial" w:hAnsi="Arial"/>
          <w:b/>
          <w:i w:val="0"/>
          <w:color w:val="003366"/>
          <w:sz w:val="22"/>
        </w:rPr>
        <w:t>Weekly Traction Template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680"/>
        <w:gridCol w:w="4680"/>
      </w:tblGrid>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One ThriveHQ anchor message completed:</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One visibility action completed:</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One referral-building action completed:</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Offers made this week:</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Ideas parked to Issues List:</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r>
        <w:tc>
          <w:tcPr>
            <w:tcW w:type="dxa" w:w="3744"/>
            <w:tcMar>
              <w:top w:w="80" w:type="dxa"/>
              <w:start w:w="120" w:type="dxa"/>
              <w:bottom w:w="80" w:type="dxa"/>
              <w:end w:w="120" w:type="dxa"/>
            </w:tcMar>
            <w:shd w:fill="F3F5F7"/>
          </w:tcPr>
          <w:p>
            <w:pPr>
              <w:spacing w:after="0" w:before="0" w:line="276" w:lineRule="auto"/>
            </w:pPr>
            <w:r>
              <w:rPr>
                <w:rFonts w:ascii="Arial" w:hAnsi="Arial"/>
                <w:b/>
                <w:i w:val="0"/>
                <w:color w:val="003366"/>
                <w:sz w:val="20"/>
              </w:rPr>
              <w:t>Top issue to solve next week:</w:t>
            </w:r>
          </w:p>
        </w:tc>
        <w:tc>
          <w:tcPr>
            <w:tcW w:type="dxa" w:w="6192"/>
            <w:tcMar>
              <w:top w:w="140" w:type="dxa"/>
              <w:start w:w="120" w:type="dxa"/>
              <w:bottom w:w="140" w:type="dxa"/>
              <w:end w:w="120" w:type="dxa"/>
            </w:tcMar>
          </w:tcPr>
          <w:p>
            <w:pPr>
              <w:spacing w:after="0" w:before="0" w:line="276" w:lineRule="auto"/>
            </w:pPr>
            <w:r>
              <w:rPr>
                <w:rFonts w:ascii="Aptos" w:hAnsi="Aptos"/>
                <w:b w:val="0"/>
                <w:i w:val="0"/>
                <w:color w:val="000000"/>
                <w:sz w:val="20"/>
              </w:rPr>
              <w:t xml:space="preserve"> </w:t>
            </w:r>
          </w:p>
        </w:tc>
      </w:tr>
    </w:tbl>
    <w:p/>
    <w:p>
      <w:pPr>
        <w:spacing w:after="120" w:before="240" w:line="276" w:lineRule="auto"/>
      </w:pPr>
      <w:r>
        <w:rPr>
          <w:rFonts w:ascii="Arial" w:hAnsi="Arial"/>
          <w:b/>
          <w:i w:val="0"/>
          <w:color w:val="003366"/>
          <w:sz w:val="24"/>
        </w:rPr>
        <w:t>13. Final Operating Principle</w:t>
      </w:r>
    </w:p>
    <w:tbl>
      <w:tblPr>
        <w:tblW w:type="auto" w:w="0"/>
        <w:jc w:val="center"/>
        <w:tblLayout w:type="fixed"/>
        <w:tblLook w:firstColumn="1" w:firstRow="1" w:lastColumn="0" w:lastRow="0" w:noHBand="0" w:noVBand="1" w:val="04A0"/>
      </w:tblPr>
      <w:tblGrid>
        <w:gridCol w:w="9360"/>
      </w:tblGrid>
      <w:tr>
        <w:tc>
          <w:tcPr>
            <w:tcW w:type="dxa" w:w="9360"/>
            <w:shd w:fill="EDF4FA"/>
            <w:tcMar>
              <w:top w:w="120" w:type="dxa"/>
              <w:start w:w="140" w:type="dxa"/>
              <w:bottom w:w="120" w:type="dxa"/>
              <w:end w:w="140" w:type="dxa"/>
            </w:tcMar>
          </w:tcPr>
          <w:p>
            <w:pPr>
              <w:spacing w:after="60"/>
            </w:pPr>
            <w:r>
              <w:rPr>
                <w:rFonts w:ascii="Arial" w:hAnsi="Arial"/>
                <w:b/>
                <w:color w:val="003366"/>
                <w:sz w:val="22"/>
              </w:rPr>
              <w:t>The standard for Coach4U</w:t>
            </w:r>
          </w:p>
          <w:p>
            <w:pPr>
              <w:spacing w:after="0" w:before="0" w:line="276" w:lineRule="auto"/>
            </w:pPr>
            <w:r>
              <w:rPr>
                <w:rFonts w:ascii="Aptos" w:hAnsi="Aptos"/>
                <w:b w:val="0"/>
                <w:i w:val="0"/>
                <w:color w:val="000000"/>
                <w:sz w:val="21"/>
              </w:rPr>
              <w:t>Do less, but do it repeatedly. The business will grow more from consistent visibility, clear offers, and disciplined follow-through than from a large number of new ideas. Ideas are captured. Focus is protected. Execution is repeated.</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Strengths-Based Coaching and Counselling | www.coach4u.com.au | cath@coach4u.com.au | 0402 313 337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B866C2708DAFE4F997A288698E51DD5" ma:contentTypeVersion="10" ma:contentTypeDescription="Create a new document." ma:contentTypeScope="" ma:versionID="c2a0ab41269a2485e126d0d724253104">
  <xsd:schema xmlns:xsd="http://www.w3.org/2001/XMLSchema" xmlns:xs="http://www.w3.org/2001/XMLSchema" xmlns:p="http://schemas.microsoft.com/office/2006/metadata/properties" xmlns:ns2="17729c34-1eca-4ecb-914b-b364016abad2" targetNamespace="http://schemas.microsoft.com/office/2006/metadata/properties" ma:root="true" ma:fieldsID="3d0fce4ee6915a5905b4c88452a1b2ee" ns2:_="">
    <xsd:import namespace="17729c34-1eca-4ecb-914b-b364016aba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729c34-1eca-4ecb-914b-b364016ab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89152aa-7b1a-4dcf-b912-e1d4428dc9c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729c34-1eca-4ecb-914b-b364016abad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2AC744A-DE4F-43AE-A574-453B369B7517}"/>
</file>

<file path=customXml/itemProps3.xml><?xml version="1.0" encoding="utf-8"?>
<ds:datastoreItem xmlns:ds="http://schemas.openxmlformats.org/officeDocument/2006/customXml" ds:itemID="{0542DEAD-F177-4FB4-A1EC-BEC26B504918}"/>
</file>

<file path=customXml/itemProps4.xml><?xml version="1.0" encoding="utf-8"?>
<ds:datastoreItem xmlns:ds="http://schemas.openxmlformats.org/officeDocument/2006/customXml" ds:itemID="{BB6C176C-524C-4761-805E-67E6F0D2233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0x010100AB866C2708DAFE4F997A288698E51DD5</vt:lpwstr>
  </property>
</Properties>
</file>