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jc w:val="center"/>
      </w:pPr>
      <w:r>
        <w:drawing>
          <wp:inline distT="0" distB="0" distL="0" distR="0">
            <wp:extent cx="3429000" cy="1200150"/>
            <wp:effectExtent t="0" r="0" b="0" l="0"/>
            <wp:docPr id="1" name="logo_umn" descr="Logótipo da UMN — Instituto Politécnico da Huíla" title="Universidade Mandume ya Ndemufay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1200150"/>
                    </a:xfrm>
                    <a:prstGeom prst="rect">
                      <a:avLst/>
                    </a:prstGeom>
                  </pic:spPr>
                </pic:pic>
              </a:graphicData>
            </a:graphic>
          </wp:inline>
        </w:drawing>
      </w:r>
    </w:p>
    <w:p>
      <w:pPr>
        <w:spacing w:after="60"/>
        <w:jc w:val="center"/>
      </w:pPr>
      <w:r>
        <w:rPr>
          <w:b/>
          <w:bCs/>
        </w:rPr>
        <w:t xml:space="preserve">INSTITUTO SUPERIOR POLITÉCNICO DA HUÍLA</w:t>
      </w:r>
    </w:p>
    <w:p>
      <w:pPr>
        <w:spacing w:after="120" w:line="360"/>
        <w:jc w:val="center"/>
      </w:pPr>
      <w:r>
        <w:t xml:space="preserve">Universidade Mandume ya Ndemufayo</w:t>
      </w:r>
    </w:p>
    <w:p>
      <w:pPr>
        <w:spacing w:after="120" w:line="360"/>
        <w:jc w:val="center"/>
      </w:pPr>
      <w:r>
        <w:t xml:space="preserve">Licenciatura em Ciências da Computação — 4.º ano</w:t>
      </w:r>
    </w:p>
    <w:p>
      <w:pPr>
        <w:spacing w:after="120" w:line="360"/>
        <w:jc w:val="center"/>
      </w:pPr>
      <w:r>
        <w:t xml:space="preserve">Disciplina: Web Semântica</w:t>
      </w:r>
    </w:p>
    <w:p>
      <w:pPr>
        <w:spacing w:after="120" w:line="360"/>
        <w:jc w:val="center"/>
      </w:pPr>
      <w:r>
        <w:t xml:space="preserve">Docente: Faby Sapeth</w:t>
      </w:r>
    </w:p>
    <w:p>
      <w:pPr>
        <w:spacing w:before="1600"/>
      </w:pPr>
    </w:p>
    <w:p>
      <w:pPr>
        <w:spacing w:after="120"/>
        <w:jc w:val="center"/>
      </w:pPr>
      <w:r>
        <w:rPr>
          <w:b/>
          <w:bCs/>
          <w:sz w:val="40"/>
          <w:szCs w:val="40"/>
        </w:rPr>
        <w:t xml:space="preserve">Semantic Academic Hub (BASI)</w:t>
      </w:r>
    </w:p>
    <w:p>
      <w:pPr>
        <w:spacing w:after="1200"/>
        <w:jc w:val="center"/>
      </w:pPr>
      <w:r>
        <w:rPr>
          <w:i/>
          <w:iCs/>
          <w:sz w:val="26"/>
          <w:szCs w:val="26"/>
        </w:rPr>
        <w:t xml:space="preserve">Biblioteca Académica Semântica Integrada</w:t>
      </w:r>
    </w:p>
    <w:p>
      <w:pPr>
        <w:spacing w:after="120" w:line="360"/>
        <w:jc w:val="center"/>
      </w:pPr>
      <w:r>
        <w:t xml:space="preserve">Trabalho académico apresentado no âmbito da disciplina de Web Semântica.</w:t>
      </w:r>
    </w:p>
    <w:p>
      <w:pPr>
        <w:spacing w:before="800"/>
        <w:jc w:val="left"/>
      </w:pPr>
      <w:r>
        <w:rPr>
          <w:b/>
          <w:bCs/>
        </w:rPr>
        <w:t xml:space="preserve">Discentes:</w:t>
      </w:r>
    </w:p>
    <w:p>
      <w:pPr>
        <w:spacing w:after="120" w:line="360"/>
        <w:jc w:val="left"/>
      </w:pPr>
      <w:r>
        <w:t xml:space="preserve">Pedro Calenga  —  Nº 2022110222</w:t>
      </w:r>
    </w:p>
    <w:p>
      <w:pPr>
        <w:spacing w:after="120" w:line="360"/>
        <w:jc w:val="left"/>
      </w:pPr>
      <w:r>
        <w:t xml:space="preserve">Filipe Tchivela  —  Nº 2022142100</w:t>
      </w:r>
    </w:p>
    <w:p>
      <w:pPr>
        <w:spacing w:after="120" w:line="360"/>
        <w:jc w:val="left"/>
      </w:pPr>
      <w:r>
        <w:t xml:space="preserve">Adriano De Júlio  —  Nº 2022179366</w:t>
      </w:r>
    </w:p>
    <w:p>
      <w:pPr>
        <w:spacing w:before="1400"/>
        <w:jc w:val="center"/>
      </w:pPr>
      <w:r>
        <w:t xml:space="preserve">Lubango, </w:t>
      </w:r>
      <w:r>
        <w:t xml:space="preserve">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360"/>
        <w:jc w:val="both"/>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1"/>
      </w:pPr>
      <w:r>
        <w:t xml:space="preserve">1. Introdução</w:t>
      </w:r>
    </w:p>
    <w:p>
      <w:pPr>
        <w:spacing w:after="120" w:line="360"/>
        <w:jc w:val="both"/>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a inferência sobre um grafo RDF (Apache Jena Fuseki, com motor rdflib como alternativa) transformam uma biblioteca digital comum numa plataforma capaz de compreender as relações entre conceitos.</w:t>
      </w:r>
    </w:p>
    <w:p>
      <w:pPr>
        <w:spacing w:after="120" w:line="360"/>
        <w:jc w:val="both"/>
      </w:pPr>
      <w:r>
        <w:t xml:space="preserve">A figura seguinte apresenta a página inicial da aplicação, que comunica desde logo o diferencial do sistema: uma pesquisa que compreende o que se procura.</w:t>
      </w:r>
    </w:p>
    <w:p>
      <w:pPr>
        <w:spacing w:after="40" w:before="120"/>
        <w:jc w:val="center"/>
      </w:pPr>
      <w:r>
        <w:drawing>
          <wp:inline distT="0" distB="0" distL="0" distR="0">
            <wp:extent cx="3810000" cy="4181475"/>
            <wp:effectExtent t="0" r="0" b="0" l="0"/>
            <wp:docPr id="1" name="home.png" descr="Figura 1 — Página inicial do BASI (versão em produção), com demonstração da pesquisa semântica." title="Figura 1 — Página inicial do BASI (versão em produção), com demonstração da pesquisa semân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4181475"/>
                    </a:xfrm>
                    <a:prstGeom prst="rect">
                      <a:avLst/>
                    </a:prstGeom>
                  </pic:spPr>
                </pic:pic>
              </a:graphicData>
            </a:graphic>
          </wp:inline>
        </w:drawing>
      </w:r>
    </w:p>
    <w:p>
      <w:pPr>
        <w:spacing w:after="200"/>
        <w:jc w:val="center"/>
      </w:pPr>
      <w:r>
        <w:rPr>
          <w:i/>
          <w:iCs/>
          <w:color w:val="595959"/>
          <w:sz w:val="18"/>
          <w:szCs w:val="18"/>
        </w:rPr>
        <w:t xml:space="preserve">Figura 1 — Página inicial do BASI (versão em produção), com demonstração da pesquisa semântica.</w:t>
      </w:r>
    </w:p>
    <w:p>
      <w:pPr>
        <w:spacing w:after="120" w:line="360"/>
        <w:jc w:val="both"/>
      </w:pPr>
      <w:r>
        <w:t xml:space="preserve">Ao longo do documento apresentam-se o problema que motivou o trabalho, os objectivos, a fundamentação teórica, a modelação da ontologia, a arquitectura adoptada, as tecnologias utilizadas, os detalhes de implementação, os resultados obtidos, as dificuldades encontradas e as conclusões.</w:t>
      </w:r>
    </w:p>
    <w:p>
      <w:pPr>
        <w:pStyle w:val="Heading1"/>
      </w:pPr>
      <w:r>
        <w:t xml:space="preserve">2. Problemática</w:t>
      </w:r>
    </w:p>
    <w:p>
      <w:pPr>
        <w:spacing w:after="120" w:line="360"/>
        <w:jc w:val="both"/>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360"/>
        <w:jc w:val="both"/>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 Esta é exactamente a problemática do Tema 1 do enunciado: descobrir relações entre obras, autores, áreas científicas e temas de investigação.</w:t>
      </w:r>
    </w:p>
    <w:p>
      <w:pPr>
        <w:pStyle w:val="Heading1"/>
      </w:pPr>
      <w:r>
        <w:t xml:space="preserve">3. Objectivos</w:t>
      </w:r>
    </w:p>
    <w:p>
      <w:pPr>
        <w:pStyle w:val="Heading2"/>
      </w:pPr>
      <w:r>
        <w:t xml:space="preserve">3.1 Objectivo geral</w:t>
      </w:r>
    </w:p>
    <w:p>
      <w:pPr>
        <w:spacing w:after="120" w:line="360"/>
        <w:jc w:val="both"/>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line="360"/>
      </w:pPr>
      <w:r>
        <w:t xml:space="preserve">Modelar o domínio académico numa ontologia OWL (TBox) com instâncias RDF (ABox).</w:t>
      </w:r>
    </w:p>
    <w:p>
      <w:pPr>
        <w:pStyle w:val="ListParagraph"/>
        <w:numPr>
          <w:ilvl w:val="0"/>
          <w:numId w:val="2"/>
        </w:numPr>
        <w:spacing w:after="60" w:line="360"/>
      </w:pPr>
      <w:r>
        <w:t xml:space="preserve">Implementar pesquisa semântica com inferência via SPARQL, recorrendo a caminhos transitivos.</w:t>
      </w:r>
    </w:p>
    <w:p>
      <w:pPr>
        <w:pStyle w:val="ListParagraph"/>
        <w:numPr>
          <w:ilvl w:val="0"/>
          <w:numId w:val="2"/>
        </w:numPr>
        <w:spacing w:after="60" w:line="360"/>
      </w:pPr>
      <w:r>
        <w:t xml:space="preserve">Oferecer recomendações inteligentes baseadas no grafo de conhecimento.</w:t>
      </w:r>
    </w:p>
    <w:p>
      <w:pPr>
        <w:pStyle w:val="ListParagraph"/>
        <w:numPr>
          <w:ilvl w:val="0"/>
          <w:numId w:val="2"/>
        </w:numPr>
        <w:spacing w:after="60" w:line="360"/>
      </w:pPr>
      <w:r>
        <w:t xml:space="preserve">Disponibilizar autenticação segura (JWT + RBAC) e gestão de documentos.</w:t>
      </w:r>
    </w:p>
    <w:p>
      <w:pPr>
        <w:pStyle w:val="ListParagraph"/>
        <w:numPr>
          <w:ilvl w:val="0"/>
          <w:numId w:val="2"/>
        </w:numPr>
        <w:spacing w:after="60" w:line="360"/>
      </w:pPr>
      <w:r>
        <w:t xml:space="preserve">Organizar o acervo segundo a Classificação Decimal Universal (CDU), modelada em SKOS.</w:t>
      </w:r>
    </w:p>
    <w:p>
      <w:pPr>
        <w:pStyle w:val="ListParagraph"/>
        <w:numPr>
          <w:ilvl w:val="0"/>
          <w:numId w:val="2"/>
        </w:numPr>
        <w:spacing w:after="60" w:line="360"/>
      </w:pPr>
      <w:r>
        <w:t xml:space="preserve">Orquestrar os componentes com persistência poliglota (relacional, grafo e ficheiros).</w:t>
      </w:r>
    </w:p>
    <w:p>
      <w:pPr>
        <w:pStyle w:val="Heading1"/>
      </w:pPr>
      <w:r>
        <w:t xml:space="preserve">4. Fundamentação Teórica</w:t>
      </w:r>
    </w:p>
    <w:p>
      <w:pPr>
        <w:spacing w:after="120" w:line="360"/>
        <w:jc w:val="both"/>
      </w:pPr>
      <w:r>
        <w:t xml:space="preserve">A Web Semântica estende a Web actual com significado processável por máquinas, assente num conjunto de normas do W3C e nas boas práticas de modelação de ontologias [5]:</w:t>
      </w:r>
    </w:p>
    <w:p>
      <w:pPr>
        <w:pStyle w:val="ListParagraph"/>
        <w:numPr>
          <w:ilvl w:val="0"/>
          <w:numId w:val="2"/>
        </w:numPr>
        <w:spacing w:after="60" w:line="360"/>
      </w:pPr>
      <w:r>
        <w:rPr>
          <w:b/>
          <w:bCs/>
        </w:rPr>
        <w:t xml:space="preserve">RDF </w:t>
      </w:r>
      <w:r>
        <w:t xml:space="preserve">(Resource Description Framework): modelo de dados em triplos sujeito–predicado–objecto [1].</w:t>
      </w:r>
    </w:p>
    <w:p>
      <w:pPr>
        <w:pStyle w:val="ListParagraph"/>
        <w:numPr>
          <w:ilvl w:val="0"/>
          <w:numId w:val="2"/>
        </w:numPr>
        <w:spacing w:after="60" w:line="360"/>
      </w:pPr>
      <w:r>
        <w:rPr>
          <w:b/>
          <w:bCs/>
        </w:rPr>
        <w:t xml:space="preserve">RDFS / OWL: </w:t>
      </w:r>
      <w:r>
        <w:t xml:space="preserve">linguagens para descrever classes, propriedades e restrições, permitindo inferência [2].</w:t>
      </w:r>
    </w:p>
    <w:p>
      <w:pPr>
        <w:pStyle w:val="ListParagraph"/>
        <w:numPr>
          <w:ilvl w:val="0"/>
          <w:numId w:val="2"/>
        </w:numPr>
        <w:spacing w:after="60" w:line="360"/>
      </w:pPr>
      <w:r>
        <w:rPr>
          <w:b/>
          <w:bCs/>
        </w:rPr>
        <w:t xml:space="preserve">SPARQL: </w:t>
      </w:r>
      <w:r>
        <w:t xml:space="preserve">linguagem de consulta sobre grafos RDF; suporta caminhos de propriedade (por exemplo, eSubtemaDe* significa zero ou mais saltos) [3].</w:t>
      </w:r>
    </w:p>
    <w:p>
      <w:pPr>
        <w:pStyle w:val="ListParagraph"/>
        <w:numPr>
          <w:ilvl w:val="0"/>
          <w:numId w:val="2"/>
        </w:numPr>
        <w:spacing w:after="60" w:line="360"/>
      </w:pPr>
      <w:r>
        <w:rPr>
          <w:b/>
          <w:bCs/>
        </w:rPr>
        <w:t xml:space="preserve">SKOS: </w:t>
      </w:r>
      <w:r>
        <w:t xml:space="preserve">vocabulário-padrão para representar sistemas de classificação e taxonomias, usado aqui para modelar a CDU [4].</w:t>
      </w:r>
    </w:p>
    <w:p>
      <w:pPr>
        <w:pStyle w:val="ListParagraph"/>
        <w:numPr>
          <w:ilvl w:val="0"/>
          <w:numId w:val="2"/>
        </w:numPr>
        <w:spacing w:after="60" w:line="360"/>
      </w:pPr>
      <w:r>
        <w:rPr>
          <w:b/>
          <w:bCs/>
        </w:rPr>
        <w:t xml:space="preserve">IRI: </w:t>
      </w:r>
      <w:r>
        <w:t xml:space="preserve">identificador global de cada recurso — a ponte entre o mundo relacional (PostgreSQL) e o semântico (Fuseki), através do campo uri_semantica.</w:t>
      </w:r>
    </w:p>
    <w:p>
      <w:pPr>
        <w:spacing w:after="120" w:line="360"/>
        <w:jc w:val="both"/>
      </w:pPr>
      <w:r>
        <w:t xml:space="preserve">Propriedades OWL utilizadas no projecto [5]:</w:t>
      </w:r>
    </w:p>
    <w:p>
      <w:pPr>
        <w:pStyle w:val="ListParagraph"/>
        <w:numPr>
          <w:ilvl w:val="0"/>
          <w:numId w:val="2"/>
        </w:numPr>
        <w:spacing w:after="60" w:line="3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line="360"/>
      </w:pPr>
      <w:r>
        <w:rPr>
          <w:b/>
          <w:bCs/>
        </w:rPr>
        <w:t xml:space="preserve">Simétrica </w:t>
      </w:r>
      <w:r>
        <w:t xml:space="preserve">(obraRelacionada): se A está relacionada com B, então B está relacionada com A.</w:t>
      </w:r>
    </w:p>
    <w:p>
      <w:pPr>
        <w:pStyle w:val="ListParagraph"/>
        <w:numPr>
          <w:ilvl w:val="0"/>
          <w:numId w:val="2"/>
        </w:numPr>
        <w:spacing w:after="60" w:line="360"/>
      </w:pPr>
      <w:r>
        <w:rPr>
          <w:b/>
          <w:bCs/>
        </w:rPr>
        <w:t xml:space="preserve">Inversa </w:t>
      </w:r>
      <w:r>
        <w:t xml:space="preserve">(temAutor / ehAutorDe): permite navegar a relação nos dois sentidos.</w:t>
      </w:r>
    </w:p>
    <w:p>
      <w:pPr>
        <w:pStyle w:val="ListParagraph"/>
        <w:numPr>
          <w:ilvl w:val="0"/>
          <w:numId w:val="2"/>
        </w:numPr>
        <w:spacing w:after="60" w:line="360"/>
      </w:pPr>
      <w:r>
        <w:rPr>
          <w:b/>
          <w:bCs/>
        </w:rPr>
        <w:t xml:space="preserve">Funcional </w:t>
      </w:r>
      <w:r>
        <w:t xml:space="preserve">(email): cada pessoa tem, no máximo, um valor para esta propriedade.</w:t>
      </w:r>
    </w:p>
    <w:p>
      <w:pPr>
        <w:pStyle w:val="Heading1"/>
      </w:pPr>
      <w:r>
        <w:t xml:space="preserve">5. Análise de Requisitos</w:t>
      </w:r>
    </w:p>
    <w:p>
      <w:pPr>
        <w:spacing w:after="120" w:line="360"/>
        <w:jc w:val="both"/>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line="360"/>
      </w:pPr>
      <w:r>
        <w:t xml:space="preserve">RF1 — Pesquisar conteúdos (pesquisa textual e pesquisa semântica).</w:t>
      </w:r>
    </w:p>
    <w:p>
      <w:pPr>
        <w:pStyle w:val="ListParagraph"/>
        <w:numPr>
          <w:ilvl w:val="0"/>
          <w:numId w:val="2"/>
        </w:numPr>
        <w:spacing w:after="60" w:line="360"/>
      </w:pPr>
      <w:r>
        <w:t xml:space="preserve">RF2 — Consultar o detalhe de um documento e descarregá-lo conforme o nível de acesso.</w:t>
      </w:r>
    </w:p>
    <w:p>
      <w:pPr>
        <w:pStyle w:val="ListParagraph"/>
        <w:numPr>
          <w:ilvl w:val="0"/>
          <w:numId w:val="2"/>
        </w:numPr>
        <w:spacing w:after="60" w:line="360"/>
      </w:pPr>
      <w:r>
        <w:t xml:space="preserve">RF3 — Registar conta e iniciar sessão.</w:t>
      </w:r>
    </w:p>
    <w:p>
      <w:pPr>
        <w:pStyle w:val="ListParagraph"/>
        <w:numPr>
          <w:ilvl w:val="0"/>
          <w:numId w:val="2"/>
        </w:numPr>
        <w:spacing w:after="60" w:line="360"/>
      </w:pPr>
      <w:r>
        <w:t xml:space="preserve">RF4 — Guardar favoritos e seguir autores.</w:t>
      </w:r>
    </w:p>
    <w:p>
      <w:pPr>
        <w:pStyle w:val="ListParagraph"/>
        <w:numPr>
          <w:ilvl w:val="0"/>
          <w:numId w:val="2"/>
        </w:numPr>
        <w:spacing w:after="60" w:line="360"/>
      </w:pPr>
      <w:r>
        <w:t xml:space="preserve">RF5 — Receber recomendações personalizadas.</w:t>
      </w:r>
    </w:p>
    <w:p>
      <w:pPr>
        <w:pStyle w:val="ListParagraph"/>
        <w:numPr>
          <w:ilvl w:val="0"/>
          <w:numId w:val="2"/>
        </w:numPr>
        <w:spacing w:after="60" w:line="360"/>
      </w:pPr>
      <w:r>
        <w:t xml:space="preserve">RF6 — Publicar documentos (professor/investigador).</w:t>
      </w:r>
    </w:p>
    <w:p>
      <w:pPr>
        <w:pStyle w:val="ListParagraph"/>
        <w:numPr>
          <w:ilvl w:val="0"/>
          <w:numId w:val="2"/>
        </w:numPr>
        <w:spacing w:after="60" w:line="360"/>
      </w:pPr>
      <w:r>
        <w:t xml:space="preserve">RF7 — Administração: gerir utilizadores, documentos e sincronização com o grafo.</w:t>
      </w:r>
    </w:p>
    <w:p>
      <w:pPr>
        <w:pStyle w:val="ListParagraph"/>
        <w:numPr>
          <w:ilvl w:val="0"/>
          <w:numId w:val="2"/>
        </w:numPr>
        <w:spacing w:after="60" w:line="360"/>
      </w:pPr>
      <w:r>
        <w:t xml:space="preserve">RF8 — Endpoint SPARQL apenas de leitura.</w:t>
      </w:r>
    </w:p>
    <w:p>
      <w:pPr>
        <w:pStyle w:val="ListParagraph"/>
        <w:numPr>
          <w:ilvl w:val="0"/>
          <w:numId w:val="2"/>
        </w:numPr>
        <w:spacing w:after="60" w:line="360"/>
      </w:pPr>
      <w:r>
        <w:t xml:space="preserve">RF9 — Filtrar a pesquisa por autor e por ano de publicação.</w:t>
      </w:r>
    </w:p>
    <w:p>
      <w:pPr>
        <w:pStyle w:val="ListParagraph"/>
        <w:numPr>
          <w:ilvl w:val="0"/>
          <w:numId w:val="2"/>
        </w:numPr>
        <w:spacing w:after="60" w:line="360"/>
      </w:pPr>
      <w:r>
        <w:t xml:space="preserve">RF10 — Consultar o histórico pessoal de leituras e de pesquisas.</w:t>
      </w:r>
    </w:p>
    <w:p>
      <w:pPr>
        <w:pStyle w:val="ListParagraph"/>
        <w:numPr>
          <w:ilvl w:val="0"/>
          <w:numId w:val="2"/>
        </w:numPr>
        <w:spacing w:after="60" w:line="360"/>
      </w:pPr>
      <w:r>
        <w:t xml:space="preserve">RF11 — Receber notificações de novos documentos adicionados ao acervo.</w:t>
      </w:r>
    </w:p>
    <w:p>
      <w:pPr>
        <w:pStyle w:val="ListParagraph"/>
        <w:numPr>
          <w:ilvl w:val="0"/>
          <w:numId w:val="2"/>
        </w:numPr>
        <w:spacing w:after="60" w:line="360"/>
      </w:pPr>
      <w:r>
        <w:t xml:space="preserve">RF12 — Consultar estatísticas de utilização (perfil administrador).</w:t>
      </w:r>
    </w:p>
    <w:p>
      <w:pPr>
        <w:pStyle w:val="ListParagraph"/>
        <w:numPr>
          <w:ilvl w:val="0"/>
          <w:numId w:val="2"/>
        </w:numPr>
        <w:spacing w:after="60" w:line="360"/>
      </w:pPr>
      <w:r>
        <w:t xml:space="preserve">RF13 — Gerir a circulação: exemplares, empréstimos, reservas e multas.</w:t>
      </w:r>
    </w:p>
    <w:p>
      <w:pPr>
        <w:pStyle w:val="Heading2"/>
      </w:pPr>
      <w:r>
        <w:t xml:space="preserve">5.2 Requisitos não-funcionais</w:t>
      </w:r>
    </w:p>
    <w:p>
      <w:pPr>
        <w:spacing w:after="120" w:line="360"/>
        <w:jc w:val="both"/>
      </w:pPr>
      <w:r>
        <w:t xml:space="preserve">Segurança (JWT, RBAC, bcrypt), escalabilidade (backend sem estado), desempenho (índices, paginação e cache) e portabilidade (configuração por variáveis de ambiente).</w:t>
      </w:r>
    </w:p>
    <w:p>
      <w:pPr>
        <w:pStyle w:val="Heading1"/>
      </w:pPr>
      <w:r>
        <w:t xml:space="preserve">6. Modelação da Ontologia (OWL)</w:t>
      </w:r>
    </w:p>
    <w:p>
      <w:pPr>
        <w:spacing w:after="120" w:line="360"/>
        <w:jc w:val="both"/>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360"/>
        <w:jc w:val="both"/>
      </w:pPr>
      <w:r>
        <w:t xml:space="preserve">As relações entre indivíduos são modeladas como propriedades de objecto, com os axiomas OWL que habilitam a inferência. O excerto seguinte mostra as três propriedades fundamentais — transitiva, simétrica e inversa:</w:t>
      </w:r>
    </w:p>
    <w:p>
      <w:pPr>
        <w:shd w:fill="F2F2F2" w:val="clear"/>
        <w:spacing w:after="0"/>
      </w:pPr>
      <w:r>
        <w:rPr>
          <w:rFonts w:ascii="Consolas" w:cs="Consolas" w:eastAsia="Consolas" w:hAnsi="Consolas"/>
          <w:sz w:val="18"/>
          <w:szCs w:val="18"/>
        </w:rPr>
        <w:t xml:space="preserve"># Propriedade TRANSITIVA — base da expansão de temas</w:t>
      </w:r>
    </w:p>
    <w:p>
      <w:pPr>
        <w:shd w:fill="F2F2F2" w:val="clear"/>
        <w:spacing w:after="0"/>
      </w:pPr>
      <w:r>
        <w:rPr>
          <w:rFonts w:ascii="Consolas" w:cs="Consolas" w:eastAsia="Consolas" w:hAnsi="Consolas"/>
          <w:sz w:val="18"/>
          <w:szCs w:val="18"/>
        </w:rPr>
        <w:t xml:space="preserve">basi:eSubtemaDe a owl:ObjectProperty, owl:TransitiveProperty ;</w:t>
      </w:r>
    </w:p>
    <w:p>
      <w:pPr>
        <w:shd w:fill="F2F2F2" w:val="clear"/>
        <w:spacing w:after="0"/>
      </w:pPr>
      <w:r>
        <w:rPr>
          <w:rFonts w:ascii="Consolas" w:cs="Consolas" w:eastAsia="Consolas" w:hAnsi="Consolas"/>
          <w:sz w:val="18"/>
          <w:szCs w:val="18"/>
        </w:rPr>
        <w:t xml:space="preserve">    rdfs:domain basi:Tema ; rdfs:range basi:Tema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SIMÉTRICA — relação entre obras</w:t>
      </w:r>
    </w:p>
    <w:p>
      <w:pPr>
        <w:shd w:fill="F2F2F2" w:val="clear"/>
        <w:spacing w:after="0"/>
      </w:pPr>
      <w:r>
        <w:rPr>
          <w:rFonts w:ascii="Consolas" w:cs="Consolas" w:eastAsia="Consolas" w:hAnsi="Consolas"/>
          <w:sz w:val="18"/>
          <w:szCs w:val="18"/>
        </w:rPr>
        <w:t xml:space="preserve">basi:obraRelacionada a owl:ObjectProperty, owl:SymmetricProperty ;</w:t>
      </w:r>
    </w:p>
    <w:p>
      <w:pPr>
        <w:shd w:fill="F2F2F2" w:val="clear"/>
        <w:spacing w:after="0"/>
      </w:pPr>
      <w:r>
        <w:rPr>
          <w:rFonts w:ascii="Consolas" w:cs="Consolas" w:eastAsia="Consolas" w:hAnsi="Consolas"/>
          <w:sz w:val="18"/>
          <w:szCs w:val="18"/>
        </w:rPr>
        <w:t xml:space="preserve">    rdfs:domain basi:Documento ; rdfs:range basi:Documento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INVERSA — autoria navegável nos dois sentidos</w:t>
      </w:r>
    </w:p>
    <w:p>
      <w:pPr>
        <w:shd w:fill="F2F2F2" w:val="clear"/>
        <w:spacing w:after="0"/>
      </w:pPr>
      <w:r>
        <w:rPr>
          <w:rFonts w:ascii="Consolas" w:cs="Consolas" w:eastAsia="Consolas" w:hAnsi="Consolas"/>
          <w:sz w:val="18"/>
          <w:szCs w:val="18"/>
        </w:rPr>
        <w:t xml:space="preserve">basi:temAutor a owl:ObjectProperty ;</w:t>
      </w:r>
    </w:p>
    <w:p>
      <w:pPr>
        <w:shd w:fill="F2F2F2" w:val="clear"/>
        <w:spacing w:after="120"/>
      </w:pPr>
      <w:r>
        <w:rPr>
          <w:rFonts w:ascii="Consolas" w:cs="Consolas" w:eastAsia="Consolas" w:hAnsi="Consolas"/>
          <w:sz w:val="18"/>
          <w:szCs w:val="18"/>
        </w:rPr>
        <w:t xml:space="preserve">    owl:inverseOf basi:ehAutorDe .</w:t>
      </w:r>
    </w:p>
    <w:p>
      <w:pPr>
        <w:spacing w:after="120" w:line="360"/>
        <w:jc w:val="both"/>
      </w:pPr>
      <w:r>
        <w:t xml:space="preserve">A ontologia inclui ainda restrições OWL e classes inferidas: por owl:Restriction exige-se que cada Documento tenha pelo menos um autor (cardinalidade mínima 1); por owl:equivalentClass define-se DocumentoDeIA (qualquer documento cujo tema seja Inteligência Artificial ou um seu subtema) e ProfessorActivo (professor autor de pelo menos um documento). O axioma owl:AllDisjointClasses garante que um documento não pode ser, em simultâneo, Livro e Tese. A CDU é modelada como um skos:ConceptScheme, em que cada secção e género é um skos:Concept.</w:t>
      </w:r>
    </w:p>
    <w:p>
      <w:pPr>
        <w:pStyle w:val="Heading1"/>
      </w:pPr>
      <w:r>
        <w:t xml:space="preserve">7. Base de Conhecimento e Consultas SPARQL</w:t>
      </w:r>
    </w:p>
    <w:p>
      <w:pPr>
        <w:spacing w:after="120" w:line="360"/>
        <w:jc w:val="both"/>
      </w:pPr>
      <w:r>
        <w:t xml:space="preserve">A base de conhecimento (rdf/dados_exemplo.ttl) materializa as instâncias (ABox): áreas científicas, uma hierarquia de temas com três níveis de profundidade, autores, doze documentos técnicos e as relações entre eles (autoria, tema, citações e obras relacionadas). Estes doze documentos formam o núcleo densamente ligado que sustenta a demonstração da inferência; o catálogo completo da aplicação reúne 55 obras (documentos técnicos e literatura de domínio público), todas classificadas pela CDU. No servidor Fuseki em produção estão carregados 493 triplos. O excerto abaixo ilustra como a hierarquia de temas e a classificação de um documento são declaradas em triplos RDF:</w:t>
      </w:r>
    </w:p>
    <w:p>
      <w:pPr>
        <w:shd w:fill="F2F2F2" w:val="clear"/>
        <w:spacing w:after="0"/>
      </w:pPr>
      <w:r>
        <w:rPr>
          <w:rFonts w:ascii="Consolas" w:cs="Consolas" w:eastAsia="Consolas" w:hAnsi="Consolas"/>
          <w:sz w:val="18"/>
          <w:szCs w:val="18"/>
        </w:rPr>
        <w:t xml:space="preserve">basi:Tema_DeepLearning a basi:Tema ;</w:t>
      </w:r>
    </w:p>
    <w:p>
      <w:pPr>
        <w:shd w:fill="F2F2F2" w:val="clear"/>
        <w:spacing w:after="0"/>
      </w:pPr>
      <w:r>
        <w:rPr>
          <w:rFonts w:ascii="Consolas" w:cs="Consolas" w:eastAsia="Consolas" w:hAnsi="Consolas"/>
          <w:sz w:val="18"/>
          <w:szCs w:val="18"/>
        </w:rPr>
        <w:t xml:space="preserve">    basi:nome "Deep Learning" ;</w:t>
      </w:r>
    </w:p>
    <w:p>
      <w:pPr>
        <w:shd w:fill="F2F2F2" w:val="clear"/>
        <w:spacing w:after="0"/>
      </w:pPr>
      <w:r>
        <w:rPr>
          <w:rFonts w:ascii="Consolas" w:cs="Consolas" w:eastAsia="Consolas" w:hAnsi="Consolas"/>
          <w:sz w:val="18"/>
          <w:szCs w:val="18"/>
        </w:rPr>
        <w:t xml:space="preserve">    basi:eSubtemaDe basi:Tema_MachineLearning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rec:documento/doc2 a basi:Artigo ;</w:t>
      </w:r>
    </w:p>
    <w:p>
      <w:pPr>
        <w:shd w:fill="F2F2F2" w:val="clear"/>
        <w:spacing w:after="0"/>
      </w:pPr>
      <w:r>
        <w:rPr>
          <w:rFonts w:ascii="Consolas" w:cs="Consolas" w:eastAsia="Consolas" w:hAnsi="Consolas"/>
          <w:sz w:val="18"/>
          <w:szCs w:val="18"/>
        </w:rPr>
        <w:t xml:space="preserve">    basi:titulo "Aprendizagem Profunda Aplicada" ;</w:t>
      </w:r>
    </w:p>
    <w:p>
      <w:pPr>
        <w:shd w:fill="F2F2F2" w:val="clear"/>
        <w:spacing w:after="0"/>
      </w:pPr>
      <w:r>
        <w:rPr>
          <w:rFonts w:ascii="Consolas" w:cs="Consolas" w:eastAsia="Consolas" w:hAnsi="Consolas"/>
          <w:sz w:val="18"/>
          <w:szCs w:val="18"/>
        </w:rPr>
        <w:t xml:space="preserve">    basi:temTema basi:Tema_DeepLearning ;</w:t>
      </w:r>
    </w:p>
    <w:p>
      <w:pPr>
        <w:shd w:fill="F2F2F2" w:val="clear"/>
        <w:spacing w:after="120"/>
      </w:pPr>
      <w:r>
        <w:rPr>
          <w:rFonts w:ascii="Consolas" w:cs="Consolas" w:eastAsia="Consolas" w:hAnsi="Consolas"/>
          <w:sz w:val="18"/>
          <w:szCs w:val="18"/>
        </w:rPr>
        <w:t xml:space="preserve">    basi:temAutor rec:pessoa/adriano .</w:t>
      </w:r>
    </w:p>
    <w:p>
      <w:pPr>
        <w:spacing w:after="120" w:line="360"/>
        <w:jc w:val="both"/>
      </w:pPr>
      <w:r>
        <w:t xml:space="preserve">A consulta-chave da pesquisa semântica usa um caminho de propriedade transitivo (eSubtemaDe*) para percorrer toda a sub-árvore de um tema e devolver os documentos a ele ligados, mesmo que o título não contenha a palavra pesquisada:</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360"/>
        <w:jc w:val="both"/>
      </w:pPr>
      <w:r>
        <w:t xml:space="preserve">Esta consulta é gerada e executada pelo backend, no ServicoSemantico, demonstrando a integração entre a aplicação e a componente semântica:</w:t>
      </w:r>
    </w:p>
    <w:p>
      <w:pPr>
        <w:shd w:fill="F2F2F2" w:val="clear"/>
        <w:spacing w:after="0"/>
      </w:pPr>
      <w:r>
        <w:rPr>
          <w:rFonts w:ascii="Consolas" w:cs="Consolas" w:eastAsia="Consolas" w:hAnsi="Consolas"/>
          <w:sz w:val="18"/>
          <w:szCs w:val="18"/>
        </w:rPr>
        <w:t xml:space="preserve">def expandir_termo(self, termo: str) -&gt; list[str]:</w:t>
      </w:r>
    </w:p>
    <w:p>
      <w:pPr>
        <w:shd w:fill="F2F2F2" w:val="clear"/>
        <w:spacing w:after="0"/>
      </w:pPr>
      <w:r>
        <w:rPr>
          <w:rFonts w:ascii="Consolas" w:cs="Consolas" w:eastAsia="Consolas" w:hAnsi="Consolas"/>
          <w:sz w:val="18"/>
          <w:szCs w:val="18"/>
        </w:rPr>
        <w:t xml:space="preserve">    nomes: list[str] = []</w:t>
      </w:r>
    </w:p>
    <w:p>
      <w:pPr>
        <w:shd w:fill="F2F2F2" w:val="clear"/>
        <w:spacing w:after="0"/>
      </w:pPr>
      <w:r>
        <w:rPr>
          <w:rFonts w:ascii="Consolas" w:cs="Consolas" w:eastAsia="Consolas" w:hAnsi="Consolas"/>
          <w:sz w:val="18"/>
          <w:szCs w:val="18"/>
        </w:rPr>
        <w:t xml:space="preserve">    for raiz in self.temas_correspondentes(termo):</w:t>
      </w:r>
    </w:p>
    <w:p>
      <w:pPr>
        <w:shd w:fill="F2F2F2" w:val="clear"/>
        <w:spacing w:after="0"/>
      </w:pPr>
      <w:r>
        <w:rPr>
          <w:rFonts w:ascii="Consolas" w:cs="Consolas" w:eastAsia="Consolas" w:hAnsi="Consolas"/>
          <w:sz w:val="18"/>
          <w:szCs w:val="18"/>
        </w:rPr>
        <w:t xml:space="preserve">        query = f'''{PREFIXOS}</w:t>
      </w:r>
    </w:p>
    <w:p>
      <w:pPr>
        <w:shd w:fill="F2F2F2" w:val="clear"/>
        <w:spacing w:after="0"/>
      </w:pPr>
      <w:r>
        <w:rPr>
          <w:rFonts w:ascii="Consolas" w:cs="Consolas" w:eastAsia="Consolas" w:hAnsi="Consolas"/>
          <w:sz w:val="18"/>
          <w:szCs w:val="18"/>
        </w:rPr>
        <w:t xml:space="preserve">        SELECT DISTINCT ?nomeSub WHERE {</w:t>
      </w:r>
    </w:p>
    <w:p>
      <w:pPr>
        <w:shd w:fill="F2F2F2" w:val="clear"/>
        <w:spacing w:after="0"/>
      </w:pPr>
      <w:r>
        <w:rPr>
          <w:rFonts w:ascii="Consolas" w:cs="Consolas" w:eastAsia="Consolas" w:hAnsi="Consolas"/>
          <w:sz w:val="18"/>
          <w:szCs w:val="18"/>
        </w:rPr>
        <w:t xml:space="preserve">            ?temaRaiz basi:nome "{raiz}" .</w:t>
      </w:r>
    </w:p>
    <w:p>
      <w:pPr>
        <w:shd w:fill="F2F2F2" w:val="clear"/>
        <w:spacing w:after="0"/>
      </w:pPr>
      <w:r>
        <w:rPr>
          <w:rFonts w:ascii="Consolas" w:cs="Consolas" w:eastAsia="Consolas" w:hAnsi="Consolas"/>
          <w:sz w:val="18"/>
          <w:szCs w:val="18"/>
        </w:rPr>
        <w:t xml:space="preserve">            ?sub basi:eSubtemaDe* ?temaRaiz ;</w:t>
      </w:r>
    </w:p>
    <w:p>
      <w:pPr>
        <w:shd w:fill="F2F2F2" w:val="clear"/>
        <w:spacing w:after="0"/>
      </w:pPr>
      <w:r>
        <w:rPr>
          <w:rFonts w:ascii="Consolas" w:cs="Consolas" w:eastAsia="Consolas" w:hAnsi="Consolas"/>
          <w:sz w:val="18"/>
          <w:szCs w:val="18"/>
        </w:rPr>
        <w:t xml:space="preserve">                 basi:nome ?nomeSub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for linha in self.executar_select(query):</w:t>
      </w:r>
    </w:p>
    <w:p>
      <w:pPr>
        <w:shd w:fill="F2F2F2" w:val="clear"/>
        <w:spacing w:after="0"/>
      </w:pPr>
      <w:r>
        <w:rPr>
          <w:rFonts w:ascii="Consolas" w:cs="Consolas" w:eastAsia="Consolas" w:hAnsi="Consolas"/>
          <w:sz w:val="18"/>
          <w:szCs w:val="18"/>
        </w:rPr>
        <w:t xml:space="preserve">            nomes.append(linha["nomeSub"])</w:t>
      </w:r>
    </w:p>
    <w:p>
      <w:pPr>
        <w:shd w:fill="F2F2F2" w:val="clear"/>
        <w:spacing w:after="120"/>
      </w:pPr>
      <w:r>
        <w:rPr>
          <w:rFonts w:ascii="Consolas" w:cs="Consolas" w:eastAsia="Consolas" w:hAnsi="Consolas"/>
          <w:sz w:val="18"/>
          <w:szCs w:val="18"/>
        </w:rPr>
        <w:t xml:space="preserve">    return nomes</w:t>
      </w:r>
    </w:p>
    <w:p>
      <w:pPr>
        <w:pStyle w:val="Heading1"/>
      </w:pPr>
      <w:r>
        <w:t xml:space="preserve">8. Arquitectura da Solução</w:t>
      </w:r>
    </w:p>
    <w:p>
      <w:pPr>
        <w:spacing w:after="120" w:line="360"/>
        <w:jc w:val="both"/>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360"/>
        <w:jc w:val="both"/>
      </w:pPr>
      <w:r>
        <w:t xml:space="preserve">Cada documento existe nos dois mundos — relacional e semântico — ligados pelo campo uri_semantica. Esta separação mantém o sistema testável e permite escalar cada componente de forma independente.</w:t>
      </w:r>
    </w:p>
    <w:p>
      <w:pPr>
        <w:pStyle w:val="Heading2"/>
      </w:pPr>
      <w:r>
        <w:t xml:space="preserve">8.1 Modelação da base de dados relacional</w:t>
      </w:r>
    </w:p>
    <w:p>
      <w:pPr>
        <w:spacing w:after="120" w:line="360"/>
        <w:jc w:val="both"/>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 Possui um índice GIN de texto completo em português, campos de auditoria (created_at/updated_at) e o campo uri_semantica que estabelece a ligação com o grafo RDF.</w:t>
      </w:r>
    </w:p>
    <w:p>
      <w:pPr>
        <w:pStyle w:val="Heading2"/>
      </w:pPr>
      <w:r>
        <w:t xml:space="preserve">8.2 Sincronização SQL ↔ RDF</w:t>
      </w:r>
    </w:p>
    <w:p>
      <w:pPr>
        <w:spacing w:after="120" w:line="360"/>
        <w:jc w:val="both"/>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9. Tecnologias Utilizadas</w:t>
      </w:r>
    </w:p>
    <w:p>
      <w:pPr>
        <w:spacing w:after="120" w:line="360"/>
        <w:jc w:val="both"/>
      </w:pPr>
      <w:r>
        <w:t xml:space="preserve">As tecnologias foram escolhidas pela maturidade, pela produtividade e pela boa integração com o ecossistema de Web Semântica: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10. Implementação</w:t>
      </w:r>
    </w:p>
    <w:p>
      <w:pPr>
        <w:pStyle w:val="Heading2"/>
      </w:pPr>
      <w:r>
        <w:t xml:space="preserve">10.1 Backend</w:t>
      </w:r>
    </w:p>
    <w:p>
      <w:pPr>
        <w:spacing w:after="120" w:line="360"/>
        <w:jc w:val="both"/>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10.2 Frontend</w:t>
      </w:r>
    </w:p>
    <w:p>
      <w:pPr>
        <w:spacing w:after="120" w:line="360"/>
        <w:jc w:val="both"/>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10.3 Segurança</w:t>
      </w:r>
    </w:p>
    <w:p>
      <w:pPr>
        <w:pStyle w:val="ListParagraph"/>
        <w:numPr>
          <w:ilvl w:val="0"/>
          <w:numId w:val="2"/>
        </w:numPr>
        <w:spacing w:after="60" w:line="360"/>
      </w:pPr>
      <w:r>
        <w:t xml:space="preserve">Palavras-passe guardadas apenas como hash bcrypt (com sal).</w:t>
      </w:r>
    </w:p>
    <w:p>
      <w:pPr>
        <w:pStyle w:val="ListParagraph"/>
        <w:numPr>
          <w:ilvl w:val="0"/>
          <w:numId w:val="2"/>
        </w:numPr>
        <w:spacing w:after="60" w:line="360"/>
      </w:pPr>
      <w:r>
        <w:t xml:space="preserve">Autenticação JWT sem estado: token de acesso (30 min) e token de renovação (7 dias).</w:t>
      </w:r>
    </w:p>
    <w:p>
      <w:pPr>
        <w:pStyle w:val="ListParagraph"/>
        <w:numPr>
          <w:ilvl w:val="0"/>
          <w:numId w:val="2"/>
        </w:numPr>
        <w:spacing w:after="60" w:line="360"/>
      </w:pPr>
      <w:r>
        <w:t xml:space="preserve">Autorização baseada em papéis (RBAC) através da dependência exigir_perfis(...).</w:t>
      </w:r>
    </w:p>
    <w:p>
      <w:pPr>
        <w:pStyle w:val="ListParagraph"/>
        <w:numPr>
          <w:ilvl w:val="0"/>
          <w:numId w:val="2"/>
        </w:numPr>
        <w:spacing w:after="60" w:line="360"/>
      </w:pPr>
      <w:r>
        <w:t xml:space="preserve">Endpoint SPARQL restrito a leitura (bloqueia INSERT, DELETE, DROP, etc.).</w:t>
      </w:r>
    </w:p>
    <w:p>
      <w:pPr>
        <w:pStyle w:val="ListParagraph"/>
        <w:numPr>
          <w:ilvl w:val="0"/>
          <w:numId w:val="2"/>
        </w:numPr>
        <w:spacing w:after="60" w:line="360"/>
      </w:pPr>
      <w:r>
        <w:t xml:space="preserve">CORS limitado às origens autorizadas.</w:t>
      </w:r>
    </w:p>
    <w:p>
      <w:pPr>
        <w:pStyle w:val="Heading1"/>
      </w:pPr>
      <w:r>
        <w:t xml:space="preserve">11. Resultados</w:t>
      </w:r>
    </w:p>
    <w:p>
      <w:pPr>
        <w:spacing w:after="120" w:line="360"/>
        <w:jc w:val="both"/>
      </w:pPr>
      <w:r>
        <w:t xml:space="preserve">O sistema cumpre os objectivos propostos e a integração semântica funciona de ponta a ponta. A figura seguinte mostra a pesquisa por “Inteligência Artificial”: o sistema expande o termo, por inferência transitiva, para nove temas relacionados (Machine Learning, Deep Learning, Redes Neurais, Aprendizagem por Reforço, Ciência de Dados, Big Data, Visão Computacional e Processamento de Linguagem Natural) e devolve os nove documentos ligados a qualquer um deles, indicando em cada resultado o tema que o tornou relevante.</w:t>
      </w:r>
    </w:p>
    <w:p>
      <w:pPr>
        <w:spacing w:after="40" w:before="120"/>
        <w:jc w:val="center"/>
      </w:pPr>
      <w:r>
        <w:drawing>
          <wp:inline distT="0" distB="0" distL="0" distR="0">
            <wp:extent cx="3429000" cy="4267200"/>
            <wp:effectExtent t="0" r="0" b="0" l="0"/>
            <wp:docPr id="1" name="pesquisa_resultados.png" descr="Figura 2 — Pesquisa semântica (em produção): nove temas expandidos por inferência e os nove documentos encontrados." title="Figura 2 — Pesquisa semântica (em produção): nove temas expandidos por inferência e os nove docume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4267200"/>
                    </a:xfrm>
                    <a:prstGeom prst="rect">
                      <a:avLst/>
                    </a:prstGeom>
                  </pic:spPr>
                </pic:pic>
              </a:graphicData>
            </a:graphic>
          </wp:inline>
        </w:drawing>
      </w:r>
    </w:p>
    <w:p>
      <w:pPr>
        <w:spacing w:after="200"/>
        <w:jc w:val="center"/>
      </w:pPr>
      <w:r>
        <w:rPr>
          <w:i/>
          <w:iCs/>
          <w:color w:val="595959"/>
          <w:sz w:val="18"/>
          <w:szCs w:val="18"/>
        </w:rPr>
        <w:t xml:space="preserve">Figura 2 — Pesquisa semântica (em produção): nove temas expandidos por inferência e os nove documentos encontrados.</w:t>
      </w:r>
    </w:p>
    <w:p>
      <w:pPr>
        <w:spacing w:after="120" w:line="360"/>
        <w:jc w:val="both"/>
      </w:pPr>
      <w:r>
        <w:t xml:space="preserve">A pesquisa por título também tira partido da camada semântica: quando um termo não corresponde a nenhum título nem resumo, o sistema recorre automaticamente à pesquisa por significado e mostra as obras dos temas relacionados, indicando o porquê de cada resultado.</w:t>
      </w:r>
    </w:p>
    <w:p>
      <w:pPr>
        <w:spacing w:after="40" w:before="120"/>
        <w:jc w:val="center"/>
      </w:pPr>
      <w:r>
        <w:drawing>
          <wp:inline distT="0" distB="0" distL="0" distR="0">
            <wp:extent cx="4095750" cy="4467225"/>
            <wp:effectExtent t="0" r="0" b="0" l="0"/>
            <wp:docPr id="1" name="pesquisa_recurso_semantico.png" descr="Figura 3 — Recurso à camada semântica: sem correspondência textual, mostram-se obras por significado." title="Figura 3 — Recurso à camada semântica: sem correspondência textual, mostram-se obras por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467225"/>
                    </a:xfrm>
                    <a:prstGeom prst="rect">
                      <a:avLst/>
                    </a:prstGeom>
                  </pic:spPr>
                </pic:pic>
              </a:graphicData>
            </a:graphic>
          </wp:inline>
        </w:drawing>
      </w:r>
    </w:p>
    <w:p>
      <w:pPr>
        <w:spacing w:after="200"/>
        <w:jc w:val="center"/>
      </w:pPr>
      <w:r>
        <w:rPr>
          <w:i/>
          <w:iCs/>
          <w:color w:val="595959"/>
          <w:sz w:val="18"/>
          <w:szCs w:val="18"/>
        </w:rPr>
        <w:t xml:space="preserve">Figura 3 — Recurso à camada semântica: sem correspondência textual, mostram-se obras por significado.</w:t>
      </w:r>
    </w:p>
    <w:p>
      <w:pPr>
        <w:spacing w:after="120" w:line="360"/>
        <w:jc w:val="both"/>
      </w:pPr>
      <w:r>
        <w:t xml:space="preserve">A biblioteca apresenta o acervo organizado pelas secções da Classificação Decimal Universal (CDU), com contagem de obras por secção e subdivisão da Literatura por género.</w:t>
      </w:r>
    </w:p>
    <w:p>
      <w:pPr>
        <w:spacing w:after="40" w:before="120"/>
        <w:jc w:val="center"/>
      </w:pPr>
      <w:r>
        <w:drawing>
          <wp:inline distT="0" distB="0" distL="0" distR="0">
            <wp:extent cx="4667250" cy="3105150"/>
            <wp:effectExtent t="0" r="0" b="0" l="0"/>
            <wp:docPr id="1" name="biblioteca.png" descr="Figura 4 — Biblioteca (em produção) organizada pelas secções da CDU, com 55 obras no acervo." title="Figura 4 — Biblioteca (em produção) organizada pelas secções da CDU, com 55 obras no ace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3105150"/>
                    </a:xfrm>
                    <a:prstGeom prst="rect">
                      <a:avLst/>
                    </a:prstGeom>
                  </pic:spPr>
                </pic:pic>
              </a:graphicData>
            </a:graphic>
          </wp:inline>
        </w:drawing>
      </w:r>
    </w:p>
    <w:p>
      <w:pPr>
        <w:spacing w:after="200"/>
        <w:jc w:val="center"/>
      </w:pPr>
      <w:r>
        <w:rPr>
          <w:i/>
          <w:iCs/>
          <w:color w:val="595959"/>
          <w:sz w:val="18"/>
          <w:szCs w:val="18"/>
        </w:rPr>
        <w:t xml:space="preserve">Figura 4 — Biblioteca (em produção) organizada pelas secções da CDU, com 55 obras no acervo.</w:t>
      </w:r>
    </w:p>
    <w:p>
      <w:pPr>
        <w:spacing w:after="120" w:line="360"/>
        <w:jc w:val="both"/>
      </w:pPr>
      <w:r>
        <w:t xml:space="preserve">Síntese dos resultados:</w:t>
      </w:r>
    </w:p>
    <w:p>
      <w:pPr>
        <w:pStyle w:val="ListParagraph"/>
        <w:numPr>
          <w:ilvl w:val="0"/>
          <w:numId w:val="2"/>
        </w:numPr>
        <w:spacing w:after="60" w:line="360"/>
      </w:pPr>
      <w:r>
        <w:t xml:space="preserve">A pesquisa por um tema expande automaticamente para todos os seus subtemas e devolve os documentos ligados a qualquer um deles, mesmo sem a palavra pesquisada no título.</w:t>
      </w:r>
    </w:p>
    <w:p>
      <w:pPr>
        <w:pStyle w:val="ListParagraph"/>
        <w:numPr>
          <w:ilvl w:val="0"/>
          <w:numId w:val="2"/>
        </w:numPr>
        <w:spacing w:after="60" w:line="360"/>
      </w:pPr>
      <w:r>
        <w:t xml:space="preserve">Termos que não correspondem a nenhum tema não são “inventados”: o sistema recorre à pesquisa por título/resumo e sugere temas válidos, evitando respostas sem sentido.</w:t>
      </w:r>
    </w:p>
    <w:p>
      <w:pPr>
        <w:pStyle w:val="ListParagraph"/>
        <w:numPr>
          <w:ilvl w:val="0"/>
          <w:numId w:val="2"/>
        </w:numPr>
        <w:spacing w:after="60" w:line="360"/>
      </w:pPr>
      <w:r>
        <w:t xml:space="preserve">As recomendações partem dos favoritos do utilizador e, através da expansão transitiva, sugerem documentos de temas relacionados.</w:t>
      </w:r>
    </w:p>
    <w:p>
      <w:pPr>
        <w:pStyle w:val="ListParagraph"/>
        <w:numPr>
          <w:ilvl w:val="0"/>
          <w:numId w:val="2"/>
        </w:numPr>
        <w:spacing w:after="60" w:line="360"/>
      </w:pPr>
      <w:r>
        <w:t xml:space="preserve">O controlo de acesso por perfis funciona em toda a aplicação, do backend à interface.</w:t>
      </w:r>
    </w:p>
    <w:p>
      <w:pPr>
        <w:pStyle w:val="ListParagraph"/>
        <w:numPr>
          <w:ilvl w:val="0"/>
          <w:numId w:val="2"/>
        </w:numPr>
        <w:spacing w:after="60" w:line="360"/>
      </w:pPr>
      <w:r>
        <w:t xml:space="preserve">A adição/remoção de documentos pelo administrador reflecte-se imediatamente no grafo e na pesquisa.</w:t>
      </w:r>
    </w:p>
    <w:p>
      <w:pPr>
        <w:pStyle w:val="Heading2"/>
      </w:pPr>
      <w:r>
        <w:t xml:space="preserve">11.1 Implantação em produção e funcionalidades complementares</w:t>
      </w:r>
    </w:p>
    <w:p>
      <w:pPr>
        <w:spacing w:after="120" w:line="360"/>
        <w:jc w:val="both"/>
      </w:pPr>
      <w:r>
        <w:t xml:space="preserve">A aplicação encontra-se publicada e acessível em linha: o frontend em https://basi-frontend-3zod.onrender.com e a API em https://basi-backend-50sv.onrender.com/api/v1, com o endpoint SPARQL e o grafo Apache Jena Fuseki activos (493 triplos carregados). O acervo em produção conta com 55 obras, combinando documentos técnicos e literatura de domínio público classificada pela CDU. As figuras 1, 2 e 4 deste relatório foram captadas directamente do ambiente em produção.</w:t>
      </w:r>
    </w:p>
    <w:p>
      <w:pPr>
        <w:spacing w:after="120" w:line="360"/>
        <w:jc w:val="both"/>
      </w:pPr>
      <w:r>
        <w:t xml:space="preserve">Em torno do núcleo semântico, o sistema integra ainda funcionalidades próprias de uma biblioteca real, que complementam — sem substituir — a exploração do conhecimento:</w:t>
      </w:r>
    </w:p>
    <w:p>
      <w:pPr>
        <w:pStyle w:val="ListParagraph"/>
        <w:numPr>
          <w:ilvl w:val="0"/>
          <w:numId w:val="2"/>
        </w:numPr>
        <w:spacing w:after="60" w:line="360"/>
      </w:pPr>
      <w:r>
        <w:t xml:space="preserve">Filtros de pesquisa por autor e por ano, a par da pesquisa textual e da pesquisa semântica.</w:t>
      </w:r>
    </w:p>
    <w:p>
      <w:pPr>
        <w:pStyle w:val="ListParagraph"/>
        <w:numPr>
          <w:ilvl w:val="0"/>
          <w:numId w:val="2"/>
        </w:numPr>
        <w:spacing w:after="60" w:line="360"/>
      </w:pPr>
      <w:r>
        <w:t xml:space="preserve">Histórico pessoal de leituras e de pesquisas, por utilizador.</w:t>
      </w:r>
    </w:p>
    <w:p>
      <w:pPr>
        <w:pStyle w:val="ListParagraph"/>
        <w:numPr>
          <w:ilvl w:val="0"/>
          <w:numId w:val="2"/>
        </w:numPr>
        <w:spacing w:after="60" w:line="360"/>
      </w:pPr>
      <w:r>
        <w:t xml:space="preserve">Notificações de novos documentos adicionados ao acervo.</w:t>
      </w:r>
    </w:p>
    <w:p>
      <w:pPr>
        <w:pStyle w:val="ListParagraph"/>
        <w:numPr>
          <w:ilvl w:val="0"/>
          <w:numId w:val="2"/>
        </w:numPr>
        <w:spacing w:after="60" w:line="360"/>
      </w:pPr>
      <w:r>
        <w:t xml:space="preserve">Painel de estatísticas (administrador): obras mais vistas e descarregadas, distribuição por secção da CDU e termos mais pesquisados.</w:t>
      </w:r>
    </w:p>
    <w:p>
      <w:pPr>
        <w:pStyle w:val="ListParagraph"/>
        <w:numPr>
          <w:ilvl w:val="0"/>
          <w:numId w:val="2"/>
        </w:numPr>
        <w:spacing w:after="60" w:line="360"/>
      </w:pPr>
      <w:r>
        <w:t xml:space="preserve">Módulo de circulação: gestão de exemplares, empréstimos, reservas e multas.</w:t>
      </w:r>
    </w:p>
    <w:p>
      <w:pPr>
        <w:pStyle w:val="Heading1"/>
      </w:pPr>
      <w:r>
        <w:t xml:space="preserve">12. Dificuldades</w:t>
      </w:r>
    </w:p>
    <w:p>
      <w:pPr>
        <w:pStyle w:val="ListParagraph"/>
        <w:numPr>
          <w:ilvl w:val="0"/>
          <w:numId w:val="2"/>
        </w:numPr>
        <w:spacing w:after="60" w:line="360"/>
      </w:pPr>
      <w:r>
        <w:t xml:space="preserve">Manter a coerência entre o mundo relacional e o semântico exigiu uma convenção rigorosa de IRIs (uri_semantica) partilhada pelas duas camadas.</w:t>
      </w:r>
    </w:p>
    <w:p>
      <w:pPr>
        <w:pStyle w:val="ListParagraph"/>
        <w:numPr>
          <w:ilvl w:val="0"/>
          <w:numId w:val="2"/>
        </w:numPr>
        <w:spacing w:after="60" w:line="3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line="360"/>
      </w:pPr>
      <w:r>
        <w:t xml:space="preserve">Foi necessário garantir o funcionamento sem o Fuseki externo, o que motivou a implementação do grafo rdflib em memória como alternativa.</w:t>
      </w:r>
    </w:p>
    <w:p>
      <w:pPr>
        <w:pStyle w:val="ListParagraph"/>
        <w:numPr>
          <w:ilvl w:val="0"/>
          <w:numId w:val="2"/>
        </w:numPr>
        <w:spacing w:after="60" w:line="360"/>
      </w:pPr>
      <w:r>
        <w:t xml:space="preserve">A modelação da CDU em SKOS, ligando cada secção à área científica já existente, exigiu cuidado para não duplicar conceitos.</w:t>
      </w:r>
    </w:p>
    <w:p>
      <w:pPr>
        <w:pStyle w:val="Heading1"/>
      </w:pPr>
      <w:r>
        <w:t xml:space="preserve">13. Optimização, Escalabilidade e Testes</w:t>
      </w:r>
    </w:p>
    <w:p>
      <w:pPr>
        <w:spacing w:after="120" w:line="360"/>
        <w:jc w:val="both"/>
      </w:pPr>
      <w:r>
        <w:t xml:space="preserve">O backend é sem estado, o que permite escalar horizontalmente. Recorre-se a cache (lru_cache no carregamento do grafo e na configuração), paginação, índices relacionais e de texto completo, e à optimização dos caminhos transitivos. 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 Como evolução, recomenda-se cache Redis para respostas SPARQL frequentes e réplicas de leitura no PostgreSQL.</w:t>
      </w:r>
    </w:p>
    <w:p>
      <w:pPr>
        <w:pStyle w:val="Heading1"/>
      </w:pPr>
      <w:r>
        <w:t xml:space="preserve">14. Conclusões</w:t>
      </w:r>
    </w:p>
    <w:p>
      <w:pPr>
        <w:spacing w:after="120" w:line="360"/>
        <w:jc w:val="both"/>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 O projecto responde directamente à problemática do Tema 1 e cumpre todos os entregáveis exigidos: código-fonte, ontologia, base de conhecimento e este relatório técnico.</w:t>
      </w:r>
    </w:p>
    <w:p>
      <w:pPr>
        <w:spacing w:after="120" w:line="360"/>
        <w:jc w:val="both"/>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15. Referências Bibliográficas</w:t>
      </w:r>
    </w:p>
    <w:p>
      <w:pPr>
        <w:pStyle w:val="ListParagraph"/>
        <w:numPr>
          <w:ilvl w:val="0"/>
          <w:numId w:val="3"/>
        </w:numPr>
        <w:spacing w:after="60" w:line="360"/>
      </w:pPr>
      <w:r>
        <w:t xml:space="preserve">W3C. RDF 1.1 Concepts and Abstract Syntax. World Wide Web Consortium, 2014.</w:t>
      </w:r>
    </w:p>
    <w:p>
      <w:pPr>
        <w:pStyle w:val="ListParagraph"/>
        <w:numPr>
          <w:ilvl w:val="0"/>
          <w:numId w:val="3"/>
        </w:numPr>
        <w:spacing w:after="60" w:line="360"/>
      </w:pPr>
      <w:r>
        <w:t xml:space="preserve">W3C. OWL 2 Web Ontology Language — Primer. World Wide Web Consortium, 2012.</w:t>
      </w:r>
    </w:p>
    <w:p>
      <w:pPr>
        <w:pStyle w:val="ListParagraph"/>
        <w:numPr>
          <w:ilvl w:val="0"/>
          <w:numId w:val="3"/>
        </w:numPr>
        <w:spacing w:after="60" w:line="360"/>
      </w:pPr>
      <w:r>
        <w:t xml:space="preserve">W3C. SPARQL 1.1 Query Language. World Wide Web Consortium, 2013.</w:t>
      </w:r>
    </w:p>
    <w:p>
      <w:pPr>
        <w:pStyle w:val="ListParagraph"/>
        <w:numPr>
          <w:ilvl w:val="0"/>
          <w:numId w:val="3"/>
        </w:numPr>
        <w:spacing w:after="60" w:line="360"/>
      </w:pPr>
      <w:r>
        <w:t xml:space="preserve">W3C. SKOS Simple Knowledge Organization System Reference. World Wide Web Consortium, 2009.</w:t>
      </w:r>
    </w:p>
    <w:p>
      <w:pPr>
        <w:pStyle w:val="ListParagraph"/>
        <w:numPr>
          <w:ilvl w:val="0"/>
          <w:numId w:val="3"/>
        </w:numPr>
        <w:spacing w:after="60" w:line="360"/>
      </w:pPr>
      <w:r>
        <w:t xml:space="preserve">ALLEMANG, D.; HENDLER, J. Semantic Web for the Working Ontologist. 2.ª ed. Morgan Kaufmann, 2011.</w:t>
      </w:r>
    </w:p>
    <w:p>
      <w:pPr>
        <w:pStyle w:val="ListParagraph"/>
        <w:numPr>
          <w:ilvl w:val="0"/>
          <w:numId w:val="3"/>
        </w:numPr>
        <w:spacing w:after="60" w:line="360"/>
      </w:pPr>
      <w:r>
        <w:t xml:space="preserve">Apache Software Foundation. Apache Jena Fuseki — Documentation. Disponível em jena.apache.org.</w:t>
      </w:r>
    </w:p>
    <w:p>
      <w:pPr>
        <w:pStyle w:val="ListParagraph"/>
        <w:numPr>
          <w:ilvl w:val="0"/>
          <w:numId w:val="3"/>
        </w:numPr>
        <w:spacing w:after="60" w:line="360"/>
      </w:pPr>
      <w:r>
        <w:t xml:space="preserve">FastAPI. FastAPI Documentation. Disponível em fastapi.tiangolo.com.</w:t>
      </w:r>
    </w:p>
    <w:p>
      <w:pPr>
        <w:pStyle w:val="ListParagraph"/>
        <w:numPr>
          <w:ilvl w:val="0"/>
          <w:numId w:val="3"/>
        </w:numPr>
        <w:spacing w:after="60" w:line="360"/>
      </w:pPr>
      <w:r>
        <w:t xml:space="preserve">Vercel. Next.js Documentation. Disponível em nextjs.org.</w:t>
      </w:r>
    </w:p>
    <w:p>
      <w:pPr>
        <w:pStyle w:val="ListParagraph"/>
        <w:numPr>
          <w:ilvl w:val="0"/>
          <w:numId w:val="3"/>
        </w:numPr>
        <w:spacing w:after="60" w:line="360"/>
      </w:pPr>
      <w:r>
        <w:t xml:space="preserve">UDC Consortium. Universal Decimal Classification (CDU) — Outline. Disponível em udcc.org.</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BASI — Semantic Academic Hub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1e5f66ef20e20b00ed13a401242ff564086765.jpg"/><Relationship Id="rId10" Type="http://schemas.openxmlformats.org/officeDocument/2006/relationships/image" Target="media/fc3a708ed211d8daab30a9ca7c194dc231c90f93.png"/><Relationship Id="rId11" Type="http://schemas.openxmlformats.org/officeDocument/2006/relationships/image" Target="media/8cb6c4a2f81c233d06dc5809c222cde231e79c23.png"/><Relationship Id="rId12" Type="http://schemas.openxmlformats.org/officeDocument/2006/relationships/image" Target="media/7f2e6aef3dfd251191fe5a90893f9385619be1ff.png"/><Relationship Id="rId13" Type="http://schemas.openxmlformats.org/officeDocument/2006/relationships/image" Target="media/e96b251b13038ab6c6d3f7b1901b29df53493fe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2026-06-16T15:30:17.170Z</dcterms:created>
  <dcterms:modified xsi:type="dcterms:W3CDTF">2026-06-16T15:30:17.170Z</dcterms:modified>
</cp:coreProperties>
</file>

<file path=docProps/custom.xml><?xml version="1.0" encoding="utf-8"?>
<Properties xmlns="http://schemas.openxmlformats.org/officeDocument/2006/custom-properties" xmlns:vt="http://schemas.openxmlformats.org/officeDocument/2006/docPropsVTypes"/>
</file>