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360"/>
        <w:jc w:val="center"/>
      </w:pPr>
      <w:r>
        <w:t xml:space="preserve">Universidade Mandume ya Ndemufayo</w:t>
      </w:r>
    </w:p>
    <w:p>
      <w:pPr>
        <w:spacing w:after="120" w:line="360"/>
        <w:jc w:val="center"/>
      </w:pPr>
      <w:r>
        <w:t xml:space="preserve">Licenciatura em Ciências da Computação — 4.º ano</w:t>
      </w:r>
    </w:p>
    <w:p>
      <w:pPr>
        <w:spacing w:after="120" w:line="360"/>
        <w:jc w:val="center"/>
      </w:pPr>
      <w:r>
        <w:t xml:space="preserve">Disciplina: Web Semântica</w:t>
      </w:r>
    </w:p>
    <w:p>
      <w:pPr>
        <w:spacing w:after="120" w:line="360"/>
        <w:jc w:val="center"/>
      </w:pPr>
      <w:r>
        <w:t xml:space="preserve">Docente: Faby Sapeth</w:t>
      </w:r>
    </w:p>
    <w:p>
      <w:pPr>
        <w:spacing w:before="500"/>
      </w:pPr>
    </w:p>
    <w:p>
      <w:pPr>
        <w:spacing w:after="120"/>
        <w:jc w:val="center"/>
      </w:pPr>
      <w:r>
        <w:rPr>
          <w:b/>
          <w:bCs/>
          <w:sz w:val="40"/>
          <w:szCs w:val="40"/>
        </w:rPr>
        <w:t xml:space="preserve">Semantic Academic Hub (BASI)</w:t>
      </w:r>
    </w:p>
    <w:p>
      <w:pPr>
        <w:spacing w:after="400"/>
        <w:jc w:val="center"/>
      </w:pPr>
      <w:r>
        <w:rPr>
          <w:i/>
          <w:iCs/>
          <w:sz w:val="26"/>
          <w:szCs w:val="26"/>
        </w:rPr>
        <w:t xml:space="preserve">Biblioteca Académica Semântica Integrada</w:t>
      </w:r>
    </w:p>
    <w:p>
      <w:pPr>
        <w:spacing w:after="120" w:line="360"/>
        <w:jc w:val="center"/>
      </w:pPr>
      <w:r>
        <w:t xml:space="preserve">Trabalho académico apresentado no âmbito da disciplina de Web Semântica.</w:t>
      </w:r>
    </w:p>
    <w:p>
      <w:pPr>
        <w:spacing w:before="300"/>
        <w:jc w:val="left"/>
      </w:pPr>
      <w:r>
        <w:rPr>
          <w:b/>
          <w:bCs/>
        </w:rPr>
        <w:t xml:space="preserve">Discentes:</w:t>
      </w:r>
    </w:p>
    <w:p>
      <w:pPr>
        <w:spacing w:after="120" w:line="360"/>
        <w:jc w:val="left"/>
      </w:pPr>
      <w:r>
        <w:t xml:space="preserve">Pedro Calenga  —  Nº 2022110222</w:t>
      </w:r>
    </w:p>
    <w:p>
      <w:pPr>
        <w:spacing w:after="120" w:line="360"/>
        <w:jc w:val="left"/>
      </w:pPr>
      <w:r>
        <w:t xml:space="preserve">Filipe Tchivela  —  Nº 2022142100</w:t>
      </w:r>
    </w:p>
    <w:p>
      <w:pPr>
        <w:spacing w:after="120" w:line="360"/>
        <w:jc w:val="left"/>
      </w:pPr>
      <w:r>
        <w:t xml:space="preserve">Adriano De Júlio  —  Nº 2022179366</w:t>
      </w:r>
    </w:p>
    <w:p>
      <w:pPr>
        <w:spacing w:before="500"/>
        <w:jc w:val="center"/>
      </w:pPr>
      <w:r>
        <w:rPr>
          <w:b/>
          <w:bCs/>
        </w:rPr>
        <w:t xml:space="preserve">Lubango, 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360"/>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360"/>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360"/>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360"/>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360"/>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360"/>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360"/>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line="360"/>
      </w:pPr>
      <w:r>
        <w:t xml:space="preserve">Modelar o domínio académico numa ontologia OWL (TBox) com instâncias RDF (ABox).</w:t>
      </w:r>
    </w:p>
    <w:p>
      <w:pPr>
        <w:pStyle w:val="ListParagraph"/>
        <w:numPr>
          <w:ilvl w:val="0"/>
          <w:numId w:val="2"/>
        </w:numPr>
        <w:spacing w:after="60" w:line="360"/>
      </w:pPr>
      <w:r>
        <w:t xml:space="preserve">Implementar pesquisa semântica com inferência via SPARQL, recorrendo a caminhos transitivos.</w:t>
      </w:r>
    </w:p>
    <w:p>
      <w:pPr>
        <w:pStyle w:val="ListParagraph"/>
        <w:numPr>
          <w:ilvl w:val="0"/>
          <w:numId w:val="2"/>
        </w:numPr>
        <w:spacing w:after="60" w:line="360"/>
      </w:pPr>
      <w:r>
        <w:t xml:space="preserve">Oferecer recomendações inteligentes baseadas no grafo de conhecimento.</w:t>
      </w:r>
    </w:p>
    <w:p>
      <w:pPr>
        <w:pStyle w:val="ListParagraph"/>
        <w:numPr>
          <w:ilvl w:val="0"/>
          <w:numId w:val="2"/>
        </w:numPr>
        <w:spacing w:after="60" w:line="360"/>
      </w:pPr>
      <w:r>
        <w:t xml:space="preserve">Disponibilizar autenticação segura (JWT + RBAC) e gestão de documentos.</w:t>
      </w:r>
    </w:p>
    <w:p>
      <w:pPr>
        <w:pStyle w:val="ListParagraph"/>
        <w:numPr>
          <w:ilvl w:val="0"/>
          <w:numId w:val="2"/>
        </w:numPr>
        <w:spacing w:after="60" w:line="360"/>
      </w:pPr>
      <w:r>
        <w:t xml:space="preserve">Organizar o acervo segundo a Classificação Decimal Universal (CDU), modelada em SKOS.</w:t>
      </w:r>
    </w:p>
    <w:p>
      <w:pPr>
        <w:pStyle w:val="ListParagraph"/>
        <w:numPr>
          <w:ilvl w:val="0"/>
          <w:numId w:val="2"/>
        </w:numPr>
        <w:spacing w:after="60" w:line="360"/>
      </w:pPr>
      <w:r>
        <w:t xml:space="preserve">Orquestrar os componentes com persistência poliglota (relacional, grafo e ficheiros).</w:t>
      </w:r>
    </w:p>
    <w:p>
      <w:pPr>
        <w:pStyle w:val="Heading1"/>
      </w:pPr>
      <w:r>
        <w:t xml:space="preserve">4. Fundamentação Teórica</w:t>
      </w:r>
    </w:p>
    <w:p>
      <w:pPr>
        <w:spacing w:after="120" w:line="360"/>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line="360"/>
      </w:pPr>
      <w:r>
        <w:rPr>
          <w:b/>
          <w:bCs/>
        </w:rPr>
        <w:t xml:space="preserve">RDF </w:t>
      </w:r>
      <w:r>
        <w:t xml:space="preserve">(Resource Description Framework): modelo de dados em triplos sujeito–predicado–objecto [1].</w:t>
      </w:r>
    </w:p>
    <w:p>
      <w:pPr>
        <w:pStyle w:val="ListParagraph"/>
        <w:numPr>
          <w:ilvl w:val="0"/>
          <w:numId w:val="2"/>
        </w:numPr>
        <w:spacing w:after="60" w:line="360"/>
      </w:pPr>
      <w:r>
        <w:rPr>
          <w:b/>
          <w:bCs/>
        </w:rPr>
        <w:t xml:space="preserve">RDFS / OWL: </w:t>
      </w:r>
      <w:r>
        <w:t xml:space="preserve">linguagens para descrever classes, propriedades e restrições, permitindo inferência [2].</w:t>
      </w:r>
    </w:p>
    <w:p>
      <w:pPr>
        <w:pStyle w:val="ListParagraph"/>
        <w:numPr>
          <w:ilvl w:val="0"/>
          <w:numId w:val="2"/>
        </w:numPr>
        <w:spacing w:after="60" w:line="3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line="3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line="360"/>
      </w:pPr>
      <w:r>
        <w:rPr>
          <w:b/>
          <w:bCs/>
        </w:rPr>
        <w:t xml:space="preserve">IRI: </w:t>
      </w:r>
      <w:r>
        <w:t xml:space="preserve">identificador global de cada recurso — a ponte entre o mundo relacional (PostgreSQL) e o semântico (Fuseki), através do campo uri_semantica.</w:t>
      </w:r>
    </w:p>
    <w:p>
      <w:pPr>
        <w:spacing w:after="120" w:line="360"/>
        <w:jc w:val="both"/>
      </w:pPr>
      <w:r>
        <w:t xml:space="preserve">Propriedades OWL utilizadas no projecto [5]:</w:t>
      </w:r>
    </w:p>
    <w:p>
      <w:pPr>
        <w:pStyle w:val="ListParagraph"/>
        <w:numPr>
          <w:ilvl w:val="0"/>
          <w:numId w:val="2"/>
        </w:numPr>
        <w:spacing w:after="60" w:line="3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line="360"/>
      </w:pPr>
      <w:r>
        <w:rPr>
          <w:b/>
          <w:bCs/>
        </w:rPr>
        <w:t xml:space="preserve">Simétrica </w:t>
      </w:r>
      <w:r>
        <w:t xml:space="preserve">(obraRelacionada): se A está relacionada com B, então B está relacionada com A.</w:t>
      </w:r>
    </w:p>
    <w:p>
      <w:pPr>
        <w:pStyle w:val="ListParagraph"/>
        <w:numPr>
          <w:ilvl w:val="0"/>
          <w:numId w:val="2"/>
        </w:numPr>
        <w:spacing w:after="60" w:line="360"/>
      </w:pPr>
      <w:r>
        <w:rPr>
          <w:b/>
          <w:bCs/>
        </w:rPr>
        <w:t xml:space="preserve">Inversa </w:t>
      </w:r>
      <w:r>
        <w:t xml:space="preserve">(temAutor / ehAutorDe): permite navegar a relação nos dois sentidos.</w:t>
      </w:r>
    </w:p>
    <w:p>
      <w:pPr>
        <w:pStyle w:val="ListParagraph"/>
        <w:numPr>
          <w:ilvl w:val="0"/>
          <w:numId w:val="2"/>
        </w:numPr>
        <w:spacing w:after="60" w:line="360"/>
      </w:pPr>
      <w:r>
        <w:rPr>
          <w:b/>
          <w:bCs/>
        </w:rPr>
        <w:t xml:space="preserve">Funcional </w:t>
      </w:r>
      <w:r>
        <w:t xml:space="preserve">(email): cada pessoa tem, no máximo, um valor para esta propriedade.</w:t>
      </w:r>
    </w:p>
    <w:p>
      <w:pPr>
        <w:pStyle w:val="Heading1"/>
      </w:pPr>
      <w:r>
        <w:t xml:space="preserve">5. Análise de Requisitos</w:t>
      </w:r>
    </w:p>
    <w:p>
      <w:pPr>
        <w:spacing w:after="120" w:line="360"/>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line="360"/>
      </w:pPr>
      <w:r>
        <w:t xml:space="preserve">RF1 — Pesquisar conteúdos (pesquisa textual e pesquisa semântica).</w:t>
      </w:r>
    </w:p>
    <w:p>
      <w:pPr>
        <w:pStyle w:val="ListParagraph"/>
        <w:numPr>
          <w:ilvl w:val="0"/>
          <w:numId w:val="2"/>
        </w:numPr>
        <w:spacing w:after="60" w:line="360"/>
      </w:pPr>
      <w:r>
        <w:t xml:space="preserve">RF2 — Consultar o detalhe de um documento e descarregá-lo conforme o nível de acesso.</w:t>
      </w:r>
    </w:p>
    <w:p>
      <w:pPr>
        <w:pStyle w:val="ListParagraph"/>
        <w:numPr>
          <w:ilvl w:val="0"/>
          <w:numId w:val="2"/>
        </w:numPr>
        <w:spacing w:after="60" w:line="360"/>
      </w:pPr>
      <w:r>
        <w:t xml:space="preserve">RF3 — Registar conta e iniciar sessão.</w:t>
      </w:r>
    </w:p>
    <w:p>
      <w:pPr>
        <w:pStyle w:val="ListParagraph"/>
        <w:numPr>
          <w:ilvl w:val="0"/>
          <w:numId w:val="2"/>
        </w:numPr>
        <w:spacing w:after="60" w:line="360"/>
      </w:pPr>
      <w:r>
        <w:t xml:space="preserve">RF4 — Guardar favoritos e seguir autores.</w:t>
      </w:r>
    </w:p>
    <w:p>
      <w:pPr>
        <w:pStyle w:val="ListParagraph"/>
        <w:numPr>
          <w:ilvl w:val="0"/>
          <w:numId w:val="2"/>
        </w:numPr>
        <w:spacing w:after="60" w:line="360"/>
      </w:pPr>
      <w:r>
        <w:t xml:space="preserve">RF5 — Receber recomendações personalizadas.</w:t>
      </w:r>
    </w:p>
    <w:p>
      <w:pPr>
        <w:pStyle w:val="ListParagraph"/>
        <w:numPr>
          <w:ilvl w:val="0"/>
          <w:numId w:val="2"/>
        </w:numPr>
        <w:spacing w:after="60" w:line="360"/>
      </w:pPr>
      <w:r>
        <w:t xml:space="preserve">RF6 — Publicar documentos (professor/investigador).</w:t>
      </w:r>
    </w:p>
    <w:p>
      <w:pPr>
        <w:pStyle w:val="ListParagraph"/>
        <w:numPr>
          <w:ilvl w:val="0"/>
          <w:numId w:val="2"/>
        </w:numPr>
        <w:spacing w:after="60" w:line="360"/>
      </w:pPr>
      <w:r>
        <w:t xml:space="preserve">RF7 — Administração: gerir utilizadores, documentos e sincronização com o grafo.</w:t>
      </w:r>
    </w:p>
    <w:p>
      <w:pPr>
        <w:pStyle w:val="ListParagraph"/>
        <w:numPr>
          <w:ilvl w:val="0"/>
          <w:numId w:val="2"/>
        </w:numPr>
        <w:spacing w:after="60" w:line="360"/>
      </w:pPr>
      <w:r>
        <w:t xml:space="preserve">RF8 — Endpoint SPARQL apenas de leitura.</w:t>
      </w:r>
    </w:p>
    <w:p>
      <w:pPr>
        <w:pStyle w:val="ListParagraph"/>
        <w:numPr>
          <w:ilvl w:val="0"/>
          <w:numId w:val="2"/>
        </w:numPr>
        <w:spacing w:after="60" w:line="360"/>
      </w:pPr>
      <w:r>
        <w:t xml:space="preserve">RF9 — Filtrar a pesquisa por autor e por ano de publicação.</w:t>
      </w:r>
    </w:p>
    <w:p>
      <w:pPr>
        <w:pStyle w:val="ListParagraph"/>
        <w:numPr>
          <w:ilvl w:val="0"/>
          <w:numId w:val="2"/>
        </w:numPr>
        <w:spacing w:after="60" w:line="360"/>
      </w:pPr>
      <w:r>
        <w:t xml:space="preserve">RF10 — Consultar o histórico pessoal de leituras e de pesquisas.</w:t>
      </w:r>
    </w:p>
    <w:p>
      <w:pPr>
        <w:pStyle w:val="ListParagraph"/>
        <w:numPr>
          <w:ilvl w:val="0"/>
          <w:numId w:val="2"/>
        </w:numPr>
        <w:spacing w:after="60" w:line="360"/>
      </w:pPr>
      <w:r>
        <w:t xml:space="preserve">RF11 — Receber notificações de novos documentos adicionados ao acervo.</w:t>
      </w:r>
    </w:p>
    <w:p>
      <w:pPr>
        <w:pStyle w:val="ListParagraph"/>
        <w:numPr>
          <w:ilvl w:val="0"/>
          <w:numId w:val="2"/>
        </w:numPr>
        <w:spacing w:after="60" w:line="360"/>
      </w:pPr>
      <w:r>
        <w:t xml:space="preserve">RF12 — Consultar estatísticas de utilização (perfil administrador).</w:t>
      </w:r>
    </w:p>
    <w:p>
      <w:pPr>
        <w:pStyle w:val="ListParagraph"/>
        <w:numPr>
          <w:ilvl w:val="0"/>
          <w:numId w:val="2"/>
        </w:numPr>
        <w:spacing w:after="60" w:line="360"/>
      </w:pPr>
      <w:r>
        <w:t xml:space="preserve">RF13 — Gerir a circulação: exemplares, empréstimos, reservas e multas.</w:t>
      </w:r>
    </w:p>
    <w:p>
      <w:pPr>
        <w:pStyle w:val="Heading2"/>
      </w:pPr>
      <w:r>
        <w:t xml:space="preserve">5.2 Requisitos não-funcionais</w:t>
      </w:r>
    </w:p>
    <w:p>
      <w:pPr>
        <w:spacing w:after="120" w:line="360"/>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360"/>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360"/>
        <w:jc w:val="both"/>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360"/>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360"/>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360"/>
        <w:jc w:val="both"/>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360"/>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360"/>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360"/>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360"/>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360"/>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360"/>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360"/>
        <w:jc w:val="both"/>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360"/>
        <w:jc w:val="both"/>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line="360"/>
      </w:pPr>
      <w:r>
        <w:t xml:space="preserve">Palavras-passe guardadas apenas como hash bcrypt (com sal).</w:t>
      </w:r>
    </w:p>
    <w:p>
      <w:pPr>
        <w:pStyle w:val="ListParagraph"/>
        <w:numPr>
          <w:ilvl w:val="0"/>
          <w:numId w:val="2"/>
        </w:numPr>
        <w:spacing w:after="60" w:line="360"/>
      </w:pPr>
      <w:r>
        <w:t xml:space="preserve">Autenticação JWT sem estado: token de acesso (30 min) e token de renovação (7 dias).</w:t>
      </w:r>
    </w:p>
    <w:p>
      <w:pPr>
        <w:pStyle w:val="ListParagraph"/>
        <w:numPr>
          <w:ilvl w:val="0"/>
          <w:numId w:val="2"/>
        </w:numPr>
        <w:spacing w:after="60" w:line="360"/>
      </w:pPr>
      <w:r>
        <w:t xml:space="preserve">Autorização baseada em papéis (RBAC) através da dependência exigir_perfis(...).</w:t>
      </w:r>
    </w:p>
    <w:p>
      <w:pPr>
        <w:pStyle w:val="ListParagraph"/>
        <w:numPr>
          <w:ilvl w:val="0"/>
          <w:numId w:val="2"/>
        </w:numPr>
        <w:spacing w:after="60" w:line="360"/>
      </w:pPr>
      <w:r>
        <w:t xml:space="preserve">Endpoint SPARQL restrito a leitura (bloqueia INSERT, DELETE, DROP, etc.).</w:t>
      </w:r>
    </w:p>
    <w:p>
      <w:pPr>
        <w:pStyle w:val="ListParagraph"/>
        <w:numPr>
          <w:ilvl w:val="0"/>
          <w:numId w:val="2"/>
        </w:numPr>
        <w:spacing w:after="60" w:line="360"/>
      </w:pPr>
      <w:r>
        <w:t xml:space="preserve">CORS limitado às origens autorizadas.</w:t>
      </w:r>
    </w:p>
    <w:p>
      <w:pPr>
        <w:pStyle w:val="Heading1"/>
      </w:pPr>
      <w:r>
        <w:t xml:space="preserve">11. Resultados</w:t>
      </w:r>
    </w:p>
    <w:p>
      <w:pPr>
        <w:spacing w:after="120" w:line="360"/>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360"/>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360"/>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360"/>
        <w:jc w:val="both"/>
      </w:pPr>
      <w:r>
        <w:t xml:space="preserve">Síntese dos resultados:</w:t>
      </w:r>
    </w:p>
    <w:p>
      <w:pPr>
        <w:pStyle w:val="ListParagraph"/>
        <w:numPr>
          <w:ilvl w:val="0"/>
          <w:numId w:val="2"/>
        </w:numPr>
        <w:spacing w:after="60" w:line="3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line="3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line="360"/>
      </w:pPr>
      <w:r>
        <w:t xml:space="preserve">As recomendações partem dos favoritos do utilizador e, através da expansão transitiva, sugerem documentos de temas relacionados.</w:t>
      </w:r>
    </w:p>
    <w:p>
      <w:pPr>
        <w:pStyle w:val="ListParagraph"/>
        <w:numPr>
          <w:ilvl w:val="0"/>
          <w:numId w:val="2"/>
        </w:numPr>
        <w:spacing w:after="60" w:line="360"/>
      </w:pPr>
      <w:r>
        <w:t xml:space="preserve">O controlo de acesso por perfis funciona em toda a aplicação, do backend à interface.</w:t>
      </w:r>
    </w:p>
    <w:p>
      <w:pPr>
        <w:pStyle w:val="ListParagraph"/>
        <w:numPr>
          <w:ilvl w:val="0"/>
          <w:numId w:val="2"/>
        </w:numPr>
        <w:spacing w:after="60" w:line="3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360"/>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360"/>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line="360"/>
      </w:pPr>
      <w:r>
        <w:t xml:space="preserve">Filtros de pesquisa por autor e por ano, a par da pesquisa textual e da pesquisa semântica.</w:t>
      </w:r>
    </w:p>
    <w:p>
      <w:pPr>
        <w:pStyle w:val="ListParagraph"/>
        <w:numPr>
          <w:ilvl w:val="0"/>
          <w:numId w:val="2"/>
        </w:numPr>
        <w:spacing w:after="60" w:line="360"/>
      </w:pPr>
      <w:r>
        <w:t xml:space="preserve">Histórico pessoal de leituras e de pesquisas, por utilizador.</w:t>
      </w:r>
    </w:p>
    <w:p>
      <w:pPr>
        <w:pStyle w:val="ListParagraph"/>
        <w:numPr>
          <w:ilvl w:val="0"/>
          <w:numId w:val="2"/>
        </w:numPr>
        <w:spacing w:after="60" w:line="360"/>
      </w:pPr>
      <w:r>
        <w:t xml:space="preserve">Notificações de novos documentos adicionados ao acervo.</w:t>
      </w:r>
    </w:p>
    <w:p>
      <w:pPr>
        <w:pStyle w:val="ListParagraph"/>
        <w:numPr>
          <w:ilvl w:val="0"/>
          <w:numId w:val="2"/>
        </w:numPr>
        <w:spacing w:after="60" w:line="360"/>
      </w:pPr>
      <w:r>
        <w:t xml:space="preserve">Painel de estatísticas (administrador): obras mais vistas e descarregadas, distribuição por secção da CDU e termos mais pesquisados.</w:t>
      </w:r>
    </w:p>
    <w:p>
      <w:pPr>
        <w:pStyle w:val="ListParagraph"/>
        <w:numPr>
          <w:ilvl w:val="0"/>
          <w:numId w:val="2"/>
        </w:numPr>
        <w:spacing w:after="60" w:line="3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line="360"/>
      </w:pPr>
      <w:r>
        <w:t xml:space="preserve">Manter a coerência entre o mundo relacional e o semântico exigiu uma convenção rigorosa de IRIs (uri_semantica) partilhada pelas duas camadas.</w:t>
      </w:r>
    </w:p>
    <w:p>
      <w:pPr>
        <w:pStyle w:val="ListParagraph"/>
        <w:numPr>
          <w:ilvl w:val="0"/>
          <w:numId w:val="2"/>
        </w:numPr>
        <w:spacing w:after="60" w:line="3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line="360"/>
      </w:pPr>
      <w:r>
        <w:t xml:space="preserve">Foi necessário garantir o funcionamento sem o Fuseki externo, o que motivou a implementação do grafo rdflib em memória como alternativa.</w:t>
      </w:r>
    </w:p>
    <w:p>
      <w:pPr>
        <w:pStyle w:val="ListParagraph"/>
        <w:numPr>
          <w:ilvl w:val="0"/>
          <w:numId w:val="2"/>
        </w:numPr>
        <w:spacing w:after="60" w:line="3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360"/>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360"/>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360"/>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line="360"/>
      </w:pPr>
      <w:r>
        <w:t xml:space="preserve">W3C. RDF 1.1 Concepts and Abstract Syntax. World Wide Web Consortium, 2014.</w:t>
      </w:r>
    </w:p>
    <w:p>
      <w:pPr>
        <w:pStyle w:val="ListParagraph"/>
        <w:numPr>
          <w:ilvl w:val="0"/>
          <w:numId w:val="3"/>
        </w:numPr>
        <w:spacing w:after="60" w:line="360"/>
      </w:pPr>
      <w:r>
        <w:t xml:space="preserve">W3C. OWL 2 Web Ontology Language — Primer. World Wide Web Consortium, 2012.</w:t>
      </w:r>
    </w:p>
    <w:p>
      <w:pPr>
        <w:pStyle w:val="ListParagraph"/>
        <w:numPr>
          <w:ilvl w:val="0"/>
          <w:numId w:val="3"/>
        </w:numPr>
        <w:spacing w:after="60" w:line="360"/>
      </w:pPr>
      <w:r>
        <w:t xml:space="preserve">W3C. SPARQL 1.1 Query Language. World Wide Web Consortium, 2013.</w:t>
      </w:r>
    </w:p>
    <w:p>
      <w:pPr>
        <w:pStyle w:val="ListParagraph"/>
        <w:numPr>
          <w:ilvl w:val="0"/>
          <w:numId w:val="3"/>
        </w:numPr>
        <w:spacing w:after="60" w:line="360"/>
      </w:pPr>
      <w:r>
        <w:t xml:space="preserve">W3C. SKOS Simple Knowledge Organization System Reference. World Wide Web Consortium, 2009.</w:t>
      </w:r>
    </w:p>
    <w:p>
      <w:pPr>
        <w:pStyle w:val="ListParagraph"/>
        <w:numPr>
          <w:ilvl w:val="0"/>
          <w:numId w:val="3"/>
        </w:numPr>
        <w:spacing w:after="60" w:line="360"/>
      </w:pPr>
      <w:r>
        <w:t xml:space="preserve">ALLEMANG, D.; HENDLER, J. Semantic Web for the Working Ontologist. 2.ª ed. Morgan Kaufmann, 2011.</w:t>
      </w:r>
    </w:p>
    <w:p>
      <w:pPr>
        <w:pStyle w:val="ListParagraph"/>
        <w:numPr>
          <w:ilvl w:val="0"/>
          <w:numId w:val="3"/>
        </w:numPr>
        <w:spacing w:after="60" w:line="360"/>
      </w:pPr>
      <w:r>
        <w:t xml:space="preserve">Apache Software Foundation. Apache Jena Fuseki — Documentation. Disponível em jena.apache.org.</w:t>
      </w:r>
    </w:p>
    <w:p>
      <w:pPr>
        <w:pStyle w:val="ListParagraph"/>
        <w:numPr>
          <w:ilvl w:val="0"/>
          <w:numId w:val="3"/>
        </w:numPr>
        <w:spacing w:after="60" w:line="360"/>
      </w:pPr>
      <w:r>
        <w:t xml:space="preserve">FastAPI. FastAPI Documentation. Disponível em fastapi.tiangolo.com.</w:t>
      </w:r>
    </w:p>
    <w:p>
      <w:pPr>
        <w:pStyle w:val="ListParagraph"/>
        <w:numPr>
          <w:ilvl w:val="0"/>
          <w:numId w:val="3"/>
        </w:numPr>
        <w:spacing w:after="60" w:line="360"/>
      </w:pPr>
      <w:r>
        <w:t xml:space="preserve">Vercel. Next.js Documentation. Disponível em nextjs.org.</w:t>
      </w:r>
    </w:p>
    <w:p>
      <w:pPr>
        <w:pStyle w:val="ListParagraph"/>
        <w:numPr>
          <w:ilvl w:val="0"/>
          <w:numId w:val="3"/>
        </w:numPr>
        <w:spacing w:after="60" w:line="3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jc w:val="center"/>
    </w:pPr>
    <w:r>
      <w:rPr>
        <w:color w:val="404040"/>
        <w:sz w:val="20"/>
        <w:szCs w:val="20"/>
      </w:rPr>
      <w:t xml:space="preserve">BASI — Semantic Academic Hub      Página </w:t>
    </w:r>
    <w:r>
      <w:rPr>
        <w:b/>
        <w:bCs/>
        <w:color w:val="1F3864"/>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1e5f66ef20e20b00ed13a401242ff564086765.jpg"/><Relationship Id="rId10" Type="http://schemas.openxmlformats.org/officeDocument/2006/relationships/image" Target="media/fc3a708ed211d8daab30a9ca7c194dc231c90f93.png"/><Relationship Id="rId11" Type="http://schemas.openxmlformats.org/officeDocument/2006/relationships/image" Target="media/8cb6c4a2f81c233d06dc5809c222cde231e79c23.png"/><Relationship Id="rId12" Type="http://schemas.openxmlformats.org/officeDocument/2006/relationships/image" Target="media/7f2e6aef3dfd251191fe5a90893f9385619be1ff.png"/><Relationship Id="rId13" Type="http://schemas.openxmlformats.org/officeDocument/2006/relationships/image" Target="media/e96b251b13038ab6c6d3f7b1901b29df53493f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2026-06-16T16:30:57.619Z</dcterms:created>
  <dcterms:modified xsi:type="dcterms:W3CDTF">2026-06-16T16:30:57.623Z</dcterms:modified>
</cp:coreProperties>
</file>

<file path=docProps/custom.xml><?xml version="1.0" encoding="utf-8"?>
<Properties xmlns="http://schemas.openxmlformats.org/officeDocument/2006/custom-properties" xmlns:vt="http://schemas.openxmlformats.org/officeDocument/2006/docPropsVTypes"/>
</file>