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8DFC" w14:textId="3F792A9F" w:rsidR="00C73B80" w:rsidRDefault="00C73B80" w:rsidP="0003158E">
      <w:pPr>
        <w:rPr>
          <w:b/>
          <w:bCs/>
          <w:color w:val="1F497D" w:themeColor="text2"/>
          <w:sz w:val="24"/>
          <w:szCs w:val="24"/>
        </w:rPr>
      </w:pPr>
      <w:r w:rsidRPr="0003158E">
        <w:rPr>
          <w:b/>
          <w:bCs/>
          <w:color w:val="1F497D" w:themeColor="text2"/>
          <w:sz w:val="24"/>
          <w:szCs w:val="24"/>
        </w:rPr>
        <w:t>STATE OF THE MARKET</w:t>
      </w:r>
    </w:p>
    <w:p w14:paraId="5265F714" w14:textId="7568929C" w:rsidR="00365267" w:rsidRDefault="00365267" w:rsidP="00365267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>OR</w:t>
      </w:r>
      <w:r>
        <w:rPr>
          <w:rFonts w:hint="eastAsia"/>
          <w:b/>
          <w:bCs/>
          <w:sz w:val="40"/>
          <w:szCs w:val="40"/>
        </w:rPr>
        <w:t>TGAGE</w:t>
      </w:r>
      <w:r>
        <w:rPr>
          <w:b/>
          <w:bCs/>
          <w:sz w:val="40"/>
          <w:szCs w:val="40"/>
        </w:rPr>
        <w:t xml:space="preserve"> </w:t>
      </w:r>
      <w:r w:rsidR="00693137">
        <w:rPr>
          <w:rFonts w:hint="eastAsia"/>
          <w:b/>
          <w:bCs/>
          <w:sz w:val="40"/>
          <w:szCs w:val="40"/>
        </w:rPr>
        <w:t xml:space="preserve">POOL </w:t>
      </w:r>
      <w:r w:rsidR="00693137">
        <w:rPr>
          <w:b/>
          <w:bCs/>
          <w:sz w:val="40"/>
          <w:szCs w:val="40"/>
        </w:rPr>
        <w:t>OVERVIEW</w:t>
      </w:r>
    </w:p>
    <w:p w14:paraId="2664FE5D" w14:textId="042AF834" w:rsidR="00323782" w:rsidRPr="00365267" w:rsidRDefault="00323782" w:rsidP="0003158E">
      <w:pPr>
        <w:rPr>
          <w:b/>
          <w:bCs/>
          <w:sz w:val="28"/>
          <w:szCs w:val="28"/>
          <w:lang w:val="en-US"/>
        </w:rPr>
      </w:pPr>
    </w:p>
    <w:p w14:paraId="7F808966" w14:textId="54D59373" w:rsidR="00365267" w:rsidRPr="00365267" w:rsidRDefault="00365267" w:rsidP="0003158E">
      <w:pPr>
        <w:rPr>
          <w:b/>
          <w:bCs/>
          <w:sz w:val="28"/>
          <w:szCs w:val="28"/>
          <w:lang w:val="en-US"/>
        </w:rPr>
      </w:pPr>
      <w:r w:rsidRPr="00365267">
        <w:rPr>
          <w:b/>
          <w:bCs/>
          <w:sz w:val="28"/>
          <w:szCs w:val="28"/>
          <w:lang w:val="en-US"/>
        </w:rPr>
        <w:t>Pool Factor, Cumulative Prepay Rate, Cumulative Default Rate</w:t>
      </w:r>
    </w:p>
    <w:p w14:paraId="220EDB40" w14:textId="37F86801" w:rsidR="00323782" w:rsidRDefault="00365267" w:rsidP="0003158E">
      <w:pPr>
        <w:rPr>
          <w:b/>
          <w:b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775D670F" wp14:editId="2A995B27">
            <wp:extent cx="5743575" cy="24003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6DA37FC-11D8-4B20-A012-A4F7B7E0E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84703B" w14:textId="4672484C" w:rsidR="00335CB7" w:rsidRDefault="00832CB4" w:rsidP="00335CB7">
      <w:pPr>
        <w:rPr>
          <w:sz w:val="20"/>
          <w:szCs w:val="20"/>
        </w:rPr>
      </w:pPr>
      <w:r>
        <w:rPr>
          <w:b/>
          <w:bCs/>
          <w:color w:val="1F497D" w:themeColor="text2"/>
          <w:sz w:val="24"/>
          <w:szCs w:val="24"/>
        </w:rPr>
        <w:t xml:space="preserve"> </w:t>
      </w:r>
      <w:r w:rsidR="00335CB7" w:rsidRPr="00FE4874">
        <w:rPr>
          <w:b/>
          <w:bCs/>
          <w:sz w:val="20"/>
          <w:szCs w:val="20"/>
        </w:rPr>
        <w:t xml:space="preserve">Note: </w:t>
      </w:r>
      <w:r w:rsidR="00335CB7" w:rsidRPr="00FE4874">
        <w:rPr>
          <w:sz w:val="20"/>
          <w:szCs w:val="20"/>
        </w:rPr>
        <w:t xml:space="preserve">Fannie Mae loan level credit data includes loans originated from </w:t>
      </w:r>
      <w:r w:rsidR="00335CB7">
        <w:rPr>
          <w:sz w:val="20"/>
          <w:szCs w:val="20"/>
        </w:rPr>
        <w:t>loan age from 2 to 80</w:t>
      </w:r>
      <w:r w:rsidR="00335CB7" w:rsidRPr="00FE4874">
        <w:rPr>
          <w:sz w:val="20"/>
          <w:szCs w:val="20"/>
        </w:rPr>
        <w:t xml:space="preserve">. The percentages are weighted by </w:t>
      </w:r>
      <w:r w:rsidR="00335CB7">
        <w:rPr>
          <w:rFonts w:hint="eastAsia"/>
          <w:sz w:val="20"/>
          <w:szCs w:val="20"/>
        </w:rPr>
        <w:t>loan</w:t>
      </w:r>
      <w:r w:rsidR="00335CB7">
        <w:rPr>
          <w:sz w:val="20"/>
          <w:szCs w:val="20"/>
        </w:rPr>
        <w:t xml:space="preserve"> count</w:t>
      </w:r>
      <w:r w:rsidR="00335CB7">
        <w:rPr>
          <w:rFonts w:hint="eastAsia"/>
          <w:sz w:val="20"/>
          <w:szCs w:val="20"/>
        </w:rPr>
        <w:t xml:space="preserve"> a</w:t>
      </w:r>
      <w:r w:rsidR="00335CB7">
        <w:rPr>
          <w:sz w:val="20"/>
          <w:szCs w:val="20"/>
        </w:rPr>
        <w:t>nd the data are for each quarter.</w:t>
      </w:r>
    </w:p>
    <w:p w14:paraId="0EDDAB94" w14:textId="0AD226D5" w:rsidR="0042132A" w:rsidRDefault="0042132A" w:rsidP="0003158E">
      <w:pPr>
        <w:rPr>
          <w:b/>
          <w:bCs/>
          <w:color w:val="1F497D" w:themeColor="text2"/>
          <w:sz w:val="24"/>
          <w:szCs w:val="24"/>
        </w:rPr>
      </w:pPr>
    </w:p>
    <w:p w14:paraId="2C54AE55" w14:textId="43407832" w:rsidR="00D76B5A" w:rsidRPr="0003158E" w:rsidRDefault="00D76B5A" w:rsidP="00D76B5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hint="eastAsia"/>
          <w:sz w:val="28"/>
          <w:szCs w:val="28"/>
        </w:rPr>
        <w:t>The</w:t>
      </w:r>
      <w:r>
        <w:rPr>
          <w:rFonts w:asciiTheme="minorHAnsi" w:hAnsiTheme="minorHAnsi"/>
          <w:sz w:val="28"/>
          <w:szCs w:val="28"/>
        </w:rPr>
        <w:t xml:space="preserve"> pool factor decrease</w:t>
      </w:r>
      <w:r w:rsidR="00EB58D1">
        <w:rPr>
          <w:rFonts w:asciiTheme="minorHAnsi" w:hAnsiTheme="minorHAnsi" w:hint="eastAsia"/>
          <w:sz w:val="28"/>
          <w:szCs w:val="28"/>
        </w:rPr>
        <w:t>s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stably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over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the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past</w:t>
      </w:r>
      <w:r>
        <w:rPr>
          <w:rFonts w:asciiTheme="minorHAnsi" w:hAnsiTheme="minorHAnsi"/>
          <w:sz w:val="28"/>
          <w:szCs w:val="28"/>
        </w:rPr>
        <w:t xml:space="preserve"> 80 </w:t>
      </w:r>
      <w:r>
        <w:rPr>
          <w:rFonts w:asciiTheme="minorHAnsi" w:hAnsiTheme="minorHAnsi" w:hint="eastAsia"/>
          <w:sz w:val="28"/>
          <w:szCs w:val="28"/>
        </w:rPr>
        <w:t>months</w:t>
      </w:r>
      <w:r w:rsidRPr="00C73B80">
        <w:rPr>
          <w:rFonts w:asciiTheme="minorHAnsi" w:hAnsiTheme="minorHAnsi"/>
          <w:sz w:val="28"/>
          <w:szCs w:val="28"/>
        </w:rPr>
        <w:t xml:space="preserve">, </w:t>
      </w:r>
      <w:r>
        <w:rPr>
          <w:rFonts w:asciiTheme="minorHAnsi" w:hAnsiTheme="minorHAnsi" w:hint="eastAsia"/>
          <w:sz w:val="28"/>
          <w:szCs w:val="28"/>
        </w:rPr>
        <w:t>with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a</w:t>
      </w:r>
      <w:r>
        <w:rPr>
          <w:rFonts w:asciiTheme="minorHAnsi" w:hAnsiTheme="minorHAnsi"/>
          <w:sz w:val="28"/>
          <w:szCs w:val="28"/>
        </w:rPr>
        <w:t xml:space="preserve"> slowly increasing </w:t>
      </w:r>
      <w:r>
        <w:rPr>
          <w:rFonts w:asciiTheme="minorHAnsi" w:hAnsiTheme="minorHAnsi" w:hint="eastAsia"/>
          <w:sz w:val="28"/>
          <w:szCs w:val="28"/>
        </w:rPr>
        <w:t>cumulative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default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rate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73B80">
        <w:rPr>
          <w:rFonts w:asciiTheme="minorHAnsi" w:hAnsiTheme="minorHAnsi"/>
          <w:sz w:val="28"/>
          <w:szCs w:val="28"/>
        </w:rPr>
        <w:t xml:space="preserve">residential </w:t>
      </w:r>
      <w:r>
        <w:rPr>
          <w:rFonts w:asciiTheme="minorHAnsi" w:hAnsiTheme="minorHAnsi" w:hint="eastAsia"/>
          <w:sz w:val="28"/>
          <w:szCs w:val="28"/>
        </w:rPr>
        <w:t>and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a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stably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increasing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cumulative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prepay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rate</w:t>
      </w:r>
      <w:r>
        <w:rPr>
          <w:rFonts w:asciiTheme="minorHAnsi" w:hAnsiTheme="minorHAnsi"/>
          <w:sz w:val="28"/>
          <w:szCs w:val="28"/>
        </w:rPr>
        <w:t>.</w:t>
      </w:r>
    </w:p>
    <w:p w14:paraId="13FC58C8" w14:textId="77777777" w:rsidR="00D76B5A" w:rsidRPr="00832CB4" w:rsidRDefault="00D76B5A" w:rsidP="0003158E">
      <w:pPr>
        <w:rPr>
          <w:b/>
          <w:bCs/>
          <w:sz w:val="40"/>
          <w:szCs w:val="40"/>
        </w:rPr>
      </w:pPr>
    </w:p>
    <w:p w14:paraId="45680CE5" w14:textId="6D9DFC79" w:rsidR="00C73B80" w:rsidRDefault="001A618A" w:rsidP="0003158E">
      <w:p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Average</w:t>
      </w:r>
      <w:r>
        <w:rPr>
          <w:b/>
          <w:bCs/>
          <w:sz w:val="28"/>
          <w:szCs w:val="28"/>
          <w:lang w:val="en-US"/>
        </w:rPr>
        <w:t xml:space="preserve"> </w:t>
      </w:r>
      <w:r w:rsidR="00C73B80" w:rsidRPr="00C73B80">
        <w:rPr>
          <w:b/>
          <w:bCs/>
          <w:sz w:val="28"/>
          <w:szCs w:val="28"/>
          <w:lang w:val="en-US"/>
        </w:rPr>
        <w:t>Mortgage Interest Rate</w:t>
      </w:r>
      <w:r w:rsidR="00C73B80">
        <w:rPr>
          <w:b/>
          <w:bCs/>
          <w:sz w:val="28"/>
          <w:szCs w:val="28"/>
          <w:lang w:val="en-US"/>
        </w:rPr>
        <w:t xml:space="preserve"> vs. </w:t>
      </w:r>
      <w:r w:rsidR="00C73B80" w:rsidRPr="00C73B80">
        <w:rPr>
          <w:b/>
          <w:bCs/>
          <w:sz w:val="28"/>
          <w:szCs w:val="28"/>
          <w:lang w:val="en-US"/>
        </w:rPr>
        <w:t>Bank Interest Rate</w:t>
      </w:r>
    </w:p>
    <w:p w14:paraId="510485A0" w14:textId="77777777" w:rsidR="001A618A" w:rsidRDefault="00C73B80" w:rsidP="0054038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BC3AF5" wp14:editId="669DE0B9">
            <wp:extent cx="5810250" cy="26955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8B181E-D229-4ACA-8FBB-01155619B7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 </w:t>
      </w:r>
    </w:p>
    <w:p w14:paraId="722B6C70" w14:textId="263CBF52" w:rsidR="00335CB7" w:rsidRDefault="00335CB7" w:rsidP="00335CB7">
      <w:pPr>
        <w:rPr>
          <w:sz w:val="20"/>
          <w:szCs w:val="20"/>
        </w:rPr>
      </w:pPr>
      <w:r w:rsidRPr="00FE4874">
        <w:rPr>
          <w:b/>
          <w:bCs/>
          <w:sz w:val="20"/>
          <w:szCs w:val="20"/>
        </w:rPr>
        <w:t xml:space="preserve">Note: </w:t>
      </w:r>
      <w:r w:rsidRPr="00FE4874">
        <w:rPr>
          <w:sz w:val="20"/>
          <w:szCs w:val="20"/>
        </w:rPr>
        <w:t xml:space="preserve">Fannie Mae loan level credit data includes loans originated from </w:t>
      </w:r>
      <w:r>
        <w:rPr>
          <w:sz w:val="20"/>
          <w:szCs w:val="20"/>
        </w:rPr>
        <w:t xml:space="preserve">Q4 </w:t>
      </w:r>
      <w:r w:rsidRPr="00FA1D90">
        <w:rPr>
          <w:sz w:val="20"/>
          <w:szCs w:val="20"/>
        </w:rPr>
        <w:t>201</w:t>
      </w:r>
      <w:r>
        <w:rPr>
          <w:sz w:val="20"/>
          <w:szCs w:val="20"/>
        </w:rPr>
        <w:t>2</w:t>
      </w:r>
      <w:r w:rsidRPr="00FE4874">
        <w:rPr>
          <w:sz w:val="20"/>
          <w:szCs w:val="20"/>
        </w:rPr>
        <w:t xml:space="preserve"> to Q</w:t>
      </w:r>
      <w:r>
        <w:rPr>
          <w:sz w:val="20"/>
          <w:szCs w:val="20"/>
        </w:rPr>
        <w:t>3</w:t>
      </w:r>
      <w:r w:rsidRPr="00FE4874">
        <w:rPr>
          <w:sz w:val="20"/>
          <w:szCs w:val="20"/>
        </w:rPr>
        <w:t xml:space="preserve"> 20</w:t>
      </w:r>
      <w:r>
        <w:rPr>
          <w:sz w:val="20"/>
          <w:szCs w:val="20"/>
        </w:rPr>
        <w:t>18</w:t>
      </w:r>
      <w:r w:rsidRPr="00FE487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2028057C" w14:textId="77777777" w:rsidR="001A618A" w:rsidRDefault="001A618A" w:rsidP="00540389">
      <w:pPr>
        <w:rPr>
          <w:rFonts w:asciiTheme="minorHAnsi" w:hAnsiTheme="minorHAnsi"/>
          <w:sz w:val="28"/>
          <w:szCs w:val="28"/>
        </w:rPr>
      </w:pPr>
    </w:p>
    <w:p w14:paraId="04A607CC" w14:textId="5649F710" w:rsidR="00856271" w:rsidRPr="001A618A" w:rsidRDefault="001A618A" w:rsidP="00856271">
      <w:pPr>
        <w:rPr>
          <w:b/>
          <w:bCs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t xml:space="preserve">The </w:t>
      </w:r>
      <w:r>
        <w:rPr>
          <w:rFonts w:asciiTheme="minorHAnsi" w:hAnsiTheme="minorHAnsi" w:hint="eastAsia"/>
          <w:sz w:val="28"/>
          <w:szCs w:val="28"/>
        </w:rPr>
        <w:t>average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mortgage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interest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rate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is</w:t>
      </w:r>
      <w:r>
        <w:rPr>
          <w:rFonts w:asciiTheme="minorHAnsi" w:hAnsiTheme="minorHAnsi"/>
          <w:sz w:val="28"/>
          <w:szCs w:val="28"/>
        </w:rPr>
        <w:t xml:space="preserve"> </w:t>
      </w:r>
      <w:r w:rsidR="00EB58D1">
        <w:rPr>
          <w:rFonts w:asciiTheme="minorHAnsi" w:hAnsiTheme="minorHAnsi"/>
          <w:sz w:val="28"/>
          <w:szCs w:val="28"/>
        </w:rPr>
        <w:t>s</w:t>
      </w:r>
      <w:r>
        <w:rPr>
          <w:rFonts w:asciiTheme="minorHAnsi" w:hAnsiTheme="minorHAnsi" w:hint="eastAsia"/>
          <w:sz w:val="28"/>
          <w:szCs w:val="28"/>
        </w:rPr>
        <w:t>table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around</w:t>
      </w:r>
      <w:r>
        <w:rPr>
          <w:rFonts w:asciiTheme="minorHAnsi" w:hAnsiTheme="minorHAnsi"/>
          <w:sz w:val="28"/>
          <w:szCs w:val="28"/>
        </w:rPr>
        <w:t xml:space="preserve"> 2 </w:t>
      </w:r>
      <w:r>
        <w:rPr>
          <w:rFonts w:asciiTheme="minorHAnsi" w:hAnsiTheme="minorHAnsi" w:hint="eastAsia"/>
          <w:sz w:val="28"/>
          <w:szCs w:val="28"/>
        </w:rPr>
        <w:t>to</w:t>
      </w:r>
      <w:r>
        <w:rPr>
          <w:rFonts w:asciiTheme="minorHAnsi" w:hAnsiTheme="minorHAnsi"/>
          <w:sz w:val="28"/>
          <w:szCs w:val="28"/>
        </w:rPr>
        <w:t xml:space="preserve"> 3 </w:t>
      </w:r>
      <w:r>
        <w:rPr>
          <w:rFonts w:asciiTheme="minorHAnsi" w:hAnsiTheme="minorHAnsi" w:hint="eastAsia"/>
          <w:sz w:val="28"/>
          <w:szCs w:val="28"/>
        </w:rPr>
        <w:t>percent</w:t>
      </w:r>
      <w:r>
        <w:rPr>
          <w:rFonts w:asciiTheme="minorHAnsi" w:hAnsiTheme="minorHAnsi"/>
          <w:sz w:val="28"/>
          <w:szCs w:val="28"/>
        </w:rPr>
        <w:t xml:space="preserve">, </w:t>
      </w:r>
      <w:r>
        <w:rPr>
          <w:rFonts w:asciiTheme="minorHAnsi" w:hAnsiTheme="minorHAnsi" w:hint="eastAsia"/>
          <w:sz w:val="28"/>
          <w:szCs w:val="28"/>
        </w:rPr>
        <w:t>and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the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bank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interest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rate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also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slightly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fluctuate</w:t>
      </w:r>
      <w:r w:rsidR="00EB58D1">
        <w:rPr>
          <w:rFonts w:asciiTheme="minorHAnsi" w:hAnsiTheme="minorHAnsi"/>
          <w:sz w:val="28"/>
          <w:szCs w:val="28"/>
        </w:rPr>
        <w:t>s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between</w:t>
      </w:r>
      <w:r>
        <w:rPr>
          <w:rFonts w:asciiTheme="minorHAnsi" w:hAnsiTheme="minorHAnsi"/>
          <w:sz w:val="28"/>
          <w:szCs w:val="28"/>
        </w:rPr>
        <w:t xml:space="preserve"> 3.4 </w:t>
      </w:r>
      <w:r>
        <w:rPr>
          <w:rFonts w:asciiTheme="minorHAnsi" w:hAnsiTheme="minorHAnsi" w:hint="eastAsia"/>
          <w:sz w:val="28"/>
          <w:szCs w:val="28"/>
        </w:rPr>
        <w:t>to</w:t>
      </w:r>
      <w:r>
        <w:rPr>
          <w:rFonts w:asciiTheme="minorHAnsi" w:hAnsiTheme="minorHAnsi"/>
          <w:sz w:val="28"/>
          <w:szCs w:val="28"/>
        </w:rPr>
        <w:t xml:space="preserve"> 3.44</w:t>
      </w:r>
      <w:r>
        <w:rPr>
          <w:rFonts w:asciiTheme="minorHAnsi" w:hAnsiTheme="minorHAnsi" w:hint="eastAsia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similar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to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the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value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of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mortgage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interest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rate</w:t>
      </w:r>
      <w:r w:rsidR="00540389" w:rsidRPr="00C73B80">
        <w:rPr>
          <w:rFonts w:asciiTheme="minorHAnsi" w:hAnsiTheme="minorHAnsi"/>
          <w:sz w:val="28"/>
          <w:szCs w:val="28"/>
        </w:rPr>
        <w:t>.</w:t>
      </w:r>
      <w:r w:rsidR="00856271">
        <w:rPr>
          <w:b/>
          <w:bCs/>
          <w:sz w:val="28"/>
          <w:szCs w:val="28"/>
          <w:lang w:val="en-US"/>
        </w:rPr>
        <w:t xml:space="preserve"> </w:t>
      </w:r>
    </w:p>
    <w:p w14:paraId="6C1BED5D" w14:textId="77777777" w:rsidR="001A618A" w:rsidRPr="00856271" w:rsidRDefault="001A618A" w:rsidP="0003158E">
      <w:pPr>
        <w:rPr>
          <w:b/>
          <w:bCs/>
          <w:sz w:val="28"/>
          <w:szCs w:val="28"/>
          <w:lang w:val="en-US"/>
        </w:rPr>
      </w:pPr>
    </w:p>
    <w:p w14:paraId="46721FE2" w14:textId="3CFDB52A" w:rsidR="00496171" w:rsidRDefault="00496171" w:rsidP="0003158E">
      <w:p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Conditional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Prepay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Rate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vs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rFonts w:hint="eastAsia"/>
          <w:b/>
          <w:bCs/>
          <w:sz w:val="28"/>
          <w:szCs w:val="28"/>
          <w:lang w:val="en-US"/>
        </w:rPr>
        <w:t>Interest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Rate</w:t>
      </w:r>
    </w:p>
    <w:p w14:paraId="654E69B9" w14:textId="77777777" w:rsidR="00C2427E" w:rsidRDefault="00882D4B" w:rsidP="0003158E">
      <w:pPr>
        <w:rPr>
          <w:noProof/>
        </w:rPr>
      </w:pPr>
      <w:r>
        <w:rPr>
          <w:noProof/>
        </w:rPr>
        <w:drawing>
          <wp:inline distT="0" distB="0" distL="0" distR="0" wp14:anchorId="5A0BF35D" wp14:editId="09FB50E3">
            <wp:extent cx="5972175" cy="25812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D99636-37C5-47D8-90E7-C6CFD0C6C8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2427E" w:rsidRPr="00C2427E">
        <w:rPr>
          <w:noProof/>
        </w:rPr>
        <w:t xml:space="preserve"> </w:t>
      </w:r>
    </w:p>
    <w:p w14:paraId="67C2F2E2" w14:textId="763448AD" w:rsidR="00513364" w:rsidRDefault="00513364" w:rsidP="00513364">
      <w:pPr>
        <w:rPr>
          <w:sz w:val="20"/>
          <w:szCs w:val="20"/>
        </w:rPr>
      </w:pPr>
      <w:r w:rsidRPr="00FE4874">
        <w:rPr>
          <w:b/>
          <w:bCs/>
          <w:sz w:val="20"/>
          <w:szCs w:val="20"/>
        </w:rPr>
        <w:t xml:space="preserve">Note: </w:t>
      </w:r>
      <w:r w:rsidRPr="00FE4874">
        <w:rPr>
          <w:sz w:val="20"/>
          <w:szCs w:val="20"/>
        </w:rPr>
        <w:t xml:space="preserve">Fannie Mae loan level credit data includes loans originated from </w:t>
      </w:r>
      <w:r>
        <w:rPr>
          <w:sz w:val="20"/>
          <w:szCs w:val="20"/>
        </w:rPr>
        <w:t xml:space="preserve">Q4 </w:t>
      </w:r>
      <w:r w:rsidRPr="00FA1D90">
        <w:rPr>
          <w:sz w:val="20"/>
          <w:szCs w:val="20"/>
        </w:rPr>
        <w:t>201</w:t>
      </w:r>
      <w:r>
        <w:rPr>
          <w:sz w:val="20"/>
          <w:szCs w:val="20"/>
        </w:rPr>
        <w:t>2</w:t>
      </w:r>
      <w:r w:rsidRPr="00FE4874">
        <w:rPr>
          <w:sz w:val="20"/>
          <w:szCs w:val="20"/>
        </w:rPr>
        <w:t xml:space="preserve"> to Q</w:t>
      </w:r>
      <w:r>
        <w:rPr>
          <w:sz w:val="20"/>
          <w:szCs w:val="20"/>
        </w:rPr>
        <w:t>3</w:t>
      </w:r>
      <w:r w:rsidRPr="00FE4874">
        <w:rPr>
          <w:sz w:val="20"/>
          <w:szCs w:val="20"/>
        </w:rPr>
        <w:t xml:space="preserve"> 20</w:t>
      </w:r>
      <w:r>
        <w:rPr>
          <w:sz w:val="20"/>
          <w:szCs w:val="20"/>
        </w:rPr>
        <w:t>18</w:t>
      </w:r>
      <w:r w:rsidRPr="00FE4874">
        <w:rPr>
          <w:sz w:val="20"/>
          <w:szCs w:val="20"/>
        </w:rPr>
        <w:t xml:space="preserve">. The percentages are weighted by </w:t>
      </w:r>
      <w:r w:rsidR="00335CB7">
        <w:rPr>
          <w:rFonts w:hint="eastAsia"/>
          <w:sz w:val="20"/>
          <w:szCs w:val="20"/>
        </w:rPr>
        <w:t>loan</w:t>
      </w:r>
      <w:r w:rsidR="00335CB7">
        <w:rPr>
          <w:sz w:val="20"/>
          <w:szCs w:val="20"/>
        </w:rPr>
        <w:t xml:space="preserve"> </w:t>
      </w:r>
      <w:r w:rsidR="00335CB7" w:rsidRPr="00FE4874">
        <w:rPr>
          <w:sz w:val="20"/>
          <w:szCs w:val="20"/>
        </w:rPr>
        <w:t>balance</w:t>
      </w:r>
      <w:r w:rsidR="00335CB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nd the data are for each quarter.</w:t>
      </w:r>
    </w:p>
    <w:p w14:paraId="4401128A" w14:textId="742BE6FE" w:rsidR="00C2427E" w:rsidRDefault="00C2427E" w:rsidP="0003158E">
      <w:pPr>
        <w:rPr>
          <w:noProof/>
        </w:rPr>
      </w:pPr>
    </w:p>
    <w:p w14:paraId="0E0CA950" w14:textId="1FCCD94D" w:rsidR="00C2427E" w:rsidRPr="00C2427E" w:rsidRDefault="00C2427E" w:rsidP="0003158E">
      <w:pPr>
        <w:rPr>
          <w:b/>
          <w:bCs/>
          <w:sz w:val="28"/>
          <w:szCs w:val="28"/>
          <w:lang w:val="en-US"/>
        </w:rPr>
      </w:pPr>
      <w:bookmarkStart w:id="0" w:name="_Hlk67062068"/>
      <w:r>
        <w:rPr>
          <w:rFonts w:hint="eastAsia"/>
          <w:b/>
          <w:bCs/>
          <w:sz w:val="28"/>
          <w:szCs w:val="28"/>
          <w:lang w:val="en-US"/>
        </w:rPr>
        <w:t>Relative Change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of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Conditional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Prepay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Rate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vs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rFonts w:hint="eastAsia"/>
          <w:b/>
          <w:bCs/>
          <w:sz w:val="28"/>
          <w:szCs w:val="28"/>
          <w:lang w:val="en-US"/>
        </w:rPr>
        <w:t>Interest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Rate</w:t>
      </w:r>
    </w:p>
    <w:bookmarkEnd w:id="0"/>
    <w:p w14:paraId="4EAF7A07" w14:textId="14ACE275" w:rsidR="00496171" w:rsidRDefault="00C2427E" w:rsidP="0003158E">
      <w:pPr>
        <w:rPr>
          <w:b/>
          <w:b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07345788" wp14:editId="5A93643A">
            <wp:extent cx="5943600" cy="231457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BE29526-7A6F-4562-9D6D-287B481A37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D7CC3B" w14:textId="2BA58B25" w:rsidR="00513364" w:rsidRDefault="00513364" w:rsidP="00513364">
      <w:pPr>
        <w:rPr>
          <w:sz w:val="20"/>
          <w:szCs w:val="20"/>
        </w:rPr>
      </w:pPr>
      <w:r w:rsidRPr="00FE4874">
        <w:rPr>
          <w:b/>
          <w:bCs/>
          <w:sz w:val="20"/>
          <w:szCs w:val="20"/>
        </w:rPr>
        <w:t xml:space="preserve">Note: </w:t>
      </w:r>
      <w:r w:rsidRPr="00FE4874">
        <w:rPr>
          <w:sz w:val="20"/>
          <w:szCs w:val="20"/>
        </w:rPr>
        <w:t xml:space="preserve">Fannie Mae loan level credit data includes loans originated from </w:t>
      </w:r>
      <w:r>
        <w:rPr>
          <w:sz w:val="20"/>
          <w:szCs w:val="20"/>
        </w:rPr>
        <w:t xml:space="preserve">Q1 </w:t>
      </w:r>
      <w:r w:rsidRPr="00FA1D90">
        <w:rPr>
          <w:sz w:val="20"/>
          <w:szCs w:val="20"/>
        </w:rPr>
        <w:t>201</w:t>
      </w:r>
      <w:r>
        <w:rPr>
          <w:sz w:val="20"/>
          <w:szCs w:val="20"/>
        </w:rPr>
        <w:t>3</w:t>
      </w:r>
      <w:r w:rsidRPr="00FE4874">
        <w:rPr>
          <w:sz w:val="20"/>
          <w:szCs w:val="20"/>
        </w:rPr>
        <w:t xml:space="preserve"> to Q</w:t>
      </w:r>
      <w:r>
        <w:rPr>
          <w:sz w:val="20"/>
          <w:szCs w:val="20"/>
        </w:rPr>
        <w:t>3</w:t>
      </w:r>
      <w:r w:rsidRPr="00FE4874">
        <w:rPr>
          <w:sz w:val="20"/>
          <w:szCs w:val="20"/>
        </w:rPr>
        <w:t xml:space="preserve"> 20</w:t>
      </w:r>
      <w:r>
        <w:rPr>
          <w:sz w:val="20"/>
          <w:szCs w:val="20"/>
        </w:rPr>
        <w:t>18</w:t>
      </w:r>
      <w:r w:rsidRPr="00FE4874">
        <w:rPr>
          <w:sz w:val="20"/>
          <w:szCs w:val="20"/>
        </w:rPr>
        <w:t>. The percentages are weighted by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loan</w:t>
      </w:r>
      <w:r>
        <w:rPr>
          <w:sz w:val="20"/>
          <w:szCs w:val="20"/>
        </w:rPr>
        <w:t xml:space="preserve"> </w:t>
      </w:r>
      <w:r w:rsidRPr="00FE4874">
        <w:rPr>
          <w:sz w:val="20"/>
          <w:szCs w:val="20"/>
        </w:rPr>
        <w:t>balance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nd the data are for each quarter.</w:t>
      </w:r>
    </w:p>
    <w:p w14:paraId="47785814" w14:textId="0189E04A" w:rsidR="00513364" w:rsidRDefault="00513364" w:rsidP="0003158E">
      <w:pPr>
        <w:rPr>
          <w:b/>
          <w:bCs/>
          <w:color w:val="1F497D" w:themeColor="text2"/>
          <w:sz w:val="24"/>
          <w:szCs w:val="24"/>
        </w:rPr>
      </w:pPr>
    </w:p>
    <w:p w14:paraId="1FFDD982" w14:textId="035574E6" w:rsidR="003B15BD" w:rsidRPr="0027585E" w:rsidRDefault="00856271" w:rsidP="0003158E">
      <w:pPr>
        <w:rPr>
          <w:rFonts w:asciiTheme="minorHAnsi" w:hAnsiTheme="minorHAnsi"/>
          <w:sz w:val="28"/>
          <w:szCs w:val="28"/>
        </w:rPr>
      </w:pPr>
      <w:r w:rsidRPr="00856271">
        <w:rPr>
          <w:rFonts w:asciiTheme="minorHAnsi" w:hAnsiTheme="minorHAnsi"/>
          <w:sz w:val="28"/>
          <w:szCs w:val="28"/>
        </w:rPr>
        <w:t xml:space="preserve">The interest rate has a negative effect on the </w:t>
      </w:r>
      <w:r w:rsidR="00B55CD5">
        <w:rPr>
          <w:rFonts w:asciiTheme="minorHAnsi" w:hAnsiTheme="minorHAnsi" w:hint="eastAsia"/>
          <w:sz w:val="28"/>
          <w:szCs w:val="28"/>
        </w:rPr>
        <w:t>c</w:t>
      </w:r>
      <w:r w:rsidR="00B55CD5" w:rsidRPr="00B55CD5">
        <w:rPr>
          <w:rFonts w:asciiTheme="minorHAnsi" w:hAnsiTheme="minorHAnsi"/>
          <w:sz w:val="28"/>
          <w:szCs w:val="28"/>
        </w:rPr>
        <w:t xml:space="preserve">onditional </w:t>
      </w:r>
      <w:r w:rsidR="00B55CD5">
        <w:rPr>
          <w:rFonts w:asciiTheme="minorHAnsi" w:hAnsiTheme="minorHAnsi"/>
          <w:sz w:val="28"/>
          <w:szCs w:val="28"/>
        </w:rPr>
        <w:t>p</w:t>
      </w:r>
      <w:r w:rsidR="00B55CD5" w:rsidRPr="00B55CD5">
        <w:rPr>
          <w:rFonts w:asciiTheme="minorHAnsi" w:hAnsiTheme="minorHAnsi"/>
          <w:sz w:val="28"/>
          <w:szCs w:val="28"/>
        </w:rPr>
        <w:t xml:space="preserve">repay </w:t>
      </w:r>
      <w:r w:rsidR="00B55CD5">
        <w:rPr>
          <w:rFonts w:asciiTheme="minorHAnsi" w:hAnsiTheme="minorHAnsi"/>
          <w:sz w:val="28"/>
          <w:szCs w:val="28"/>
        </w:rPr>
        <w:t>r</w:t>
      </w:r>
      <w:r w:rsidR="00B55CD5" w:rsidRPr="00B55CD5">
        <w:rPr>
          <w:rFonts w:asciiTheme="minorHAnsi" w:hAnsiTheme="minorHAnsi"/>
          <w:sz w:val="28"/>
          <w:szCs w:val="28"/>
        </w:rPr>
        <w:t>ate</w:t>
      </w:r>
      <w:r w:rsidRPr="00856271">
        <w:rPr>
          <w:rFonts w:asciiTheme="minorHAnsi" w:hAnsiTheme="minorHAnsi"/>
          <w:sz w:val="28"/>
          <w:szCs w:val="28"/>
        </w:rPr>
        <w:t xml:space="preserve">, </w:t>
      </w:r>
      <w:r>
        <w:rPr>
          <w:rFonts w:asciiTheme="minorHAnsi" w:hAnsiTheme="minorHAnsi"/>
          <w:sz w:val="28"/>
          <w:szCs w:val="28"/>
        </w:rPr>
        <w:t>and</w:t>
      </w:r>
      <w:r w:rsidRPr="00856271">
        <w:rPr>
          <w:rFonts w:asciiTheme="minorHAnsi" w:hAnsiTheme="minorHAnsi"/>
          <w:sz w:val="28"/>
          <w:szCs w:val="28"/>
        </w:rPr>
        <w:t xml:space="preserve"> the</w:t>
      </w:r>
      <w:r>
        <w:rPr>
          <w:rFonts w:asciiTheme="minorHAnsi" w:hAnsiTheme="minorHAnsi"/>
          <w:sz w:val="28"/>
          <w:szCs w:val="28"/>
        </w:rPr>
        <w:t xml:space="preserve"> decrease of </w:t>
      </w:r>
      <w:r w:rsidRPr="00856271">
        <w:rPr>
          <w:rFonts w:asciiTheme="minorHAnsi" w:hAnsiTheme="minorHAnsi"/>
          <w:sz w:val="28"/>
          <w:szCs w:val="28"/>
        </w:rPr>
        <w:t xml:space="preserve">interest rate </w:t>
      </w:r>
      <w:r>
        <w:rPr>
          <w:rFonts w:asciiTheme="minorHAnsi" w:hAnsiTheme="minorHAnsi"/>
          <w:sz w:val="28"/>
          <w:szCs w:val="28"/>
        </w:rPr>
        <w:t>leads to</w:t>
      </w:r>
      <w:r w:rsidRPr="00856271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the increase of </w:t>
      </w:r>
      <w:r w:rsidR="00B55CD5">
        <w:rPr>
          <w:rFonts w:asciiTheme="minorHAnsi" w:hAnsiTheme="minorHAnsi" w:hint="eastAsia"/>
          <w:sz w:val="28"/>
          <w:szCs w:val="28"/>
        </w:rPr>
        <w:t>c</w:t>
      </w:r>
      <w:r w:rsidR="00B55CD5" w:rsidRPr="00B55CD5">
        <w:rPr>
          <w:rFonts w:asciiTheme="minorHAnsi" w:hAnsiTheme="minorHAnsi"/>
          <w:sz w:val="28"/>
          <w:szCs w:val="28"/>
        </w:rPr>
        <w:t xml:space="preserve">onditional </w:t>
      </w:r>
      <w:r w:rsidR="00B55CD5">
        <w:rPr>
          <w:rFonts w:asciiTheme="minorHAnsi" w:hAnsiTheme="minorHAnsi"/>
          <w:sz w:val="28"/>
          <w:szCs w:val="28"/>
        </w:rPr>
        <w:t>p</w:t>
      </w:r>
      <w:r w:rsidR="00B55CD5" w:rsidRPr="00B55CD5">
        <w:rPr>
          <w:rFonts w:asciiTheme="minorHAnsi" w:hAnsiTheme="minorHAnsi"/>
          <w:sz w:val="28"/>
          <w:szCs w:val="28"/>
        </w:rPr>
        <w:t xml:space="preserve">repay </w:t>
      </w:r>
      <w:r w:rsidR="00B55CD5">
        <w:rPr>
          <w:rFonts w:asciiTheme="minorHAnsi" w:hAnsiTheme="minorHAnsi"/>
          <w:sz w:val="28"/>
          <w:szCs w:val="28"/>
        </w:rPr>
        <w:t>r</w:t>
      </w:r>
      <w:r w:rsidR="00B55CD5" w:rsidRPr="00B55CD5">
        <w:rPr>
          <w:rFonts w:asciiTheme="minorHAnsi" w:hAnsiTheme="minorHAnsi"/>
          <w:sz w:val="28"/>
          <w:szCs w:val="28"/>
        </w:rPr>
        <w:t>ate</w:t>
      </w:r>
      <w:r>
        <w:rPr>
          <w:rFonts w:asciiTheme="minorHAnsi" w:hAnsiTheme="minorHAnsi"/>
          <w:sz w:val="28"/>
          <w:szCs w:val="28"/>
        </w:rPr>
        <w:t xml:space="preserve">. </w:t>
      </w:r>
      <w:r w:rsidRPr="00856271">
        <w:rPr>
          <w:rFonts w:asciiTheme="minorHAnsi" w:hAnsiTheme="minorHAnsi"/>
          <w:sz w:val="28"/>
          <w:szCs w:val="28"/>
        </w:rPr>
        <w:t xml:space="preserve">The </w:t>
      </w:r>
      <w:r w:rsidRPr="00856271">
        <w:rPr>
          <w:rFonts w:asciiTheme="minorHAnsi" w:hAnsiTheme="minorHAnsi"/>
          <w:sz w:val="28"/>
          <w:szCs w:val="28"/>
        </w:rPr>
        <w:lastRenderedPageBreak/>
        <w:t>relative change plot and the correlation between two relative changes show</w:t>
      </w:r>
      <w:r>
        <w:rPr>
          <w:rFonts w:asciiTheme="minorHAnsi" w:hAnsiTheme="minorHAnsi"/>
          <w:sz w:val="28"/>
          <w:szCs w:val="28"/>
        </w:rPr>
        <w:t>s</w:t>
      </w:r>
      <w:r w:rsidRPr="00856271">
        <w:rPr>
          <w:rFonts w:asciiTheme="minorHAnsi" w:hAnsiTheme="minorHAnsi"/>
          <w:sz w:val="28"/>
          <w:szCs w:val="28"/>
        </w:rPr>
        <w:t xml:space="preserve"> that the </w:t>
      </w:r>
      <w:r w:rsidR="00B55CD5">
        <w:rPr>
          <w:rFonts w:asciiTheme="minorHAnsi" w:hAnsiTheme="minorHAnsi" w:hint="eastAsia"/>
          <w:sz w:val="28"/>
          <w:szCs w:val="28"/>
        </w:rPr>
        <w:t>c</w:t>
      </w:r>
      <w:r w:rsidR="00B55CD5" w:rsidRPr="00B55CD5">
        <w:rPr>
          <w:rFonts w:asciiTheme="minorHAnsi" w:hAnsiTheme="minorHAnsi"/>
          <w:sz w:val="28"/>
          <w:szCs w:val="28"/>
        </w:rPr>
        <w:t xml:space="preserve">onditional </w:t>
      </w:r>
      <w:r w:rsidR="00B55CD5">
        <w:rPr>
          <w:rFonts w:asciiTheme="minorHAnsi" w:hAnsiTheme="minorHAnsi"/>
          <w:sz w:val="28"/>
          <w:szCs w:val="28"/>
        </w:rPr>
        <w:t>p</w:t>
      </w:r>
      <w:r w:rsidR="00B55CD5" w:rsidRPr="00B55CD5">
        <w:rPr>
          <w:rFonts w:asciiTheme="minorHAnsi" w:hAnsiTheme="minorHAnsi"/>
          <w:sz w:val="28"/>
          <w:szCs w:val="28"/>
        </w:rPr>
        <w:t xml:space="preserve">repay </w:t>
      </w:r>
      <w:r w:rsidR="00B55CD5">
        <w:rPr>
          <w:rFonts w:asciiTheme="minorHAnsi" w:hAnsiTheme="minorHAnsi"/>
          <w:sz w:val="28"/>
          <w:szCs w:val="28"/>
        </w:rPr>
        <w:t>r</w:t>
      </w:r>
      <w:r w:rsidR="00B55CD5" w:rsidRPr="00B55CD5">
        <w:rPr>
          <w:rFonts w:asciiTheme="minorHAnsi" w:hAnsiTheme="minorHAnsi"/>
          <w:sz w:val="28"/>
          <w:szCs w:val="28"/>
        </w:rPr>
        <w:t>ate</w:t>
      </w:r>
      <w:r w:rsidRPr="00856271">
        <w:rPr>
          <w:rFonts w:asciiTheme="minorHAnsi" w:hAnsiTheme="minorHAnsi"/>
          <w:sz w:val="28"/>
          <w:szCs w:val="28"/>
        </w:rPr>
        <w:t xml:space="preserve"> change lag behind the interest rate change, approximate 6-month lag between them.</w:t>
      </w:r>
    </w:p>
    <w:p w14:paraId="2D1C6BF3" w14:textId="77777777" w:rsidR="003B15BD" w:rsidRDefault="003B15BD" w:rsidP="0003158E">
      <w:pPr>
        <w:rPr>
          <w:noProof/>
        </w:rPr>
      </w:pPr>
    </w:p>
    <w:p w14:paraId="5C76075E" w14:textId="42A263B9" w:rsidR="003B15BD" w:rsidRDefault="003B15BD" w:rsidP="0003158E">
      <w:pPr>
        <w:rPr>
          <w:noProof/>
        </w:rPr>
      </w:pPr>
      <w:r>
        <w:rPr>
          <w:rFonts w:hint="eastAsia"/>
          <w:b/>
          <w:bCs/>
          <w:sz w:val="28"/>
          <w:szCs w:val="28"/>
          <w:lang w:val="en-US"/>
        </w:rPr>
        <w:t>Conditional</w:t>
      </w:r>
      <w:r>
        <w:rPr>
          <w:b/>
          <w:bCs/>
          <w:sz w:val="28"/>
          <w:szCs w:val="28"/>
          <w:lang w:val="en-US"/>
        </w:rPr>
        <w:t xml:space="preserve"> Default </w:t>
      </w:r>
      <w:r>
        <w:rPr>
          <w:rFonts w:hint="eastAsia"/>
          <w:b/>
          <w:bCs/>
          <w:sz w:val="28"/>
          <w:szCs w:val="28"/>
          <w:lang w:val="en-US"/>
        </w:rPr>
        <w:t>Rate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vs</w:t>
      </w:r>
      <w:r>
        <w:rPr>
          <w:b/>
          <w:bCs/>
          <w:sz w:val="28"/>
          <w:szCs w:val="28"/>
          <w:lang w:val="en-US"/>
        </w:rPr>
        <w:t xml:space="preserve">. </w:t>
      </w:r>
      <w:r w:rsidR="00A56854" w:rsidRPr="00A56854">
        <w:rPr>
          <w:b/>
          <w:bCs/>
          <w:sz w:val="28"/>
          <w:szCs w:val="28"/>
          <w:lang w:val="en-US"/>
        </w:rPr>
        <w:t xml:space="preserve">House Price Index </w:t>
      </w:r>
      <w:r w:rsidR="00A56854">
        <w:rPr>
          <w:b/>
          <w:bCs/>
          <w:sz w:val="28"/>
          <w:szCs w:val="28"/>
          <w:lang w:val="en-US"/>
        </w:rPr>
        <w:t xml:space="preserve"> </w:t>
      </w:r>
      <w:r w:rsidR="002D3BA0">
        <w:rPr>
          <w:noProof/>
        </w:rPr>
        <w:drawing>
          <wp:inline distT="0" distB="0" distL="0" distR="0" wp14:anchorId="0E0EFD87" wp14:editId="537C9D97">
            <wp:extent cx="5943600" cy="2326005"/>
            <wp:effectExtent l="0" t="0" r="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B82F0BE-E776-4F3C-B6EC-4D99A540A3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15BD1" w:rsidRPr="00D15BD1">
        <w:rPr>
          <w:noProof/>
        </w:rPr>
        <w:t xml:space="preserve"> </w:t>
      </w:r>
    </w:p>
    <w:p w14:paraId="3E3D4398" w14:textId="4E2DAC0C" w:rsidR="00513364" w:rsidRDefault="00513364" w:rsidP="00513364">
      <w:pPr>
        <w:rPr>
          <w:sz w:val="20"/>
          <w:szCs w:val="20"/>
        </w:rPr>
      </w:pPr>
      <w:r w:rsidRPr="00FE4874">
        <w:rPr>
          <w:b/>
          <w:bCs/>
          <w:sz w:val="20"/>
          <w:szCs w:val="20"/>
        </w:rPr>
        <w:t xml:space="preserve">Note: </w:t>
      </w:r>
      <w:r w:rsidRPr="00FE4874">
        <w:rPr>
          <w:sz w:val="20"/>
          <w:szCs w:val="20"/>
        </w:rPr>
        <w:t xml:space="preserve">Fannie Mae loan level credit data includes loans originated from </w:t>
      </w:r>
      <w:r>
        <w:rPr>
          <w:sz w:val="20"/>
          <w:szCs w:val="20"/>
        </w:rPr>
        <w:t xml:space="preserve">Q1 </w:t>
      </w:r>
      <w:r w:rsidRPr="00FA1D90">
        <w:rPr>
          <w:sz w:val="20"/>
          <w:szCs w:val="20"/>
        </w:rPr>
        <w:t>201</w:t>
      </w:r>
      <w:r>
        <w:rPr>
          <w:sz w:val="20"/>
          <w:szCs w:val="20"/>
        </w:rPr>
        <w:t>3</w:t>
      </w:r>
      <w:r w:rsidRPr="00FE4874">
        <w:rPr>
          <w:sz w:val="20"/>
          <w:szCs w:val="20"/>
        </w:rPr>
        <w:t xml:space="preserve"> to Q</w:t>
      </w:r>
      <w:r>
        <w:rPr>
          <w:sz w:val="20"/>
          <w:szCs w:val="20"/>
        </w:rPr>
        <w:t>3</w:t>
      </w:r>
      <w:r w:rsidRPr="00FE4874">
        <w:rPr>
          <w:sz w:val="20"/>
          <w:szCs w:val="20"/>
        </w:rPr>
        <w:t xml:space="preserve"> 20</w:t>
      </w:r>
      <w:r>
        <w:rPr>
          <w:sz w:val="20"/>
          <w:szCs w:val="20"/>
        </w:rPr>
        <w:t>18</w:t>
      </w:r>
      <w:r w:rsidRPr="00FE4874">
        <w:rPr>
          <w:sz w:val="20"/>
          <w:szCs w:val="20"/>
        </w:rPr>
        <w:t xml:space="preserve">. The percentages are weighted by </w:t>
      </w:r>
      <w:r>
        <w:rPr>
          <w:rFonts w:hint="eastAsia"/>
          <w:sz w:val="20"/>
          <w:szCs w:val="20"/>
        </w:rPr>
        <w:t>loan</w:t>
      </w:r>
      <w:r>
        <w:rPr>
          <w:sz w:val="20"/>
          <w:szCs w:val="20"/>
        </w:rPr>
        <w:t xml:space="preserve"> </w:t>
      </w:r>
      <w:r w:rsidRPr="00FE4874">
        <w:rPr>
          <w:sz w:val="20"/>
          <w:szCs w:val="20"/>
        </w:rPr>
        <w:t>balance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nd the data are for each quarter.</w:t>
      </w:r>
    </w:p>
    <w:p w14:paraId="5806B725" w14:textId="77777777" w:rsidR="00513364" w:rsidRDefault="00513364" w:rsidP="0003158E">
      <w:pPr>
        <w:rPr>
          <w:noProof/>
        </w:rPr>
      </w:pPr>
    </w:p>
    <w:p w14:paraId="1DFE357E" w14:textId="49F1DA01" w:rsidR="003B15BD" w:rsidRPr="003B15BD" w:rsidRDefault="003B15BD" w:rsidP="0003158E">
      <w:p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Relative Change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of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Conditional</w:t>
      </w:r>
      <w:r>
        <w:rPr>
          <w:b/>
          <w:bCs/>
          <w:sz w:val="28"/>
          <w:szCs w:val="28"/>
          <w:lang w:val="en-US"/>
        </w:rPr>
        <w:t xml:space="preserve"> Default </w:t>
      </w:r>
      <w:r>
        <w:rPr>
          <w:rFonts w:hint="eastAsia"/>
          <w:b/>
          <w:bCs/>
          <w:sz w:val="28"/>
          <w:szCs w:val="28"/>
          <w:lang w:val="en-US"/>
        </w:rPr>
        <w:t>Rate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vs</w:t>
      </w:r>
      <w:r>
        <w:rPr>
          <w:b/>
          <w:bCs/>
          <w:sz w:val="28"/>
          <w:szCs w:val="28"/>
          <w:lang w:val="en-US"/>
        </w:rPr>
        <w:t xml:space="preserve">. </w:t>
      </w:r>
      <w:r w:rsidR="00A56854" w:rsidRPr="00A56854">
        <w:rPr>
          <w:b/>
          <w:bCs/>
          <w:sz w:val="28"/>
          <w:szCs w:val="28"/>
          <w:lang w:val="en-US"/>
        </w:rPr>
        <w:t xml:space="preserve">House Price Index </w:t>
      </w:r>
      <w:r w:rsidR="00A56854">
        <w:rPr>
          <w:b/>
          <w:bCs/>
          <w:sz w:val="28"/>
          <w:szCs w:val="28"/>
          <w:lang w:val="en-US"/>
        </w:rPr>
        <w:t xml:space="preserve"> </w:t>
      </w:r>
    </w:p>
    <w:p w14:paraId="05188B01" w14:textId="17CDAC6C" w:rsidR="00D15BD1" w:rsidRPr="00EB58D1" w:rsidRDefault="002D3BA0" w:rsidP="0003158E">
      <w:pPr>
        <w:rPr>
          <w:b/>
          <w:bCs/>
          <w:color w:val="1F497D" w:themeColor="text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5C65E7" wp14:editId="497498FC">
            <wp:extent cx="5943600" cy="2091055"/>
            <wp:effectExtent l="0" t="0" r="0" b="444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2532DFF-EF44-4194-A107-E16EFEBCD1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305365" w14:textId="7AF472C0" w:rsidR="00513364" w:rsidRDefault="00513364" w:rsidP="00513364">
      <w:pPr>
        <w:rPr>
          <w:sz w:val="20"/>
          <w:szCs w:val="20"/>
        </w:rPr>
      </w:pPr>
      <w:r w:rsidRPr="00FE4874">
        <w:rPr>
          <w:b/>
          <w:bCs/>
          <w:sz w:val="20"/>
          <w:szCs w:val="20"/>
        </w:rPr>
        <w:t xml:space="preserve">Note: </w:t>
      </w:r>
      <w:r w:rsidRPr="00FE4874">
        <w:rPr>
          <w:sz w:val="20"/>
          <w:szCs w:val="20"/>
        </w:rPr>
        <w:t xml:space="preserve">Fannie Mae loan level credit data includes loans originated from </w:t>
      </w:r>
      <w:r>
        <w:rPr>
          <w:sz w:val="20"/>
          <w:szCs w:val="20"/>
        </w:rPr>
        <w:t xml:space="preserve">Q1 </w:t>
      </w:r>
      <w:r w:rsidRPr="00FA1D90">
        <w:rPr>
          <w:sz w:val="20"/>
          <w:szCs w:val="20"/>
        </w:rPr>
        <w:t>201</w:t>
      </w:r>
      <w:r>
        <w:rPr>
          <w:sz w:val="20"/>
          <w:szCs w:val="20"/>
        </w:rPr>
        <w:t>3</w:t>
      </w:r>
      <w:r w:rsidRPr="00FE4874">
        <w:rPr>
          <w:sz w:val="20"/>
          <w:szCs w:val="20"/>
        </w:rPr>
        <w:t xml:space="preserve"> to Q</w:t>
      </w:r>
      <w:r>
        <w:rPr>
          <w:sz w:val="20"/>
          <w:szCs w:val="20"/>
        </w:rPr>
        <w:t>3</w:t>
      </w:r>
      <w:r w:rsidRPr="00FE4874">
        <w:rPr>
          <w:sz w:val="20"/>
          <w:szCs w:val="20"/>
        </w:rPr>
        <w:t xml:space="preserve"> 20</w:t>
      </w:r>
      <w:r>
        <w:rPr>
          <w:sz w:val="20"/>
          <w:szCs w:val="20"/>
        </w:rPr>
        <w:t>18</w:t>
      </w:r>
      <w:r w:rsidRPr="00FE4874">
        <w:rPr>
          <w:sz w:val="20"/>
          <w:szCs w:val="20"/>
        </w:rPr>
        <w:t>. The percentages are weighted by origination</w:t>
      </w:r>
      <w:r>
        <w:rPr>
          <w:sz w:val="20"/>
          <w:szCs w:val="20"/>
        </w:rPr>
        <w:t xml:space="preserve"> </w:t>
      </w:r>
      <w:r w:rsidRPr="00FE4874">
        <w:rPr>
          <w:sz w:val="20"/>
          <w:szCs w:val="20"/>
        </w:rPr>
        <w:t>balance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nd the data are for each quarter.</w:t>
      </w:r>
    </w:p>
    <w:p w14:paraId="5FF153B8" w14:textId="77777777" w:rsidR="00513364" w:rsidRDefault="00513364" w:rsidP="00513364">
      <w:pPr>
        <w:rPr>
          <w:sz w:val="20"/>
          <w:szCs w:val="20"/>
        </w:rPr>
      </w:pPr>
    </w:p>
    <w:p w14:paraId="4262E30D" w14:textId="2543D4CC" w:rsidR="00C73B80" w:rsidRDefault="00DA7FF0" w:rsidP="0003158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hint="eastAsia"/>
          <w:sz w:val="28"/>
          <w:szCs w:val="28"/>
        </w:rPr>
        <w:t>General</w:t>
      </w:r>
      <w:r>
        <w:rPr>
          <w:rFonts w:asciiTheme="minorHAnsi" w:hAnsiTheme="minorHAnsi"/>
          <w:sz w:val="28"/>
          <w:szCs w:val="28"/>
        </w:rPr>
        <w:t xml:space="preserve">ly, the </w:t>
      </w:r>
      <w:r>
        <w:rPr>
          <w:rFonts w:asciiTheme="minorHAnsi" w:hAnsiTheme="minorHAnsi" w:hint="eastAsia"/>
          <w:sz w:val="28"/>
          <w:szCs w:val="28"/>
        </w:rPr>
        <w:t>house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price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index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decreases</w:t>
      </w:r>
      <w:r>
        <w:rPr>
          <w:rFonts w:asciiTheme="minorHAnsi" w:hAnsiTheme="minorHAnsi"/>
          <w:sz w:val="28"/>
          <w:szCs w:val="28"/>
        </w:rPr>
        <w:t xml:space="preserve">, while conditional default rate increases over the year 2013 to 2018. </w:t>
      </w:r>
      <w:r w:rsidR="00B00FA2">
        <w:rPr>
          <w:rFonts w:asciiTheme="minorHAnsi" w:hAnsiTheme="minorHAnsi"/>
          <w:sz w:val="28"/>
          <w:szCs w:val="28"/>
        </w:rPr>
        <w:t>Also,</w:t>
      </w:r>
      <w:r w:rsidR="002D3BA0" w:rsidRPr="002D3BA0">
        <w:rPr>
          <w:rFonts w:asciiTheme="minorHAnsi" w:hAnsiTheme="minorHAnsi"/>
          <w:sz w:val="28"/>
          <w:szCs w:val="28"/>
        </w:rPr>
        <w:t xml:space="preserve"> </w:t>
      </w:r>
      <w:r w:rsidR="00B00FA2">
        <w:rPr>
          <w:rFonts w:asciiTheme="minorHAnsi" w:hAnsiTheme="minorHAnsi"/>
          <w:sz w:val="28"/>
          <w:szCs w:val="28"/>
        </w:rPr>
        <w:t xml:space="preserve">the relative change is not on the same scale, while </w:t>
      </w:r>
      <w:r w:rsidR="002D3BA0" w:rsidRPr="002D3BA0">
        <w:rPr>
          <w:rFonts w:asciiTheme="minorHAnsi" w:hAnsiTheme="minorHAnsi"/>
          <w:sz w:val="28"/>
          <w:szCs w:val="28"/>
        </w:rPr>
        <w:t xml:space="preserve">the relative change in </w:t>
      </w:r>
      <w:r>
        <w:rPr>
          <w:rFonts w:asciiTheme="minorHAnsi" w:hAnsiTheme="minorHAnsi"/>
          <w:sz w:val="28"/>
          <w:szCs w:val="28"/>
        </w:rPr>
        <w:t>conditional d</w:t>
      </w:r>
      <w:r>
        <w:rPr>
          <w:rFonts w:asciiTheme="minorHAnsi" w:hAnsiTheme="minorHAnsi" w:hint="eastAsia"/>
          <w:sz w:val="28"/>
          <w:szCs w:val="28"/>
        </w:rPr>
        <w:t>efault</w:t>
      </w:r>
      <w:r>
        <w:rPr>
          <w:rFonts w:asciiTheme="minorHAnsi" w:hAnsiTheme="minorHAnsi"/>
          <w:sz w:val="28"/>
          <w:szCs w:val="28"/>
        </w:rPr>
        <w:t xml:space="preserve"> r</w:t>
      </w:r>
      <w:r>
        <w:rPr>
          <w:rFonts w:asciiTheme="minorHAnsi" w:hAnsiTheme="minorHAnsi" w:hint="eastAsia"/>
          <w:sz w:val="28"/>
          <w:szCs w:val="28"/>
        </w:rPr>
        <w:t>ate</w:t>
      </w:r>
      <w:r w:rsidR="002D3BA0" w:rsidRPr="002D3BA0">
        <w:rPr>
          <w:rFonts w:asciiTheme="minorHAnsi" w:hAnsiTheme="minorHAnsi"/>
          <w:sz w:val="28"/>
          <w:szCs w:val="28"/>
        </w:rPr>
        <w:t xml:space="preserve"> is very volatile, the relative change in </w:t>
      </w:r>
      <w:r>
        <w:rPr>
          <w:rFonts w:asciiTheme="minorHAnsi" w:hAnsiTheme="minorHAnsi"/>
          <w:sz w:val="28"/>
          <w:szCs w:val="28"/>
        </w:rPr>
        <w:t>h</w:t>
      </w:r>
      <w:r>
        <w:rPr>
          <w:rFonts w:asciiTheme="minorHAnsi" w:hAnsiTheme="minorHAnsi" w:hint="eastAsia"/>
          <w:sz w:val="28"/>
          <w:szCs w:val="28"/>
        </w:rPr>
        <w:t>ouse</w:t>
      </w:r>
      <w:r>
        <w:rPr>
          <w:rFonts w:asciiTheme="minorHAnsi" w:hAnsiTheme="minorHAnsi"/>
          <w:sz w:val="28"/>
          <w:szCs w:val="28"/>
        </w:rPr>
        <w:t xml:space="preserve"> p</w:t>
      </w:r>
      <w:r>
        <w:rPr>
          <w:rFonts w:asciiTheme="minorHAnsi" w:hAnsiTheme="minorHAnsi" w:hint="eastAsia"/>
          <w:sz w:val="28"/>
          <w:szCs w:val="28"/>
        </w:rPr>
        <w:t>rice</w:t>
      </w:r>
      <w:r>
        <w:rPr>
          <w:rFonts w:asciiTheme="minorHAnsi" w:hAnsiTheme="minorHAnsi"/>
          <w:sz w:val="28"/>
          <w:szCs w:val="28"/>
        </w:rPr>
        <w:t xml:space="preserve"> i</w:t>
      </w:r>
      <w:r>
        <w:rPr>
          <w:rFonts w:asciiTheme="minorHAnsi" w:hAnsiTheme="minorHAnsi" w:hint="eastAsia"/>
          <w:sz w:val="28"/>
          <w:szCs w:val="28"/>
        </w:rPr>
        <w:t>ndex</w:t>
      </w:r>
      <w:r w:rsidR="002D3BA0" w:rsidRPr="002D3BA0">
        <w:rPr>
          <w:rFonts w:asciiTheme="minorHAnsi" w:hAnsiTheme="minorHAnsi"/>
          <w:sz w:val="28"/>
          <w:szCs w:val="28"/>
        </w:rPr>
        <w:t xml:space="preserve"> is </w:t>
      </w:r>
      <w:r w:rsidR="00B00FA2">
        <w:rPr>
          <w:rFonts w:asciiTheme="minorHAnsi" w:hAnsiTheme="minorHAnsi"/>
          <w:sz w:val="28"/>
          <w:szCs w:val="28"/>
        </w:rPr>
        <w:t xml:space="preserve">much </w:t>
      </w:r>
      <w:r w:rsidR="002D3BA0" w:rsidRPr="002D3BA0">
        <w:rPr>
          <w:rFonts w:asciiTheme="minorHAnsi" w:hAnsiTheme="minorHAnsi"/>
          <w:sz w:val="28"/>
          <w:szCs w:val="28"/>
        </w:rPr>
        <w:t xml:space="preserve">less. </w:t>
      </w:r>
      <w:r w:rsidR="00ED5E15">
        <w:rPr>
          <w:rFonts w:asciiTheme="minorHAnsi" w:hAnsiTheme="minorHAnsi"/>
          <w:sz w:val="28"/>
          <w:szCs w:val="28"/>
        </w:rPr>
        <w:t xml:space="preserve"> </w:t>
      </w:r>
      <w:r w:rsidR="002D3BA0" w:rsidRPr="002D3BA0">
        <w:rPr>
          <w:rFonts w:asciiTheme="minorHAnsi" w:hAnsiTheme="minorHAnsi"/>
          <w:sz w:val="28"/>
          <w:szCs w:val="28"/>
        </w:rPr>
        <w:t xml:space="preserve"> </w:t>
      </w:r>
    </w:p>
    <w:p w14:paraId="47678020" w14:textId="7F75543E" w:rsidR="002D3BA0" w:rsidRDefault="002D3BA0" w:rsidP="0003158E">
      <w:pPr>
        <w:rPr>
          <w:rFonts w:asciiTheme="minorHAnsi" w:hAnsiTheme="minorHAnsi"/>
          <w:sz w:val="28"/>
          <w:szCs w:val="28"/>
        </w:rPr>
      </w:pPr>
    </w:p>
    <w:p w14:paraId="532DDBEA" w14:textId="77777777" w:rsidR="00ED5E15" w:rsidRPr="002D3BA0" w:rsidRDefault="00ED5E15" w:rsidP="0003158E">
      <w:pPr>
        <w:rPr>
          <w:rFonts w:asciiTheme="minorHAnsi" w:hAnsiTheme="minorHAnsi"/>
          <w:sz w:val="28"/>
          <w:szCs w:val="28"/>
        </w:rPr>
      </w:pPr>
    </w:p>
    <w:p w14:paraId="1A7B7651" w14:textId="77777777" w:rsidR="00B631B4" w:rsidRDefault="00B631B4" w:rsidP="00B631B4">
      <w:pPr>
        <w:rPr>
          <w:b/>
          <w:bCs/>
          <w:color w:val="1F497D" w:themeColor="text2"/>
          <w:sz w:val="24"/>
          <w:szCs w:val="24"/>
        </w:rPr>
      </w:pPr>
      <w:r w:rsidRPr="00A524B9">
        <w:rPr>
          <w:b/>
          <w:bCs/>
          <w:color w:val="1F497D" w:themeColor="text2"/>
          <w:sz w:val="24"/>
          <w:szCs w:val="24"/>
        </w:rPr>
        <w:t>SPECIAL FEATURE</w:t>
      </w:r>
      <w:r>
        <w:rPr>
          <w:b/>
          <w:bCs/>
          <w:color w:val="1F497D" w:themeColor="text2"/>
          <w:sz w:val="24"/>
          <w:szCs w:val="24"/>
        </w:rPr>
        <w:t xml:space="preserve"> </w:t>
      </w:r>
    </w:p>
    <w:p w14:paraId="0D76B7D4" w14:textId="77777777" w:rsidR="00B631B4" w:rsidRDefault="00B631B4" w:rsidP="00B631B4">
      <w:pPr>
        <w:rPr>
          <w:b/>
          <w:bCs/>
          <w:sz w:val="40"/>
          <w:szCs w:val="40"/>
        </w:rPr>
      </w:pPr>
      <w:r w:rsidRPr="00A524B9">
        <w:rPr>
          <w:b/>
          <w:bCs/>
          <w:sz w:val="40"/>
          <w:szCs w:val="40"/>
        </w:rPr>
        <w:t>FANNIE MAE COMPOSITION</w:t>
      </w:r>
    </w:p>
    <w:p w14:paraId="1E76EE8C" w14:textId="77777777" w:rsidR="00B631B4" w:rsidRPr="00A524B9" w:rsidRDefault="00B631B4" w:rsidP="00B631B4">
      <w:pPr>
        <w:rPr>
          <w:b/>
          <w:bCs/>
          <w:sz w:val="40"/>
          <w:szCs w:val="40"/>
        </w:rPr>
      </w:pPr>
    </w:p>
    <w:p w14:paraId="53AA42FB" w14:textId="77777777" w:rsidR="00B631B4" w:rsidRDefault="00B631B4" w:rsidP="00B631B4">
      <w:pPr>
        <w:rPr>
          <w:b/>
          <w:bCs/>
          <w:sz w:val="28"/>
          <w:szCs w:val="28"/>
          <w:lang w:val="en-US"/>
        </w:rPr>
      </w:pPr>
      <w:r w:rsidRPr="00A524B9">
        <w:rPr>
          <w:b/>
          <w:bCs/>
          <w:sz w:val="28"/>
          <w:szCs w:val="28"/>
          <w:lang w:val="en-US"/>
        </w:rPr>
        <w:t>Balance on 30-year, Fixed-rate, Full-doc, Amortizing Loans</w:t>
      </w:r>
    </w:p>
    <w:tbl>
      <w:tblPr>
        <w:tblW w:w="9002" w:type="dxa"/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300"/>
        <w:gridCol w:w="1160"/>
        <w:gridCol w:w="1188"/>
        <w:gridCol w:w="989"/>
        <w:gridCol w:w="1287"/>
      </w:tblGrid>
      <w:tr w:rsidR="00B631B4" w:rsidRPr="00A524B9" w14:paraId="130B1191" w14:textId="77777777" w:rsidTr="00F23B19">
        <w:trPr>
          <w:trHeight w:val="624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FFCC00"/>
            <w:hideMark/>
          </w:tcPr>
          <w:p w14:paraId="45D87405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Origination Year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1BE7BFAE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Origination FICO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24B1443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3F92A8D4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LTV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7863A55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21CB73D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FFCC00"/>
            <w:hideMark/>
          </w:tcPr>
          <w:p w14:paraId="1526F82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Total</w:t>
            </w:r>
          </w:p>
        </w:tc>
      </w:tr>
      <w:tr w:rsidR="00B631B4" w:rsidRPr="00A524B9" w14:paraId="5D84C0AF" w14:textId="77777777" w:rsidTr="00F23B19">
        <w:trPr>
          <w:trHeight w:val="319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FFCC00"/>
            <w:hideMark/>
          </w:tcPr>
          <w:p w14:paraId="2AADA4E5" w14:textId="77777777" w:rsidR="00B631B4" w:rsidRPr="00A524B9" w:rsidRDefault="00B631B4" w:rsidP="00F23B19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A524B9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629BA807" w14:textId="77777777" w:rsidR="00B631B4" w:rsidRPr="00A524B9" w:rsidRDefault="00B631B4" w:rsidP="00F23B19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A524B9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0889EF4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SimSun" w:hAnsi="SimSun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SimSun" w:hAnsi="SimSun" w:cs="Calibri" w:hint="eastAsia"/>
                <w:b/>
                <w:bCs/>
                <w:color w:val="000000"/>
                <w:lang w:val="en-US"/>
              </w:rPr>
              <w:t>≤70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2EAD75B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70 to 80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4F8A088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80 to 90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7D7535F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&gt;90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FFCC00"/>
            <w:hideMark/>
          </w:tcPr>
          <w:p w14:paraId="14A37323" w14:textId="77777777" w:rsidR="00B631B4" w:rsidRPr="00A524B9" w:rsidRDefault="00B631B4" w:rsidP="00F23B19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A524B9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B631B4" w:rsidRPr="00A524B9" w14:paraId="10176391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E0D18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37E6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≤700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575D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2.59%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6579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2.89%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B8604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0.58%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0FD7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0.63%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E9909B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6.69%</w:t>
            </w:r>
          </w:p>
        </w:tc>
      </w:tr>
      <w:tr w:rsidR="00B631B4" w:rsidRPr="00A524B9" w14:paraId="5EF4726F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53653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2012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F3AB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700 to 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C2D7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7.17%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8DD6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10.50%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3D5CB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2.33%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DD138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2.78%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203094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22.78%</w:t>
            </w:r>
          </w:p>
        </w:tc>
      </w:tr>
      <w:tr w:rsidR="00B631B4" w:rsidRPr="00A524B9" w14:paraId="354880F0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D6EFE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E5A1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750 to 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40BA3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21.40%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F44C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25.40%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E7AF4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4.52%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FDBBB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4.58%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2D41F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55.90%</w:t>
            </w:r>
          </w:p>
        </w:tc>
      </w:tr>
      <w:tr w:rsidR="00B631B4" w:rsidRPr="00A524B9" w14:paraId="79A5570F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8759B8" w14:textId="77777777" w:rsidR="00B631B4" w:rsidRPr="00A524B9" w:rsidRDefault="00B631B4" w:rsidP="00F23B19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A524B9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9BC3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&gt;800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651A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6.99%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8A04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6.11%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8DD3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0.84%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B6DA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0.68%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DE9B3D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14.62%</w:t>
            </w:r>
          </w:p>
        </w:tc>
      </w:tr>
      <w:tr w:rsidR="00B631B4" w:rsidRPr="00A524B9" w14:paraId="15F68B2D" w14:textId="77777777" w:rsidTr="00F23B19">
        <w:trPr>
          <w:trHeight w:val="319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hideMark/>
          </w:tcPr>
          <w:p w14:paraId="5709C260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2C72B45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477C604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38.15%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0986E10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44.91%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1674BEB0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8.26%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17C42F4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8.67%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808080"/>
              <w:right w:val="single" w:sz="4" w:space="0" w:color="auto"/>
            </w:tcBorders>
            <w:shd w:val="clear" w:color="000000" w:fill="C0C0C0"/>
            <w:hideMark/>
          </w:tcPr>
          <w:p w14:paraId="5C57236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100.00%</w:t>
            </w:r>
          </w:p>
        </w:tc>
      </w:tr>
      <w:tr w:rsidR="00B631B4" w:rsidRPr="00A524B9" w14:paraId="53B2DB1B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4605E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C5BF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≤700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1A4D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2.72%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CD0B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2.88%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F36A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0.61%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04D0E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0.68%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B8E840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6.89%</w:t>
            </w:r>
          </w:p>
        </w:tc>
      </w:tr>
      <w:tr w:rsidR="00B631B4" w:rsidRPr="00A524B9" w14:paraId="345B1C1B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8C7E5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2013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6A54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700 to 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00D1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7.39%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39CF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10.60%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ADAD3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2.47%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9919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2.79%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04206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23.25%</w:t>
            </w:r>
          </w:p>
        </w:tc>
      </w:tr>
      <w:tr w:rsidR="00B631B4" w:rsidRPr="00A524B9" w14:paraId="6D08647A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651FCB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9E30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750 to 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88EB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21.25%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7DB45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24.28%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3C945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4.93%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D48C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4.59%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CE365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55.06%</w:t>
            </w:r>
          </w:p>
        </w:tc>
      </w:tr>
      <w:tr w:rsidR="00B631B4" w:rsidRPr="00A524B9" w14:paraId="4E2C56D1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6037C3A" w14:textId="77777777" w:rsidR="00B631B4" w:rsidRPr="00A524B9" w:rsidRDefault="00B631B4" w:rsidP="00F23B19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A524B9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1AA1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&gt;800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71948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7.24%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1D2C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5.98%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FB3D3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0.94%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25A7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0.64%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F5D65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14.80%</w:t>
            </w:r>
          </w:p>
        </w:tc>
      </w:tr>
      <w:tr w:rsidR="00B631B4" w:rsidRPr="00A524B9" w14:paraId="6588858F" w14:textId="77777777" w:rsidTr="00F23B19">
        <w:trPr>
          <w:trHeight w:val="319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hideMark/>
          </w:tcPr>
          <w:p w14:paraId="160B64E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4E2A7E48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4F3B68D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38.60%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35330F40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43.75%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02DCD4B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8.94%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6CD9D28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8.70%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808080"/>
              <w:right w:val="single" w:sz="4" w:space="0" w:color="auto"/>
            </w:tcBorders>
            <w:shd w:val="clear" w:color="000000" w:fill="C0C0C0"/>
            <w:hideMark/>
          </w:tcPr>
          <w:p w14:paraId="7B6ED258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100.00%</w:t>
            </w:r>
          </w:p>
        </w:tc>
      </w:tr>
      <w:tr w:rsidR="00B631B4" w:rsidRPr="00A524B9" w14:paraId="7F78D849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78A813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4B4A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≤700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4072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3.84%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3F0E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2.47%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DF0E3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F10E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2.14%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39337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8.45%</w:t>
            </w:r>
          </w:p>
        </w:tc>
      </w:tr>
      <w:tr w:rsidR="00B631B4" w:rsidRPr="00A524B9" w14:paraId="127FCCF0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0E6A38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2014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DD05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700 to 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F80D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13.50%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D7D50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14.02%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D200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2.06%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3A98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0C78B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29.57%</w:t>
            </w:r>
          </w:p>
        </w:tc>
      </w:tr>
      <w:tr w:rsidR="00B631B4" w:rsidRPr="00A524B9" w14:paraId="636C31E5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E5DF8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D8E7E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750 to 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05E0E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16.18%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4F03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27.17%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133FE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4.34%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47D53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2.37%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3E8C22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50.07%</w:t>
            </w:r>
          </w:p>
        </w:tc>
      </w:tr>
      <w:tr w:rsidR="00B631B4" w:rsidRPr="00A524B9" w14:paraId="7112113B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C30A17" w14:textId="77777777" w:rsidR="00B631B4" w:rsidRPr="00A524B9" w:rsidRDefault="00B631B4" w:rsidP="00F23B19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A524B9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6DD68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&gt;800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8E2C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5.93%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1D4C5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5.98%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C84F8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62498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F6907E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11.91%</w:t>
            </w:r>
          </w:p>
        </w:tc>
      </w:tr>
      <w:tr w:rsidR="00B631B4" w:rsidRPr="00A524B9" w14:paraId="6F119D27" w14:textId="77777777" w:rsidTr="00F23B19">
        <w:trPr>
          <w:trHeight w:val="319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hideMark/>
          </w:tcPr>
          <w:p w14:paraId="5D2BEE0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79569A04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0A5F7CC0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39.45%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0C41777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49.64%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468FEB8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6.40%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1A4BDD8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4.51%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808080"/>
              <w:right w:val="single" w:sz="4" w:space="0" w:color="auto"/>
            </w:tcBorders>
            <w:shd w:val="clear" w:color="000000" w:fill="C0C0C0"/>
            <w:hideMark/>
          </w:tcPr>
          <w:p w14:paraId="6B7E806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100.00%</w:t>
            </w:r>
          </w:p>
        </w:tc>
      </w:tr>
      <w:tr w:rsidR="00B631B4" w:rsidRPr="00A524B9" w14:paraId="53065079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C6CCFE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2EE70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≤700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2011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00D3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7022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AFEA4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57BD4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</w:tr>
      <w:tr w:rsidR="00B631B4" w:rsidRPr="00A524B9" w14:paraId="53A6E6AD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4A0474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2015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9AF75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700 to 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CE2C3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32.21%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422B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4921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51408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AE600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32.21%</w:t>
            </w:r>
          </w:p>
        </w:tc>
      </w:tr>
      <w:tr w:rsidR="00B631B4" w:rsidRPr="00A524B9" w14:paraId="2261BB54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EC578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6F0B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750 to 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CB2E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49.81%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84ABE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83A8E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B4A2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C7A715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49.81%</w:t>
            </w:r>
          </w:p>
        </w:tc>
      </w:tr>
      <w:tr w:rsidR="00B631B4" w:rsidRPr="00A524B9" w14:paraId="2AAA3268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A5C522B" w14:textId="77777777" w:rsidR="00B631B4" w:rsidRPr="00A524B9" w:rsidRDefault="00B631B4" w:rsidP="00F23B19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A524B9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90E7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&gt;800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DCD9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17.98%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40CB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7B40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310B8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552CF3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17.98%</w:t>
            </w:r>
          </w:p>
        </w:tc>
      </w:tr>
      <w:tr w:rsidR="00B631B4" w:rsidRPr="00A524B9" w14:paraId="6B3C2249" w14:textId="77777777" w:rsidTr="00F23B19">
        <w:trPr>
          <w:trHeight w:val="319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hideMark/>
          </w:tcPr>
          <w:p w14:paraId="5E5C883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1EE3587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12C49715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100.00%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1AE4C4AB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555984E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000000" w:fill="C0C0C0"/>
            <w:hideMark/>
          </w:tcPr>
          <w:p w14:paraId="664C4EE8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808080"/>
              <w:right w:val="single" w:sz="4" w:space="0" w:color="auto"/>
            </w:tcBorders>
            <w:shd w:val="clear" w:color="000000" w:fill="C0C0C0"/>
            <w:hideMark/>
          </w:tcPr>
          <w:p w14:paraId="187C14F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100.00%</w:t>
            </w:r>
          </w:p>
        </w:tc>
      </w:tr>
      <w:tr w:rsidR="00B631B4" w:rsidRPr="00A524B9" w14:paraId="5B57A279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FC485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F711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≤700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2709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57C90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86CE3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632B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0509D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</w:tr>
      <w:tr w:rsidR="00B631B4" w:rsidRPr="00A524B9" w14:paraId="63CC4A9C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00D13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2016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76CAB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700 to 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0CAB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DAC3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49CB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DC1B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AD9F7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</w:tr>
      <w:tr w:rsidR="00B631B4" w:rsidRPr="00A524B9" w14:paraId="3838E578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57387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DCF0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750 to 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BEFF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FDCA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5174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B0A6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CA3AA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100.00%</w:t>
            </w:r>
          </w:p>
        </w:tc>
      </w:tr>
      <w:tr w:rsidR="00B631B4" w:rsidRPr="00A524B9" w14:paraId="1CED0A45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C80D66" w14:textId="77777777" w:rsidR="00B631B4" w:rsidRPr="00A524B9" w:rsidRDefault="00B631B4" w:rsidP="00F23B19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A524B9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6F5F9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&gt;800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704E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5167F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CDF87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80C44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6B7ED2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</w:tr>
      <w:tr w:rsidR="00B631B4" w:rsidRPr="00A524B9" w14:paraId="72D9B894" w14:textId="77777777" w:rsidTr="00F23B19">
        <w:trPr>
          <w:trHeight w:val="304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FB39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524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hideMark/>
          </w:tcPr>
          <w:p w14:paraId="0B895604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hideMark/>
          </w:tcPr>
          <w:p w14:paraId="2EB586B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100.00%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hideMark/>
          </w:tcPr>
          <w:p w14:paraId="04FEA561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hideMark/>
          </w:tcPr>
          <w:p w14:paraId="381B2DD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hideMark/>
          </w:tcPr>
          <w:p w14:paraId="05BB56E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0.00%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7F016056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100.00%</w:t>
            </w:r>
          </w:p>
        </w:tc>
      </w:tr>
      <w:tr w:rsidR="00B631B4" w:rsidRPr="00A524B9" w14:paraId="2ECC3533" w14:textId="77777777" w:rsidTr="00F23B19">
        <w:trPr>
          <w:trHeight w:val="304"/>
        </w:trPr>
        <w:tc>
          <w:tcPr>
            <w:tcW w:w="30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hideMark/>
          </w:tcPr>
          <w:p w14:paraId="258AF0F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</w:pPr>
            <w:r w:rsidRPr="00A524B9">
              <w:rPr>
                <w:rFonts w:ascii="Gill Sans MT" w:eastAsia="Times New Roman" w:hAnsi="Gill Sans MT" w:cs="Calibri"/>
                <w:b/>
                <w:bCs/>
                <w:color w:val="000000"/>
                <w:lang w:val="en-US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hideMark/>
          </w:tcPr>
          <w:p w14:paraId="5E4BF10D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63.24%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hideMark/>
          </w:tcPr>
          <w:p w14:paraId="226B6314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27.66%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hideMark/>
          </w:tcPr>
          <w:p w14:paraId="0CC4CA90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4.72%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hideMark/>
          </w:tcPr>
          <w:p w14:paraId="749BB70C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4.38%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4CA452B" w14:textId="77777777" w:rsidR="00B631B4" w:rsidRPr="00A524B9" w:rsidRDefault="00B631B4" w:rsidP="00F23B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24B9">
              <w:rPr>
                <w:rFonts w:ascii="Calibri" w:eastAsia="Times New Roman" w:hAnsi="Calibri" w:cs="Calibri"/>
                <w:color w:val="000000"/>
                <w:lang w:val="en-US"/>
              </w:rPr>
              <w:t>100.00%</w:t>
            </w:r>
          </w:p>
        </w:tc>
      </w:tr>
    </w:tbl>
    <w:p w14:paraId="6B21B04E" w14:textId="77777777" w:rsidR="00B631B4" w:rsidRDefault="00B631B4" w:rsidP="00B631B4">
      <w:pPr>
        <w:rPr>
          <w:sz w:val="20"/>
          <w:szCs w:val="20"/>
        </w:rPr>
      </w:pPr>
      <w:r w:rsidRPr="00FE4874">
        <w:rPr>
          <w:b/>
          <w:bCs/>
          <w:sz w:val="20"/>
          <w:szCs w:val="20"/>
        </w:rPr>
        <w:t xml:space="preserve">Note: </w:t>
      </w:r>
      <w:r w:rsidRPr="00FE4874">
        <w:rPr>
          <w:sz w:val="20"/>
          <w:szCs w:val="20"/>
        </w:rPr>
        <w:t xml:space="preserve">Fannie Mae loan level credit data includes loans originated from </w:t>
      </w:r>
      <w:r>
        <w:rPr>
          <w:sz w:val="20"/>
          <w:szCs w:val="20"/>
        </w:rPr>
        <w:t xml:space="preserve">Q3 </w:t>
      </w:r>
      <w:r w:rsidRPr="00FA1D90">
        <w:rPr>
          <w:sz w:val="20"/>
          <w:szCs w:val="20"/>
        </w:rPr>
        <w:t>2012</w:t>
      </w:r>
      <w:r w:rsidRPr="00FE4874">
        <w:rPr>
          <w:sz w:val="20"/>
          <w:szCs w:val="20"/>
        </w:rPr>
        <w:t xml:space="preserve"> to Q</w:t>
      </w:r>
      <w:r>
        <w:rPr>
          <w:sz w:val="20"/>
          <w:szCs w:val="20"/>
        </w:rPr>
        <w:t>1</w:t>
      </w:r>
      <w:r w:rsidRPr="00FE4874">
        <w:rPr>
          <w:sz w:val="20"/>
          <w:szCs w:val="20"/>
        </w:rPr>
        <w:t xml:space="preserve"> 20</w:t>
      </w:r>
      <w:r>
        <w:rPr>
          <w:sz w:val="20"/>
          <w:szCs w:val="20"/>
        </w:rPr>
        <w:t>18</w:t>
      </w:r>
      <w:r w:rsidRPr="00FE4874">
        <w:rPr>
          <w:sz w:val="20"/>
          <w:szCs w:val="20"/>
        </w:rPr>
        <w:t>. The percentages are weighted by origination</w:t>
      </w:r>
      <w:r>
        <w:rPr>
          <w:sz w:val="20"/>
          <w:szCs w:val="20"/>
        </w:rPr>
        <w:t xml:space="preserve"> </w:t>
      </w:r>
      <w:r w:rsidRPr="00FE4874">
        <w:rPr>
          <w:sz w:val="20"/>
          <w:szCs w:val="20"/>
        </w:rPr>
        <w:t>balance. The analysis included only mortgages with original terms of 241-420 months.</w:t>
      </w:r>
    </w:p>
    <w:p w14:paraId="067584D2" w14:textId="77777777" w:rsidR="00B631B4" w:rsidRDefault="00B631B4" w:rsidP="00B631B4">
      <w:pPr>
        <w:rPr>
          <w:sz w:val="20"/>
          <w:szCs w:val="20"/>
        </w:rPr>
      </w:pPr>
    </w:p>
    <w:p w14:paraId="409B30E0" w14:textId="52EF5F4A" w:rsidR="00716372" w:rsidRPr="0055579C" w:rsidRDefault="00B631B4">
      <w:pPr>
        <w:rPr>
          <w:rFonts w:asciiTheme="minorHAnsi" w:hAnsiTheme="minorHAnsi"/>
          <w:sz w:val="28"/>
          <w:szCs w:val="28"/>
        </w:rPr>
      </w:pPr>
      <w:r w:rsidRPr="00BE156E">
        <w:rPr>
          <w:rFonts w:asciiTheme="minorHAnsi" w:hAnsiTheme="minorHAnsi"/>
          <w:sz w:val="28"/>
          <w:szCs w:val="28"/>
        </w:rPr>
        <w:t xml:space="preserve">Since 2012, the composition of loans purchased by Fannie Mae has been </w:t>
      </w:r>
      <w:r>
        <w:rPr>
          <w:rFonts w:asciiTheme="minorHAnsi" w:hAnsiTheme="minorHAnsi" w:hint="eastAsia"/>
          <w:sz w:val="28"/>
          <w:szCs w:val="28"/>
        </w:rPr>
        <w:t>stable</w:t>
      </w:r>
      <w:r w:rsidRPr="00BE156E">
        <w:rPr>
          <w:rFonts w:asciiTheme="minorHAnsi" w:hAnsiTheme="minorHAnsi"/>
          <w:sz w:val="28"/>
          <w:szCs w:val="28"/>
        </w:rPr>
        <w:t xml:space="preserve">, which shifted towards borrowers with higher FICO scores since 2008. </w:t>
      </w:r>
      <w:r w:rsidRPr="00BE156E">
        <w:rPr>
          <w:rFonts w:asciiTheme="minorHAnsi" w:hAnsiTheme="minorHAnsi"/>
          <w:sz w:val="28"/>
          <w:szCs w:val="28"/>
        </w:rPr>
        <w:lastRenderedPageBreak/>
        <w:t xml:space="preserve">Most of the loans have a FICO scores in the range of 700 to 800, </w:t>
      </w:r>
      <w:r w:rsidRPr="00BE156E">
        <w:rPr>
          <w:rFonts w:asciiTheme="minorHAnsi" w:hAnsiTheme="minorHAnsi" w:hint="eastAsia"/>
          <w:sz w:val="28"/>
          <w:szCs w:val="28"/>
        </w:rPr>
        <w:t>contributing</w:t>
      </w:r>
      <w:r w:rsidRPr="00BE156E">
        <w:rPr>
          <w:rFonts w:asciiTheme="minorHAnsi" w:hAnsiTheme="minorHAnsi"/>
          <w:sz w:val="28"/>
          <w:szCs w:val="28"/>
        </w:rPr>
        <w:t xml:space="preserve"> </w:t>
      </w:r>
      <w:r w:rsidRPr="00BE156E">
        <w:rPr>
          <w:rFonts w:asciiTheme="minorHAnsi" w:hAnsiTheme="minorHAnsi" w:hint="eastAsia"/>
          <w:sz w:val="28"/>
          <w:szCs w:val="28"/>
        </w:rPr>
        <w:t>to</w:t>
      </w:r>
      <w:r w:rsidRPr="00BE156E">
        <w:rPr>
          <w:rFonts w:asciiTheme="minorHAnsi" w:hAnsiTheme="minorHAnsi"/>
          <w:sz w:val="28"/>
          <w:szCs w:val="28"/>
        </w:rPr>
        <w:t xml:space="preserve"> </w:t>
      </w:r>
      <w:r w:rsidRPr="00BE156E">
        <w:rPr>
          <w:rFonts w:asciiTheme="minorHAnsi" w:hAnsiTheme="minorHAnsi" w:hint="eastAsia"/>
          <w:sz w:val="28"/>
          <w:szCs w:val="28"/>
        </w:rPr>
        <w:t>around</w:t>
      </w:r>
      <w:r w:rsidRPr="00BE156E">
        <w:rPr>
          <w:rFonts w:asciiTheme="minorHAnsi" w:hAnsiTheme="minorHAnsi"/>
          <w:sz w:val="28"/>
          <w:szCs w:val="28"/>
        </w:rPr>
        <w:t xml:space="preserve"> 50 percent of loans originated from 2012 </w:t>
      </w:r>
      <w:r w:rsidRPr="00BE156E">
        <w:rPr>
          <w:rFonts w:asciiTheme="minorHAnsi" w:hAnsiTheme="minorHAnsi" w:hint="eastAsia"/>
          <w:sz w:val="28"/>
          <w:szCs w:val="28"/>
        </w:rPr>
        <w:t>Q3</w:t>
      </w:r>
      <w:r w:rsidRPr="00BE156E">
        <w:rPr>
          <w:rFonts w:asciiTheme="minorHAnsi" w:hAnsiTheme="minorHAnsi"/>
          <w:sz w:val="28"/>
          <w:szCs w:val="28"/>
        </w:rPr>
        <w:t xml:space="preserve"> to 2018 </w:t>
      </w:r>
      <w:r w:rsidRPr="00BE156E">
        <w:rPr>
          <w:rFonts w:asciiTheme="minorHAnsi" w:hAnsiTheme="minorHAnsi" w:hint="eastAsia"/>
          <w:sz w:val="28"/>
          <w:szCs w:val="28"/>
        </w:rPr>
        <w:t>Q1</w:t>
      </w:r>
      <w:r w:rsidRPr="00BE156E">
        <w:rPr>
          <w:rFonts w:asciiTheme="minorHAnsi" w:hAnsiTheme="minorHAnsi"/>
          <w:sz w:val="28"/>
          <w:szCs w:val="28"/>
        </w:rPr>
        <w:t>.</w:t>
      </w:r>
    </w:p>
    <w:p w14:paraId="376291C3" w14:textId="77777777" w:rsidR="0042132A" w:rsidRDefault="0042132A">
      <w:pPr>
        <w:rPr>
          <w:b/>
          <w:bCs/>
          <w:sz w:val="40"/>
          <w:szCs w:val="40"/>
        </w:rPr>
      </w:pPr>
    </w:p>
    <w:p w14:paraId="6FDA0604" w14:textId="3B93FD20" w:rsidR="0003158E" w:rsidRPr="0003158E" w:rsidRDefault="0003158E">
      <w:pPr>
        <w:rPr>
          <w:b/>
          <w:bCs/>
          <w:sz w:val="28"/>
          <w:szCs w:val="28"/>
          <w:lang w:val="en-US"/>
        </w:rPr>
      </w:pPr>
      <w:r w:rsidRPr="0003158E">
        <w:rPr>
          <w:b/>
          <w:bCs/>
          <w:sz w:val="28"/>
          <w:szCs w:val="28"/>
          <w:lang w:val="en-US"/>
        </w:rPr>
        <w:t xml:space="preserve">Negative Equity Share </w:t>
      </w:r>
    </w:p>
    <w:p w14:paraId="3E50A7A2" w14:textId="50BE0DBF" w:rsidR="0003158E" w:rsidRDefault="00513364">
      <w:r>
        <w:rPr>
          <w:noProof/>
        </w:rPr>
        <w:drawing>
          <wp:inline distT="0" distB="0" distL="0" distR="0" wp14:anchorId="26222EBE" wp14:editId="6623AF7E">
            <wp:extent cx="5943600" cy="2540000"/>
            <wp:effectExtent l="0" t="0" r="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1876B1D-B738-4DB4-9656-967E11959C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731E61" w14:textId="2B8D2E57" w:rsidR="0003158E" w:rsidRDefault="0003158E" w:rsidP="0003158E">
      <w:pPr>
        <w:rPr>
          <w:sz w:val="20"/>
          <w:szCs w:val="20"/>
        </w:rPr>
      </w:pPr>
      <w:r w:rsidRPr="0003158E">
        <w:rPr>
          <w:b/>
          <w:bCs/>
          <w:sz w:val="20"/>
          <w:szCs w:val="20"/>
        </w:rPr>
        <w:t>Note:</w:t>
      </w:r>
      <w:r w:rsidRPr="0003158E">
        <w:rPr>
          <w:sz w:val="20"/>
          <w:szCs w:val="20"/>
        </w:rPr>
        <w:t xml:space="preserve"> </w:t>
      </w:r>
      <w:r w:rsidRPr="0003158E">
        <w:rPr>
          <w:rFonts w:hint="eastAsia"/>
          <w:sz w:val="20"/>
          <w:szCs w:val="20"/>
        </w:rPr>
        <w:t>N</w:t>
      </w:r>
      <w:r w:rsidRPr="0003158E">
        <w:rPr>
          <w:sz w:val="20"/>
          <w:szCs w:val="20"/>
        </w:rPr>
        <w:t>egative equity rate is the percent of all residential properties with a mortgage in negative equity. Loans with negative equity refer to loans above 100 percent LTV. Loans near negative equity refer to loans above 95 percent LTV. Last updated December 2017.</w:t>
      </w:r>
      <w:r w:rsidRPr="0003158E">
        <w:rPr>
          <w:sz w:val="20"/>
          <w:szCs w:val="20"/>
        </w:rPr>
        <w:cr/>
      </w:r>
    </w:p>
    <w:p w14:paraId="414B9586" w14:textId="6D5255F1" w:rsidR="0003158E" w:rsidRDefault="0003158E" w:rsidP="0003158E">
      <w:pPr>
        <w:rPr>
          <w:rFonts w:asciiTheme="minorHAnsi" w:hAnsiTheme="minorHAnsi"/>
          <w:sz w:val="28"/>
          <w:szCs w:val="28"/>
        </w:rPr>
      </w:pPr>
      <w:r w:rsidRPr="00C73B80">
        <w:rPr>
          <w:rFonts w:asciiTheme="minorHAnsi" w:hAnsiTheme="minorHAnsi"/>
          <w:sz w:val="28"/>
          <w:szCs w:val="28"/>
        </w:rPr>
        <w:t>With housing prices continuing to appreciate, residential properties in negative equity (LTV greater than 100) as a share of all residential properties with a mortgage continued to decline.</w:t>
      </w:r>
    </w:p>
    <w:p w14:paraId="0AB7FB76" w14:textId="4F36898D" w:rsidR="0055579C" w:rsidRDefault="0055579C" w:rsidP="0003158E">
      <w:pPr>
        <w:rPr>
          <w:rFonts w:asciiTheme="minorHAnsi" w:hAnsiTheme="minorHAnsi"/>
          <w:sz w:val="28"/>
          <w:szCs w:val="28"/>
        </w:rPr>
      </w:pPr>
    </w:p>
    <w:p w14:paraId="2D079E57" w14:textId="77777777" w:rsidR="0055579C" w:rsidRPr="00BD4DC1" w:rsidRDefault="0055579C" w:rsidP="0055579C">
      <w:pPr>
        <w:rPr>
          <w:b/>
          <w:bCs/>
          <w:color w:val="1F497D" w:themeColor="text2"/>
          <w:sz w:val="24"/>
          <w:szCs w:val="24"/>
        </w:rPr>
      </w:pPr>
      <w:r w:rsidRPr="00A524B9">
        <w:rPr>
          <w:b/>
          <w:bCs/>
          <w:color w:val="1F497D" w:themeColor="text2"/>
          <w:sz w:val="24"/>
          <w:szCs w:val="24"/>
        </w:rPr>
        <w:t>SPECIAL FEATURE</w:t>
      </w:r>
      <w:r>
        <w:rPr>
          <w:b/>
          <w:bCs/>
          <w:color w:val="1F497D" w:themeColor="text2"/>
          <w:sz w:val="24"/>
          <w:szCs w:val="24"/>
        </w:rPr>
        <w:t xml:space="preserve"> </w:t>
      </w:r>
    </w:p>
    <w:p w14:paraId="18523D4F" w14:textId="30AFA6DE" w:rsidR="0055579C" w:rsidRDefault="0055579C" w:rsidP="0055579C">
      <w:pPr>
        <w:rPr>
          <w:b/>
          <w:bCs/>
          <w:sz w:val="40"/>
          <w:szCs w:val="40"/>
        </w:rPr>
      </w:pPr>
      <w:r w:rsidRPr="009B22BF">
        <w:rPr>
          <w:b/>
          <w:bCs/>
          <w:sz w:val="40"/>
          <w:szCs w:val="40"/>
        </w:rPr>
        <w:t xml:space="preserve">FANNIE MAE </w:t>
      </w:r>
      <w:r w:rsidR="007C5655">
        <w:rPr>
          <w:rFonts w:hint="eastAsia"/>
          <w:b/>
          <w:bCs/>
          <w:sz w:val="40"/>
          <w:szCs w:val="40"/>
        </w:rPr>
        <w:t>DELINQUENCY</w:t>
      </w:r>
      <w:r w:rsidR="007C5655">
        <w:rPr>
          <w:b/>
          <w:bCs/>
          <w:sz w:val="40"/>
          <w:szCs w:val="40"/>
        </w:rPr>
        <w:t xml:space="preserve"> &amp; </w:t>
      </w:r>
      <w:r w:rsidRPr="009B22BF">
        <w:rPr>
          <w:b/>
          <w:bCs/>
          <w:sz w:val="40"/>
          <w:szCs w:val="40"/>
        </w:rPr>
        <w:t xml:space="preserve">DEFAULT </w:t>
      </w:r>
      <w:r w:rsidR="007C5655">
        <w:rPr>
          <w:b/>
          <w:bCs/>
          <w:sz w:val="40"/>
          <w:szCs w:val="40"/>
        </w:rPr>
        <w:t xml:space="preserve"> </w:t>
      </w:r>
    </w:p>
    <w:p w14:paraId="54407200" w14:textId="77777777" w:rsidR="007C5655" w:rsidRDefault="007C5655">
      <w:pPr>
        <w:rPr>
          <w:b/>
          <w:bCs/>
          <w:sz w:val="28"/>
          <w:szCs w:val="28"/>
          <w:lang w:val="en-US"/>
        </w:rPr>
      </w:pPr>
    </w:p>
    <w:p w14:paraId="4A75AAA1" w14:textId="5DB06C87" w:rsidR="00716372" w:rsidRPr="005C11AC" w:rsidRDefault="00B66490">
      <w:pPr>
        <w:rPr>
          <w:b/>
          <w:bCs/>
          <w:sz w:val="28"/>
          <w:szCs w:val="28"/>
          <w:lang w:val="en-US"/>
        </w:rPr>
      </w:pPr>
      <w:r w:rsidRPr="00B66490">
        <w:rPr>
          <w:b/>
          <w:bCs/>
          <w:sz w:val="28"/>
          <w:szCs w:val="28"/>
          <w:lang w:val="en-US"/>
        </w:rPr>
        <w:t>Loans in Serious Delinquency/Foreclosure</w:t>
      </w:r>
    </w:p>
    <w:p w14:paraId="4DE90715" w14:textId="08A7560B" w:rsidR="005C11AC" w:rsidRDefault="007E492F">
      <w:r>
        <w:rPr>
          <w:noProof/>
        </w:rPr>
        <w:lastRenderedPageBreak/>
        <w:drawing>
          <wp:inline distT="0" distB="0" distL="0" distR="0" wp14:anchorId="7F203EF0" wp14:editId="302BBB24">
            <wp:extent cx="5505450" cy="331093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853"/>
                    <a:stretch/>
                  </pic:blipFill>
                  <pic:spPr bwMode="auto">
                    <a:xfrm>
                      <a:off x="0" y="0"/>
                      <a:ext cx="5505450" cy="331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8DAF9" w14:textId="7B38F9A3" w:rsidR="00FA5BCE" w:rsidRDefault="00FA5BCE">
      <w:pPr>
        <w:rPr>
          <w:sz w:val="20"/>
          <w:szCs w:val="20"/>
        </w:rPr>
      </w:pPr>
      <w:r w:rsidRPr="00FA5BCE">
        <w:rPr>
          <w:b/>
          <w:bCs/>
          <w:sz w:val="20"/>
          <w:szCs w:val="20"/>
        </w:rPr>
        <w:t>Note:</w:t>
      </w:r>
      <w:r w:rsidRPr="00FA5BCE">
        <w:rPr>
          <w:sz w:val="20"/>
          <w:szCs w:val="20"/>
        </w:rPr>
        <w:t xml:space="preserve"> The analysis included only mortgages with original terms of 241-420 months.</w:t>
      </w:r>
    </w:p>
    <w:p w14:paraId="53CDD694" w14:textId="77777777" w:rsidR="00FA5BCE" w:rsidRPr="00FA5BCE" w:rsidRDefault="00FA5BCE">
      <w:pPr>
        <w:rPr>
          <w:sz w:val="20"/>
          <w:szCs w:val="20"/>
        </w:rPr>
      </w:pPr>
    </w:p>
    <w:p w14:paraId="1863AE8B" w14:textId="178D1765" w:rsidR="00DD57A5" w:rsidRPr="005C11AC" w:rsidRDefault="00FA5BCE">
      <w:pPr>
        <w:rPr>
          <w:rFonts w:asciiTheme="minorHAnsi" w:hAnsiTheme="minorHAnsi"/>
          <w:sz w:val="28"/>
          <w:szCs w:val="28"/>
        </w:rPr>
      </w:pPr>
      <w:r w:rsidRPr="00FA5BCE">
        <w:rPr>
          <w:rFonts w:asciiTheme="minorHAnsi" w:hAnsiTheme="minorHAnsi"/>
          <w:sz w:val="28"/>
          <w:szCs w:val="28"/>
        </w:rPr>
        <w:t>With cleaner books of business and the housing recovery underway, for Freddie Mac’s 2012-2018 vintages, cumulative defaults total around 0.15 percent.</w:t>
      </w:r>
    </w:p>
    <w:p w14:paraId="216CFFCB" w14:textId="1BC7DA9A" w:rsidR="007E492F" w:rsidRDefault="003E0FA0">
      <w:pPr>
        <w:rPr>
          <w:noProof/>
        </w:rPr>
      </w:pPr>
      <w:r>
        <w:rPr>
          <w:noProof/>
        </w:rPr>
        <w:drawing>
          <wp:inline distT="0" distB="0" distL="0" distR="0" wp14:anchorId="7BA76AB5" wp14:editId="648E0D69">
            <wp:extent cx="5801526" cy="35814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02" r="12660"/>
                    <a:stretch/>
                  </pic:blipFill>
                  <pic:spPr bwMode="auto">
                    <a:xfrm>
                      <a:off x="0" y="0"/>
                      <a:ext cx="5886713" cy="363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0FA0">
        <w:rPr>
          <w:noProof/>
        </w:rPr>
        <w:t xml:space="preserve"> </w:t>
      </w:r>
    </w:p>
    <w:p w14:paraId="5D19F479" w14:textId="47C4BE71" w:rsidR="00185354" w:rsidRDefault="00185354">
      <w:pPr>
        <w:rPr>
          <w:noProof/>
        </w:rPr>
      </w:pPr>
      <w:r w:rsidRPr="00FA5BCE">
        <w:rPr>
          <w:b/>
          <w:bCs/>
          <w:sz w:val="20"/>
          <w:szCs w:val="20"/>
        </w:rPr>
        <w:t>Note:</w:t>
      </w:r>
      <w:r w:rsidRPr="00FA5BCE">
        <w:rPr>
          <w:sz w:val="20"/>
          <w:szCs w:val="20"/>
        </w:rPr>
        <w:t xml:space="preserve"> The analysis included only mortgages with original terms of 241-420 months.</w:t>
      </w:r>
    </w:p>
    <w:p w14:paraId="0F892B58" w14:textId="66D5EE5F" w:rsidR="003E0FA0" w:rsidRDefault="003E0FA0">
      <w:r>
        <w:rPr>
          <w:noProof/>
        </w:rPr>
        <w:lastRenderedPageBreak/>
        <w:drawing>
          <wp:inline distT="0" distB="0" distL="0" distR="0" wp14:anchorId="053AB19F" wp14:editId="12F31E46">
            <wp:extent cx="5638800" cy="3517869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83" r="2904" b="3201"/>
                    <a:stretch/>
                  </pic:blipFill>
                  <pic:spPr bwMode="auto">
                    <a:xfrm>
                      <a:off x="0" y="0"/>
                      <a:ext cx="5729926" cy="35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6AEF8" w14:textId="3F132E9E" w:rsidR="00185354" w:rsidRDefault="00185354">
      <w:r w:rsidRPr="00FA5BCE">
        <w:rPr>
          <w:b/>
          <w:bCs/>
          <w:sz w:val="20"/>
          <w:szCs w:val="20"/>
        </w:rPr>
        <w:t>Note:</w:t>
      </w:r>
      <w:r w:rsidRPr="00FA5BCE">
        <w:rPr>
          <w:sz w:val="20"/>
          <w:szCs w:val="20"/>
        </w:rPr>
        <w:t xml:space="preserve"> The analysis included only mortgages with original terms of 241-420 months.</w:t>
      </w:r>
    </w:p>
    <w:p w14:paraId="47C6556A" w14:textId="7AD5018F" w:rsidR="00185354" w:rsidRDefault="00185354"/>
    <w:p w14:paraId="01F80A8B" w14:textId="24EA4246" w:rsidR="00185354" w:rsidRPr="00FA5BCE" w:rsidRDefault="00185354" w:rsidP="0018535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hint="eastAsia"/>
          <w:sz w:val="28"/>
          <w:szCs w:val="28"/>
        </w:rPr>
        <w:t>The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cumulative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default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rate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is</w:t>
      </w:r>
      <w:r>
        <w:rPr>
          <w:rFonts w:asciiTheme="minorHAnsi" w:hAnsiTheme="minorHAnsi"/>
          <w:sz w:val="28"/>
          <w:szCs w:val="28"/>
        </w:rPr>
        <w:t xml:space="preserve"> </w:t>
      </w:r>
      <w:r w:rsidR="005C11AC">
        <w:rPr>
          <w:rFonts w:asciiTheme="minorHAnsi" w:hAnsiTheme="minorHAnsi"/>
          <w:sz w:val="28"/>
          <w:szCs w:val="28"/>
        </w:rPr>
        <w:t>the lowest for</w:t>
      </w:r>
      <w:r>
        <w:rPr>
          <w:rFonts w:asciiTheme="minorHAnsi" w:hAnsiTheme="minorHAnsi"/>
          <w:sz w:val="28"/>
          <w:szCs w:val="28"/>
        </w:rPr>
        <w:t xml:space="preserve"> the group with LTV&lt;=70 and FICO scores&gt;800 </w:t>
      </w:r>
      <w:r w:rsidRPr="00FA5BCE">
        <w:rPr>
          <w:rFonts w:asciiTheme="minorHAnsi" w:hAnsiTheme="minorHAnsi"/>
          <w:sz w:val="28"/>
          <w:szCs w:val="28"/>
        </w:rPr>
        <w:t>for Freddie Mac’s 2012-2018 vintages, cumulative defaults total around 0.15 percent.</w:t>
      </w:r>
    </w:p>
    <w:p w14:paraId="2EA7D9A3" w14:textId="77777777" w:rsidR="007C5655" w:rsidRPr="009B22BF" w:rsidRDefault="007C5655" w:rsidP="007C5655">
      <w:pPr>
        <w:rPr>
          <w:b/>
          <w:bCs/>
          <w:sz w:val="40"/>
          <w:szCs w:val="40"/>
        </w:rPr>
      </w:pPr>
    </w:p>
    <w:p w14:paraId="78551E4C" w14:textId="77777777" w:rsidR="007C5655" w:rsidRDefault="007C5655" w:rsidP="007C5655">
      <w:pPr>
        <w:rPr>
          <w:b/>
          <w:bCs/>
          <w:sz w:val="28"/>
          <w:szCs w:val="28"/>
          <w:lang w:val="en-US"/>
        </w:rPr>
      </w:pPr>
      <w:r w:rsidRPr="009B22BF">
        <w:rPr>
          <w:b/>
          <w:bCs/>
          <w:sz w:val="28"/>
          <w:szCs w:val="28"/>
          <w:lang w:val="en-US"/>
        </w:rPr>
        <w:t>Default Rate on 30-year, Fixed-rate, Full-doc, Amortizing Loans</w:t>
      </w:r>
    </w:p>
    <w:tbl>
      <w:tblPr>
        <w:tblW w:w="9079" w:type="dxa"/>
        <w:tblLook w:val="04A0" w:firstRow="1" w:lastRow="0" w:firstColumn="1" w:lastColumn="0" w:noHBand="0" w:noVBand="1"/>
      </w:tblPr>
      <w:tblGrid>
        <w:gridCol w:w="1481"/>
        <w:gridCol w:w="1482"/>
        <w:gridCol w:w="1560"/>
        <w:gridCol w:w="1101"/>
        <w:gridCol w:w="1101"/>
        <w:gridCol w:w="1207"/>
        <w:gridCol w:w="1147"/>
      </w:tblGrid>
      <w:tr w:rsidR="007C5655" w:rsidRPr="009B22BF" w14:paraId="01646A13" w14:textId="77777777" w:rsidTr="00A01350">
        <w:trPr>
          <w:trHeight w:val="712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FFCC00"/>
            <w:hideMark/>
          </w:tcPr>
          <w:p w14:paraId="747852E0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  <w:t>Origination Year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47105296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  <w:t>Origination FICO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583D1E08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9B22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3BB5F512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  <w:t>LTV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4E87770D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9B22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8" w:space="0" w:color="FFFFFF"/>
              <w:right w:val="nil"/>
            </w:tcBorders>
            <w:shd w:val="clear" w:color="000000" w:fill="FFCC00"/>
            <w:hideMark/>
          </w:tcPr>
          <w:p w14:paraId="3DEEFA73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9B22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FFCC00"/>
            <w:hideMark/>
          </w:tcPr>
          <w:p w14:paraId="140AE79F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  <w:t>Total Average</w:t>
            </w:r>
          </w:p>
        </w:tc>
      </w:tr>
      <w:tr w:rsidR="007C5655" w:rsidRPr="009B22BF" w14:paraId="20DBD263" w14:textId="77777777" w:rsidTr="00A01350">
        <w:trPr>
          <w:trHeight w:val="347"/>
        </w:trPr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00"/>
            <w:hideMark/>
          </w:tcPr>
          <w:p w14:paraId="04460DEF" w14:textId="77777777" w:rsidR="007C5655" w:rsidRPr="009B22BF" w:rsidRDefault="007C5655" w:rsidP="00A01350">
            <w:pPr>
              <w:spacing w:line="240" w:lineRule="auto"/>
              <w:jc w:val="center"/>
              <w:rPr>
                <w:rFonts w:eastAsia="Times New Roman"/>
                <w:color w:val="000000"/>
                <w:sz w:val="2"/>
                <w:szCs w:val="2"/>
                <w:lang w:val="en-US"/>
              </w:rPr>
            </w:pPr>
            <w:r w:rsidRPr="009B22BF">
              <w:rPr>
                <w:rFonts w:eastAsia="Times New Roman"/>
                <w:color w:val="000000"/>
                <w:sz w:val="2"/>
                <w:szCs w:val="2"/>
                <w:lang w:val="en-US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CC00"/>
            <w:hideMark/>
          </w:tcPr>
          <w:p w14:paraId="0E9131B1" w14:textId="77777777" w:rsidR="007C5655" w:rsidRPr="009B22BF" w:rsidRDefault="007C5655" w:rsidP="00A01350">
            <w:pPr>
              <w:spacing w:line="240" w:lineRule="auto"/>
              <w:jc w:val="center"/>
              <w:rPr>
                <w:rFonts w:eastAsia="Times New Roman"/>
                <w:color w:val="000000"/>
                <w:sz w:val="2"/>
                <w:szCs w:val="2"/>
                <w:lang w:val="en-US"/>
              </w:rPr>
            </w:pPr>
            <w:r w:rsidRPr="009B22BF">
              <w:rPr>
                <w:rFonts w:eastAsia="Times New Roman"/>
                <w:color w:val="000000"/>
                <w:sz w:val="2"/>
                <w:szCs w:val="2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00"/>
            <w:hideMark/>
          </w:tcPr>
          <w:p w14:paraId="732C042F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SimSun" w:hAnsi="SimSu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SimSun" w:hAnsi="SimSun" w:cs="Calibri" w:hint="eastAsia"/>
                <w:b/>
                <w:bCs/>
                <w:color w:val="000000"/>
                <w:sz w:val="20"/>
                <w:szCs w:val="20"/>
                <w:lang w:val="en-US"/>
              </w:rPr>
              <w:t>≤70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FFCC00"/>
            <w:hideMark/>
          </w:tcPr>
          <w:p w14:paraId="7AA97870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  <w:t>70 to 80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FFCC00"/>
            <w:hideMark/>
          </w:tcPr>
          <w:p w14:paraId="527E4C5C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  <w:t>80 to 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000000" w:fill="FFCC00"/>
            <w:hideMark/>
          </w:tcPr>
          <w:p w14:paraId="52444002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  <w:t>&gt;90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00"/>
            <w:hideMark/>
          </w:tcPr>
          <w:p w14:paraId="1F587DB9" w14:textId="77777777" w:rsidR="007C5655" w:rsidRPr="009B22BF" w:rsidRDefault="007C5655" w:rsidP="00A01350">
            <w:pPr>
              <w:spacing w:line="240" w:lineRule="auto"/>
              <w:jc w:val="center"/>
              <w:rPr>
                <w:rFonts w:eastAsia="Times New Roman"/>
                <w:color w:val="000000"/>
                <w:sz w:val="2"/>
                <w:szCs w:val="2"/>
                <w:lang w:val="en-US"/>
              </w:rPr>
            </w:pPr>
            <w:r w:rsidRPr="009B22BF">
              <w:rPr>
                <w:rFonts w:eastAsia="Times New Roman"/>
                <w:color w:val="000000"/>
                <w:sz w:val="2"/>
                <w:szCs w:val="2"/>
                <w:lang w:val="en-US"/>
              </w:rPr>
              <w:t> </w:t>
            </w:r>
          </w:p>
        </w:tc>
      </w:tr>
      <w:tr w:rsidR="007C5655" w:rsidRPr="009B22BF" w14:paraId="62C96052" w14:textId="77777777" w:rsidTr="00A01350">
        <w:trPr>
          <w:trHeight w:val="347"/>
        </w:trPr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22F1F0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85316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≤700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5718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12.20%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2755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18.12%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CC34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3.54%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EF69" w14:textId="77777777" w:rsidR="007C5655" w:rsidRPr="009B22BF" w:rsidRDefault="007C5655" w:rsidP="00A0135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0.042393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672F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9.52%</w:t>
            </w:r>
          </w:p>
        </w:tc>
      </w:tr>
      <w:tr w:rsidR="007C5655" w:rsidRPr="009B22BF" w14:paraId="5FE60C50" w14:textId="77777777" w:rsidTr="00A01350">
        <w:trPr>
          <w:trHeight w:val="347"/>
        </w:trPr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81195B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  <w:t>2012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6A3A9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700 to 750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3794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7.32%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F08C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13.14%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0526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4.96%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57ED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6.41%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DFC3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7.96%</w:t>
            </w:r>
          </w:p>
        </w:tc>
      </w:tr>
      <w:tr w:rsidR="007C5655" w:rsidRPr="009B22BF" w14:paraId="162B0221" w14:textId="77777777" w:rsidTr="00A01350">
        <w:trPr>
          <w:trHeight w:val="347"/>
        </w:trPr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73360D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D5429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750 to 800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6EA7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6.40%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DAA1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11.75%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23C9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1.52%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B2EE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5.04%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374B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6.18%</w:t>
            </w:r>
          </w:p>
        </w:tc>
      </w:tr>
      <w:tr w:rsidR="007C5655" w:rsidRPr="009B22BF" w14:paraId="64BE8152" w14:textId="77777777" w:rsidTr="00A01350">
        <w:trPr>
          <w:trHeight w:val="347"/>
        </w:trPr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FD6337" w14:textId="77777777" w:rsidR="007C5655" w:rsidRPr="009B22BF" w:rsidRDefault="007C5655" w:rsidP="00A01350">
            <w:pPr>
              <w:spacing w:line="240" w:lineRule="auto"/>
              <w:jc w:val="center"/>
              <w:rPr>
                <w:rFonts w:eastAsia="Times New Roman"/>
                <w:color w:val="000000"/>
                <w:sz w:val="2"/>
                <w:szCs w:val="2"/>
                <w:lang w:val="en-US"/>
              </w:rPr>
            </w:pPr>
            <w:r w:rsidRPr="009B22BF">
              <w:rPr>
                <w:rFonts w:eastAsia="Times New Roman"/>
                <w:color w:val="000000"/>
                <w:sz w:val="2"/>
                <w:szCs w:val="2"/>
                <w:lang w:val="en-US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3E370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&gt;800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0AD8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1.89%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BB10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1.83%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304D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0.74%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CB7E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0.89%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9298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1.34%</w:t>
            </w:r>
          </w:p>
        </w:tc>
      </w:tr>
      <w:tr w:rsidR="007C5655" w:rsidRPr="009B22BF" w14:paraId="5FA66D5B" w14:textId="77777777" w:rsidTr="00A01350">
        <w:trPr>
          <w:trHeight w:val="590"/>
        </w:trPr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741827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hideMark/>
          </w:tcPr>
          <w:p w14:paraId="2FCF898E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Total </w:t>
            </w:r>
            <w:proofErr w:type="spellStart"/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Avgerage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7DCC9F4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6.95%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C3C6669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11.21%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431C301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2.69%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412D6C0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4.15%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1C57857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6.25%</w:t>
            </w:r>
          </w:p>
        </w:tc>
      </w:tr>
      <w:tr w:rsidR="007C5655" w:rsidRPr="009B22BF" w14:paraId="659C2554" w14:textId="77777777" w:rsidTr="00A01350">
        <w:trPr>
          <w:trHeight w:val="347"/>
        </w:trPr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BE2E67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6DFF0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≤700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CEB4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11.59%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CB66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12.23%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D335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3.19%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7936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4.39%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E81A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7.85%</w:t>
            </w:r>
          </w:p>
        </w:tc>
      </w:tr>
      <w:tr w:rsidR="007C5655" w:rsidRPr="009B22BF" w14:paraId="0435E645" w14:textId="77777777" w:rsidTr="00A01350">
        <w:trPr>
          <w:trHeight w:val="347"/>
        </w:trPr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50F955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  <w:t>2013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A0858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700 to 750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0956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9.15%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FB44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16.91%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1D11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5.65%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0C50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5.99%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2B8F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9.42%</w:t>
            </w:r>
          </w:p>
        </w:tc>
      </w:tr>
      <w:tr w:rsidR="007C5655" w:rsidRPr="009B22BF" w14:paraId="165B10E2" w14:textId="77777777" w:rsidTr="00A01350">
        <w:trPr>
          <w:trHeight w:val="347"/>
        </w:trPr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CF85F6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Gill Sans MT" w:eastAsia="Times New Roman" w:hAnsi="Gill Sans MT" w:cs="Calibri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2FE3E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750 to 800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5C21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6.47%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1C07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12.68%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21AC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3.01%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70E4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3.94%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B785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6.53%</w:t>
            </w:r>
          </w:p>
        </w:tc>
      </w:tr>
      <w:tr w:rsidR="007C5655" w:rsidRPr="009B22BF" w14:paraId="41C9D821" w14:textId="77777777" w:rsidTr="00A01350">
        <w:trPr>
          <w:trHeight w:val="347"/>
        </w:trPr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EA35DFB" w14:textId="77777777" w:rsidR="007C5655" w:rsidRPr="009B22BF" w:rsidRDefault="007C5655" w:rsidP="00A01350">
            <w:pPr>
              <w:spacing w:line="240" w:lineRule="auto"/>
              <w:jc w:val="center"/>
              <w:rPr>
                <w:rFonts w:eastAsia="Times New Roman"/>
                <w:color w:val="000000"/>
                <w:sz w:val="2"/>
                <w:szCs w:val="2"/>
                <w:lang w:val="en-US"/>
              </w:rPr>
            </w:pPr>
            <w:r w:rsidRPr="009B22BF">
              <w:rPr>
                <w:rFonts w:eastAsia="Times New Roman"/>
                <w:color w:val="000000"/>
                <w:sz w:val="2"/>
                <w:szCs w:val="2"/>
                <w:lang w:val="en-US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942A6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&gt;800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9354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1.92%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B9C1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2.32%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22D1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0.41%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6F96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0.16%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A829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1.20%</w:t>
            </w:r>
          </w:p>
        </w:tc>
      </w:tr>
      <w:tr w:rsidR="007C5655" w:rsidRPr="009B22BF" w14:paraId="75D38D50" w14:textId="77777777" w:rsidTr="00A01350">
        <w:trPr>
          <w:trHeight w:val="590"/>
        </w:trPr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753C68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14:paraId="679B5A7D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Total </w:t>
            </w:r>
            <w:proofErr w:type="spellStart"/>
            <w:r w:rsidRPr="009B2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Avgerage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DEB5F3A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7.28%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9B10A89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11.03%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7EE1B22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3.07%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493E0BD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3.62%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8217007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6.25%</w:t>
            </w:r>
          </w:p>
        </w:tc>
      </w:tr>
      <w:tr w:rsidR="007C5655" w:rsidRPr="009B22BF" w14:paraId="6EFA926A" w14:textId="77777777" w:rsidTr="00A01350">
        <w:trPr>
          <w:trHeight w:val="590"/>
        </w:trPr>
        <w:tc>
          <w:tcPr>
            <w:tcW w:w="2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FE12EEC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Total </w:t>
            </w:r>
            <w:proofErr w:type="spellStart"/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Avgerage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CD1ED21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7.12%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C82B2D9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11.12%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D1420F2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2.88%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840D655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3.88%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A6B3C71" w14:textId="77777777" w:rsidR="007C5655" w:rsidRPr="009B22BF" w:rsidRDefault="007C5655" w:rsidP="00A0135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2BF">
              <w:rPr>
                <w:rFonts w:ascii="Calibri" w:eastAsia="Times New Roman" w:hAnsi="Calibri" w:cs="Calibri"/>
                <w:color w:val="000000"/>
                <w:lang w:val="en-US"/>
              </w:rPr>
              <w:t>6.25%</w:t>
            </w:r>
          </w:p>
        </w:tc>
      </w:tr>
    </w:tbl>
    <w:p w14:paraId="1DCFE4C5" w14:textId="0C4F5909" w:rsidR="007C5655" w:rsidRPr="00C44EAC" w:rsidRDefault="00C44EAC" w:rsidP="007C5655">
      <w:pPr>
        <w:rPr>
          <w:sz w:val="20"/>
          <w:szCs w:val="20"/>
        </w:rPr>
      </w:pPr>
      <w:r w:rsidRPr="00FE4874">
        <w:rPr>
          <w:b/>
          <w:bCs/>
          <w:sz w:val="20"/>
          <w:szCs w:val="20"/>
        </w:rPr>
        <w:t xml:space="preserve">Note: </w:t>
      </w:r>
      <w:r w:rsidRPr="00FE4874">
        <w:rPr>
          <w:sz w:val="20"/>
          <w:szCs w:val="20"/>
        </w:rPr>
        <w:t xml:space="preserve">Fannie Mae loan level credit data includes loans originated from </w:t>
      </w:r>
      <w:r>
        <w:rPr>
          <w:sz w:val="20"/>
          <w:szCs w:val="20"/>
        </w:rPr>
        <w:t xml:space="preserve">Q3 </w:t>
      </w:r>
      <w:r w:rsidRPr="00FA1D90">
        <w:rPr>
          <w:sz w:val="20"/>
          <w:szCs w:val="20"/>
        </w:rPr>
        <w:t>2012</w:t>
      </w:r>
      <w:r w:rsidRPr="00FE4874">
        <w:rPr>
          <w:sz w:val="20"/>
          <w:szCs w:val="20"/>
        </w:rPr>
        <w:t xml:space="preserve"> to Q</w:t>
      </w:r>
      <w:r>
        <w:rPr>
          <w:sz w:val="20"/>
          <w:szCs w:val="20"/>
        </w:rPr>
        <w:t>1</w:t>
      </w:r>
      <w:r w:rsidRPr="00FE4874">
        <w:rPr>
          <w:sz w:val="20"/>
          <w:szCs w:val="20"/>
        </w:rPr>
        <w:t xml:space="preserve"> 20</w:t>
      </w:r>
      <w:r>
        <w:rPr>
          <w:sz w:val="20"/>
          <w:szCs w:val="20"/>
        </w:rPr>
        <w:t>18</w:t>
      </w:r>
      <w:r w:rsidRPr="00FE4874">
        <w:rPr>
          <w:sz w:val="20"/>
          <w:szCs w:val="20"/>
        </w:rPr>
        <w:t>. The percentages are weighted by origination</w:t>
      </w:r>
      <w:r>
        <w:rPr>
          <w:sz w:val="20"/>
          <w:szCs w:val="20"/>
        </w:rPr>
        <w:t xml:space="preserve"> </w:t>
      </w:r>
      <w:r w:rsidRPr="00FE4874">
        <w:rPr>
          <w:sz w:val="20"/>
          <w:szCs w:val="20"/>
        </w:rPr>
        <w:t>balance. The analysis included only mortgages with original terms of 241-420 months.</w:t>
      </w:r>
    </w:p>
    <w:p w14:paraId="4B882192" w14:textId="77777777" w:rsidR="007C5655" w:rsidRDefault="007C5655" w:rsidP="007C5655">
      <w:pPr>
        <w:rPr>
          <w:rFonts w:asciiTheme="minorHAnsi" w:hAnsiTheme="minorHAnsi"/>
        </w:rPr>
      </w:pPr>
    </w:p>
    <w:p w14:paraId="203BBBFF" w14:textId="1CFFD5BD" w:rsidR="007C5655" w:rsidRPr="00C44EAC" w:rsidRDefault="00C44EAC">
      <w:pPr>
        <w:rPr>
          <w:rFonts w:asciiTheme="minorHAnsi" w:hAnsiTheme="minorHAnsi"/>
          <w:sz w:val="28"/>
          <w:szCs w:val="28"/>
        </w:rPr>
      </w:pPr>
      <w:r w:rsidRPr="00C44EAC">
        <w:rPr>
          <w:rFonts w:asciiTheme="minorHAnsi" w:hAnsiTheme="minorHAnsi"/>
          <w:sz w:val="28"/>
          <w:szCs w:val="28"/>
        </w:rPr>
        <w:t>Originations from 20</w:t>
      </w:r>
      <w:r w:rsidR="00626C94">
        <w:rPr>
          <w:rFonts w:asciiTheme="minorHAnsi" w:hAnsiTheme="minorHAnsi"/>
          <w:sz w:val="28"/>
          <w:szCs w:val="28"/>
        </w:rPr>
        <w:t xml:space="preserve">12 </w:t>
      </w:r>
      <w:r w:rsidRPr="00C44EAC">
        <w:rPr>
          <w:rFonts w:asciiTheme="minorHAnsi" w:hAnsiTheme="minorHAnsi"/>
          <w:sz w:val="28"/>
          <w:szCs w:val="28"/>
        </w:rPr>
        <w:t xml:space="preserve">and later have pristine credit characteristics and a more favorable home price environment, contributing to </w:t>
      </w:r>
      <w:r w:rsidR="00626C94">
        <w:rPr>
          <w:rFonts w:asciiTheme="minorHAnsi" w:hAnsiTheme="minorHAnsi" w:hint="eastAsia"/>
          <w:sz w:val="28"/>
          <w:szCs w:val="28"/>
        </w:rPr>
        <w:t>the</w:t>
      </w:r>
      <w:r w:rsidRPr="00C44EAC">
        <w:rPr>
          <w:rFonts w:asciiTheme="minorHAnsi" w:hAnsiTheme="minorHAnsi"/>
          <w:sz w:val="28"/>
          <w:szCs w:val="28"/>
        </w:rPr>
        <w:t xml:space="preserve"> low default rates.</w:t>
      </w:r>
    </w:p>
    <w:p w14:paraId="2A6DADF7" w14:textId="01BCCADB" w:rsidR="00DD57A5" w:rsidRDefault="00735869">
      <w:r>
        <w:t xml:space="preserve"> </w:t>
      </w:r>
    </w:p>
    <w:p w14:paraId="400E82F8" w14:textId="66B33C70" w:rsidR="00BD4DC1" w:rsidRPr="00BD4DC1" w:rsidRDefault="00BD4DC1">
      <w:pPr>
        <w:rPr>
          <w:b/>
          <w:bCs/>
          <w:color w:val="1F497D" w:themeColor="text2"/>
          <w:sz w:val="24"/>
          <w:szCs w:val="24"/>
        </w:rPr>
      </w:pPr>
      <w:r w:rsidRPr="00A524B9">
        <w:rPr>
          <w:b/>
          <w:bCs/>
          <w:color w:val="1F497D" w:themeColor="text2"/>
          <w:sz w:val="24"/>
          <w:szCs w:val="24"/>
        </w:rPr>
        <w:t>SPECIAL FEATURE</w:t>
      </w:r>
      <w:r>
        <w:rPr>
          <w:b/>
          <w:bCs/>
          <w:color w:val="1F497D" w:themeColor="text2"/>
          <w:sz w:val="24"/>
          <w:szCs w:val="24"/>
        </w:rPr>
        <w:t xml:space="preserve"> </w:t>
      </w:r>
    </w:p>
    <w:p w14:paraId="15501EB5" w14:textId="0775DA92" w:rsidR="00BD4DC1" w:rsidRDefault="00BD4DC1">
      <w:pPr>
        <w:rPr>
          <w:b/>
          <w:bCs/>
          <w:sz w:val="40"/>
          <w:szCs w:val="40"/>
        </w:rPr>
      </w:pPr>
      <w:r w:rsidRPr="00BD4DC1">
        <w:rPr>
          <w:b/>
          <w:bCs/>
          <w:sz w:val="40"/>
          <w:szCs w:val="40"/>
        </w:rPr>
        <w:t>LOSS SEVERITY</w:t>
      </w:r>
    </w:p>
    <w:p w14:paraId="75B3E022" w14:textId="122D0977" w:rsidR="00DA7DB3" w:rsidRDefault="00DA7DB3">
      <w:pPr>
        <w:rPr>
          <w:b/>
          <w:bCs/>
          <w:sz w:val="40"/>
          <w:szCs w:val="40"/>
        </w:rPr>
      </w:pPr>
    </w:p>
    <w:p w14:paraId="64D0D293" w14:textId="192F77AE" w:rsidR="0076192A" w:rsidRDefault="00521FA1">
      <w:r>
        <w:rPr>
          <w:noProof/>
        </w:rPr>
        <w:drawing>
          <wp:inline distT="0" distB="0" distL="0" distR="0" wp14:anchorId="08691B08" wp14:editId="3AD24082">
            <wp:extent cx="5391150" cy="339039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63" t="3419" r="4647"/>
                    <a:stretch/>
                  </pic:blipFill>
                  <pic:spPr bwMode="auto">
                    <a:xfrm>
                      <a:off x="0" y="0"/>
                      <a:ext cx="5419870" cy="3408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1FA1">
        <w:t xml:space="preserve"> </w:t>
      </w:r>
    </w:p>
    <w:p w14:paraId="6EA0868B" w14:textId="1C8BF7E1" w:rsidR="00521FA1" w:rsidRDefault="00521FA1" w:rsidP="00521FA1">
      <w:pPr>
        <w:rPr>
          <w:sz w:val="20"/>
          <w:szCs w:val="20"/>
        </w:rPr>
      </w:pPr>
      <w:r w:rsidRPr="00FE4874">
        <w:rPr>
          <w:b/>
          <w:bCs/>
          <w:sz w:val="20"/>
          <w:szCs w:val="20"/>
        </w:rPr>
        <w:t xml:space="preserve">Note: </w:t>
      </w:r>
      <w:r w:rsidRPr="00FE4874">
        <w:rPr>
          <w:sz w:val="20"/>
          <w:szCs w:val="20"/>
        </w:rPr>
        <w:t xml:space="preserve">Fannie Mae loan level credit data includes loans originated from </w:t>
      </w:r>
      <w:r>
        <w:rPr>
          <w:sz w:val="20"/>
          <w:szCs w:val="20"/>
        </w:rPr>
        <w:t>loan age from 2 to 80</w:t>
      </w:r>
      <w:r w:rsidRPr="00FE4874">
        <w:rPr>
          <w:sz w:val="20"/>
          <w:szCs w:val="20"/>
        </w:rPr>
        <w:t xml:space="preserve">. The percentages are weighted </w:t>
      </w:r>
      <w:r>
        <w:rPr>
          <w:sz w:val="20"/>
          <w:szCs w:val="20"/>
        </w:rPr>
        <w:t xml:space="preserve">by </w:t>
      </w:r>
      <w:r>
        <w:rPr>
          <w:rFonts w:hint="eastAsia"/>
          <w:sz w:val="20"/>
          <w:szCs w:val="20"/>
        </w:rPr>
        <w:t>original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balance</w:t>
      </w:r>
      <w:r>
        <w:rPr>
          <w:rFonts w:hint="eastAsia"/>
          <w:sz w:val="20"/>
          <w:szCs w:val="20"/>
        </w:rPr>
        <w:t xml:space="preserve"> a</w:t>
      </w:r>
      <w:r>
        <w:rPr>
          <w:sz w:val="20"/>
          <w:szCs w:val="20"/>
        </w:rPr>
        <w:t>nd the data are for each quarter.</w:t>
      </w:r>
    </w:p>
    <w:p w14:paraId="4D0F1A43" w14:textId="77777777" w:rsidR="00521FA1" w:rsidRDefault="00521FA1">
      <w:pPr>
        <w:rPr>
          <w:b/>
          <w:bCs/>
          <w:sz w:val="40"/>
          <w:szCs w:val="40"/>
        </w:rPr>
      </w:pPr>
    </w:p>
    <w:p w14:paraId="2986C174" w14:textId="61D1177F" w:rsidR="0076192A" w:rsidRDefault="00521FA1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AEC1B6" wp14:editId="23C178F6">
            <wp:extent cx="5599869" cy="32385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61" t="3510"/>
                    <a:stretch/>
                  </pic:blipFill>
                  <pic:spPr bwMode="auto">
                    <a:xfrm>
                      <a:off x="0" y="0"/>
                      <a:ext cx="5619874" cy="325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2981E" w14:textId="77777777" w:rsidR="00521FA1" w:rsidRDefault="00521FA1" w:rsidP="00521FA1">
      <w:pPr>
        <w:rPr>
          <w:sz w:val="20"/>
          <w:szCs w:val="20"/>
        </w:rPr>
      </w:pPr>
      <w:r w:rsidRPr="00FE4874">
        <w:rPr>
          <w:b/>
          <w:bCs/>
          <w:sz w:val="20"/>
          <w:szCs w:val="20"/>
        </w:rPr>
        <w:t xml:space="preserve">Note: </w:t>
      </w:r>
      <w:r w:rsidRPr="00FE4874">
        <w:rPr>
          <w:sz w:val="20"/>
          <w:szCs w:val="20"/>
        </w:rPr>
        <w:t xml:space="preserve">Fannie Mae loan level credit data includes loans originated from </w:t>
      </w:r>
      <w:r>
        <w:rPr>
          <w:sz w:val="20"/>
          <w:szCs w:val="20"/>
        </w:rPr>
        <w:t>loan age from 2 to 80</w:t>
      </w:r>
      <w:r w:rsidRPr="00FE4874">
        <w:rPr>
          <w:sz w:val="20"/>
          <w:szCs w:val="20"/>
        </w:rPr>
        <w:t xml:space="preserve">. The percentages are weighted </w:t>
      </w:r>
      <w:r>
        <w:rPr>
          <w:sz w:val="20"/>
          <w:szCs w:val="20"/>
        </w:rPr>
        <w:t xml:space="preserve">by </w:t>
      </w:r>
      <w:r>
        <w:rPr>
          <w:rFonts w:hint="eastAsia"/>
          <w:sz w:val="20"/>
          <w:szCs w:val="20"/>
        </w:rPr>
        <w:t>original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balance a</w:t>
      </w:r>
      <w:r>
        <w:rPr>
          <w:sz w:val="20"/>
          <w:szCs w:val="20"/>
        </w:rPr>
        <w:t>nd the data are for each quarter.</w:t>
      </w:r>
    </w:p>
    <w:p w14:paraId="2D7F3AE1" w14:textId="77777777" w:rsidR="00521FA1" w:rsidRPr="00521FA1" w:rsidRDefault="00521FA1">
      <w:pPr>
        <w:rPr>
          <w:rFonts w:asciiTheme="minorHAnsi" w:hAnsiTheme="minorHAnsi"/>
        </w:rPr>
      </w:pPr>
    </w:p>
    <w:p w14:paraId="48154062" w14:textId="24F96A70" w:rsidR="00521FA1" w:rsidRDefault="00FC258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hint="eastAsia"/>
          <w:sz w:val="28"/>
          <w:szCs w:val="28"/>
        </w:rPr>
        <w:t>T</w:t>
      </w:r>
      <w:r w:rsidR="00521FA1" w:rsidRPr="00521FA1">
        <w:rPr>
          <w:rFonts w:asciiTheme="minorHAnsi" w:hAnsiTheme="minorHAnsi"/>
          <w:sz w:val="28"/>
          <w:szCs w:val="28"/>
        </w:rPr>
        <w:t>he density distribution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 w:hint="eastAsia"/>
          <w:sz w:val="28"/>
          <w:szCs w:val="28"/>
        </w:rPr>
        <w:t>indicates</w:t>
      </w:r>
      <w:r>
        <w:rPr>
          <w:rFonts w:asciiTheme="minorHAnsi" w:hAnsiTheme="minorHAnsi"/>
          <w:sz w:val="28"/>
          <w:szCs w:val="28"/>
        </w:rPr>
        <w:t xml:space="preserve"> </w:t>
      </w:r>
      <w:r w:rsidR="00521FA1" w:rsidRPr="00521FA1">
        <w:rPr>
          <w:rFonts w:asciiTheme="minorHAnsi" w:hAnsiTheme="minorHAnsi"/>
          <w:sz w:val="28"/>
          <w:szCs w:val="28"/>
        </w:rPr>
        <w:t>that majority of loans has recovery range between 0% to 100%</w:t>
      </w:r>
      <w:r w:rsidR="009243F6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and the mean value is 28.01%.</w:t>
      </w:r>
    </w:p>
    <w:p w14:paraId="3F01F6CE" w14:textId="6DABAF11" w:rsidR="00521FA1" w:rsidRPr="00521FA1" w:rsidRDefault="00521FA1">
      <w:pPr>
        <w:rPr>
          <w:rFonts w:asciiTheme="minorHAnsi" w:hAnsiTheme="minorHAnsi"/>
          <w:sz w:val="28"/>
          <w:szCs w:val="28"/>
        </w:rPr>
      </w:pPr>
    </w:p>
    <w:p w14:paraId="733D6A16" w14:textId="6602962E" w:rsidR="00BD4DC1" w:rsidRDefault="00BD4DC1">
      <w:pPr>
        <w:rPr>
          <w:b/>
          <w:bCs/>
          <w:sz w:val="28"/>
          <w:szCs w:val="28"/>
          <w:lang w:val="en-US"/>
        </w:rPr>
      </w:pPr>
      <w:r w:rsidRPr="00BD4DC1">
        <w:rPr>
          <w:b/>
          <w:bCs/>
          <w:sz w:val="28"/>
          <w:szCs w:val="28"/>
          <w:lang w:val="en-US"/>
        </w:rPr>
        <w:t>Freddie Mac - Liquidation Rates and Severities for D180+ loans</w:t>
      </w:r>
    </w:p>
    <w:p w14:paraId="7E5FEB24" w14:textId="77777777" w:rsidR="00304773" w:rsidRDefault="00304773" w:rsidP="00875FC2">
      <w:pPr>
        <w:rPr>
          <w:b/>
          <w:bCs/>
          <w:sz w:val="20"/>
          <w:szCs w:val="20"/>
        </w:rPr>
      </w:pPr>
    </w:p>
    <w:tbl>
      <w:tblPr>
        <w:tblW w:w="9755" w:type="dxa"/>
        <w:tblLook w:val="04A0" w:firstRow="1" w:lastRow="0" w:firstColumn="1" w:lastColumn="0" w:noHBand="0" w:noVBand="1"/>
      </w:tblPr>
      <w:tblGrid>
        <w:gridCol w:w="1220"/>
        <w:gridCol w:w="551"/>
        <w:gridCol w:w="589"/>
        <w:gridCol w:w="1294"/>
        <w:gridCol w:w="1164"/>
        <w:gridCol w:w="1164"/>
        <w:gridCol w:w="1294"/>
        <w:gridCol w:w="875"/>
        <w:gridCol w:w="875"/>
        <w:gridCol w:w="1294"/>
      </w:tblGrid>
      <w:tr w:rsidR="00304773" w:rsidRPr="00304773" w14:paraId="6BEB5219" w14:textId="77777777" w:rsidTr="00304773">
        <w:trPr>
          <w:trHeight w:val="272"/>
        </w:trPr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D6FEB13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Origination Year</w:t>
            </w:r>
          </w:p>
        </w:tc>
        <w:tc>
          <w:tcPr>
            <w:tcW w:w="2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vAlign w:val="bottom"/>
            <w:hideMark/>
          </w:tcPr>
          <w:p w14:paraId="299A16D7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Number of Loans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vAlign w:val="bottom"/>
            <w:hideMark/>
          </w:tcPr>
          <w:p w14:paraId="176AEEE7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Mean defaulted UPB ($)</w:t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vAlign w:val="bottom"/>
            <w:hideMark/>
          </w:tcPr>
          <w:p w14:paraId="7C5BE19E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Severity</w:t>
            </w:r>
          </w:p>
        </w:tc>
      </w:tr>
      <w:tr w:rsidR="00304773" w:rsidRPr="00304773" w14:paraId="5AAC42F3" w14:textId="77777777" w:rsidTr="00304773">
        <w:trPr>
          <w:trHeight w:val="545"/>
        </w:trPr>
        <w:tc>
          <w:tcPr>
            <w:tcW w:w="10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B971E8" w14:textId="77777777" w:rsidR="00304773" w:rsidRPr="00304773" w:rsidRDefault="00304773" w:rsidP="003047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14:paraId="0E53AF9F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14:paraId="3B850E2D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REO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A7D9CA6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Foreclosure Alternatives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14:paraId="3FEF975F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 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14:paraId="658EF625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REO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885D317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Foreclosure Alternatives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14:paraId="00FFF78B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14:paraId="76C84F55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REO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D9866CA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Foreclosure Alternatives</w:t>
            </w:r>
          </w:p>
        </w:tc>
      </w:tr>
      <w:tr w:rsidR="00304773" w:rsidRPr="00304773" w14:paraId="5752F8F5" w14:textId="77777777" w:rsidTr="00304773">
        <w:trPr>
          <w:trHeight w:val="272"/>
        </w:trPr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14FF4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2012</w:t>
            </w: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4F7CA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118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2EA68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77273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E5104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149442.16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6B284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137298.74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B1DF0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162437.74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859F1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26.89%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F545E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38.07%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48C30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15.29%</w:t>
            </w:r>
          </w:p>
        </w:tc>
      </w:tr>
      <w:tr w:rsidR="00304773" w:rsidRPr="00304773" w14:paraId="4CCC0C7D" w14:textId="77777777" w:rsidTr="00304773">
        <w:trPr>
          <w:trHeight w:val="272"/>
        </w:trPr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5C1F2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2013</w:t>
            </w: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E2CD1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A27D7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94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73BC0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BE3A9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145072.86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972A2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150173.36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F7915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140549.78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4F85D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28.67%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8EA8A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34.96%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A9969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23.01%</w:t>
            </w:r>
          </w:p>
        </w:tc>
      </w:tr>
      <w:tr w:rsidR="00304773" w:rsidRPr="00304773" w14:paraId="737B0FEB" w14:textId="77777777" w:rsidTr="00304773">
        <w:trPr>
          <w:trHeight w:val="272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07EBDB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EFFF3D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318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1F6FFF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86340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163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A47160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147257.51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9E7C12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143736.05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A6C52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151493.76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EA5EF5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27.78%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499654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36.52%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8C646" w14:textId="77777777" w:rsidR="00304773" w:rsidRPr="00304773" w:rsidRDefault="00304773" w:rsidP="003047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4773">
              <w:rPr>
                <w:rFonts w:ascii="Calibri" w:eastAsia="Times New Roman" w:hAnsi="Calibri" w:cs="Calibri"/>
                <w:color w:val="000000"/>
                <w:lang w:val="en-US"/>
              </w:rPr>
              <w:t>19.15%</w:t>
            </w:r>
          </w:p>
        </w:tc>
      </w:tr>
    </w:tbl>
    <w:p w14:paraId="0759D4F3" w14:textId="77777777" w:rsidR="00304773" w:rsidRDefault="00304773" w:rsidP="00875FC2">
      <w:pPr>
        <w:rPr>
          <w:b/>
          <w:bCs/>
          <w:sz w:val="20"/>
          <w:szCs w:val="20"/>
        </w:rPr>
      </w:pPr>
    </w:p>
    <w:p w14:paraId="3F76D34C" w14:textId="40CCAEC7" w:rsidR="00BD4DC1" w:rsidRPr="00875FC2" w:rsidRDefault="00875FC2" w:rsidP="00875FC2">
      <w:pPr>
        <w:rPr>
          <w:sz w:val="20"/>
          <w:szCs w:val="20"/>
        </w:rPr>
      </w:pPr>
      <w:r w:rsidRPr="00875FC2">
        <w:rPr>
          <w:b/>
          <w:bCs/>
          <w:sz w:val="20"/>
          <w:szCs w:val="20"/>
        </w:rPr>
        <w:t>Note:</w:t>
      </w:r>
      <w:r w:rsidRPr="00875FC2">
        <w:rPr>
          <w:sz w:val="20"/>
          <w:szCs w:val="20"/>
        </w:rPr>
        <w:t xml:space="preserve"> Freddie Mac</w:t>
      </w:r>
      <w:r w:rsidRPr="00875FC2">
        <w:rPr>
          <w:sz w:val="20"/>
          <w:szCs w:val="20"/>
        </w:rPr>
        <w:t xml:space="preserve"> </w:t>
      </w:r>
      <w:r w:rsidRPr="00875FC2">
        <w:rPr>
          <w:sz w:val="20"/>
          <w:szCs w:val="20"/>
        </w:rPr>
        <w:t>loan level credit data includes loans originated from Q</w:t>
      </w:r>
      <w:r>
        <w:rPr>
          <w:sz w:val="20"/>
          <w:szCs w:val="20"/>
        </w:rPr>
        <w:t>3</w:t>
      </w:r>
      <w:r w:rsidRPr="00875FC2">
        <w:rPr>
          <w:sz w:val="20"/>
          <w:szCs w:val="20"/>
        </w:rPr>
        <w:t xml:space="preserve"> </w:t>
      </w:r>
      <w:r>
        <w:rPr>
          <w:sz w:val="20"/>
          <w:szCs w:val="20"/>
        </w:rPr>
        <w:t>2012</w:t>
      </w:r>
      <w:r w:rsidRPr="00875FC2">
        <w:rPr>
          <w:sz w:val="20"/>
          <w:szCs w:val="20"/>
        </w:rPr>
        <w:t xml:space="preserve"> to Q</w:t>
      </w:r>
      <w:r>
        <w:rPr>
          <w:sz w:val="20"/>
          <w:szCs w:val="20"/>
        </w:rPr>
        <w:t>1</w:t>
      </w:r>
      <w:r w:rsidRPr="00875FC2">
        <w:rPr>
          <w:sz w:val="20"/>
          <w:szCs w:val="20"/>
        </w:rPr>
        <w:t xml:space="preserve"> 201</w:t>
      </w:r>
      <w:r w:rsidR="00B258AF">
        <w:rPr>
          <w:sz w:val="20"/>
          <w:szCs w:val="20"/>
        </w:rPr>
        <w:t>8</w:t>
      </w:r>
      <w:r w:rsidRPr="00875FC2">
        <w:rPr>
          <w:sz w:val="20"/>
          <w:szCs w:val="20"/>
        </w:rPr>
        <w:t>, with performance information on these</w:t>
      </w:r>
      <w:r>
        <w:rPr>
          <w:sz w:val="20"/>
          <w:szCs w:val="20"/>
        </w:rPr>
        <w:t xml:space="preserve"> </w:t>
      </w:r>
      <w:r w:rsidRPr="00875FC2">
        <w:rPr>
          <w:sz w:val="20"/>
          <w:szCs w:val="20"/>
        </w:rPr>
        <w:t>loans through Q</w:t>
      </w:r>
      <w:r w:rsidR="00B258AF">
        <w:rPr>
          <w:sz w:val="20"/>
          <w:szCs w:val="20"/>
        </w:rPr>
        <w:t xml:space="preserve">4 </w:t>
      </w:r>
      <w:r w:rsidRPr="00875FC2">
        <w:rPr>
          <w:sz w:val="20"/>
          <w:szCs w:val="20"/>
        </w:rPr>
        <w:t>201</w:t>
      </w:r>
      <w:r w:rsidR="00B258AF">
        <w:rPr>
          <w:sz w:val="20"/>
          <w:szCs w:val="20"/>
        </w:rPr>
        <w:t>9</w:t>
      </w:r>
      <w:r>
        <w:rPr>
          <w:sz w:val="20"/>
          <w:szCs w:val="20"/>
        </w:rPr>
        <w:t>.</w:t>
      </w:r>
    </w:p>
    <w:p w14:paraId="045260E1" w14:textId="77777777" w:rsidR="00BD4DC1" w:rsidRPr="00BD4DC1" w:rsidRDefault="00BD4DC1">
      <w:pPr>
        <w:rPr>
          <w:b/>
          <w:bCs/>
          <w:sz w:val="28"/>
          <w:szCs w:val="28"/>
          <w:lang w:val="en-US"/>
        </w:rPr>
      </w:pPr>
    </w:p>
    <w:p w14:paraId="70491FC7" w14:textId="5BED2836" w:rsidR="009B22BF" w:rsidRPr="00304773" w:rsidRDefault="00304773" w:rsidP="00304773">
      <w:pPr>
        <w:rPr>
          <w:rFonts w:asciiTheme="minorHAnsi" w:hAnsiTheme="minorHAnsi"/>
          <w:sz w:val="28"/>
          <w:szCs w:val="28"/>
        </w:rPr>
      </w:pPr>
      <w:r w:rsidRPr="00304773">
        <w:rPr>
          <w:rFonts w:asciiTheme="minorHAnsi" w:hAnsiTheme="minorHAnsi"/>
          <w:sz w:val="28"/>
          <w:szCs w:val="28"/>
        </w:rPr>
        <w:t xml:space="preserve">The table shows the severity of Freddie loans that have liquidated, broken down by liquidation channel and vintage year. Foreclosure alternatives, including short sales, note sales, and </w:t>
      </w:r>
      <w:r w:rsidRPr="00304773">
        <w:rPr>
          <w:rFonts w:asciiTheme="minorHAnsi" w:hAnsiTheme="minorHAnsi"/>
          <w:sz w:val="28"/>
          <w:szCs w:val="28"/>
        </w:rPr>
        <w:t>third-party</w:t>
      </w:r>
      <w:r w:rsidRPr="00304773">
        <w:rPr>
          <w:rFonts w:asciiTheme="minorHAnsi" w:hAnsiTheme="minorHAnsi"/>
          <w:sz w:val="28"/>
          <w:szCs w:val="28"/>
        </w:rPr>
        <w:t xml:space="preserve"> sales have higher defaulted unpaid principal balance (UPB) and much lower loss severities than REO sales. </w:t>
      </w:r>
      <w:r>
        <w:rPr>
          <w:rFonts w:asciiTheme="minorHAnsi" w:hAnsiTheme="minorHAnsi"/>
          <w:sz w:val="28"/>
          <w:szCs w:val="28"/>
        </w:rPr>
        <w:t xml:space="preserve"> </w:t>
      </w:r>
    </w:p>
    <w:sectPr w:rsidR="009B22BF" w:rsidRPr="003047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7A5"/>
    <w:rsid w:val="0003158E"/>
    <w:rsid w:val="000675B5"/>
    <w:rsid w:val="001555D2"/>
    <w:rsid w:val="00185354"/>
    <w:rsid w:val="001A618A"/>
    <w:rsid w:val="002307D8"/>
    <w:rsid w:val="0027585E"/>
    <w:rsid w:val="002C09F5"/>
    <w:rsid w:val="002D3BA0"/>
    <w:rsid w:val="00304773"/>
    <w:rsid w:val="00323782"/>
    <w:rsid w:val="00335CB7"/>
    <w:rsid w:val="00365267"/>
    <w:rsid w:val="00370E1B"/>
    <w:rsid w:val="0039103E"/>
    <w:rsid w:val="003B15BD"/>
    <w:rsid w:val="003E0FA0"/>
    <w:rsid w:val="0042132A"/>
    <w:rsid w:val="004528A4"/>
    <w:rsid w:val="00467AD0"/>
    <w:rsid w:val="00467AD5"/>
    <w:rsid w:val="00496171"/>
    <w:rsid w:val="00513364"/>
    <w:rsid w:val="00517448"/>
    <w:rsid w:val="00521FA1"/>
    <w:rsid w:val="00540389"/>
    <w:rsid w:val="00544357"/>
    <w:rsid w:val="0055579C"/>
    <w:rsid w:val="00575E5D"/>
    <w:rsid w:val="005C11AC"/>
    <w:rsid w:val="005C70E9"/>
    <w:rsid w:val="00626C94"/>
    <w:rsid w:val="00686DBF"/>
    <w:rsid w:val="00693137"/>
    <w:rsid w:val="006E0156"/>
    <w:rsid w:val="00716372"/>
    <w:rsid w:val="00735869"/>
    <w:rsid w:val="0076192A"/>
    <w:rsid w:val="007B0CB5"/>
    <w:rsid w:val="007C5655"/>
    <w:rsid w:val="007E492F"/>
    <w:rsid w:val="00832CB4"/>
    <w:rsid w:val="00856271"/>
    <w:rsid w:val="00875FC2"/>
    <w:rsid w:val="00882D4B"/>
    <w:rsid w:val="008D1B03"/>
    <w:rsid w:val="008F5051"/>
    <w:rsid w:val="009243F6"/>
    <w:rsid w:val="009B22BF"/>
    <w:rsid w:val="009C2878"/>
    <w:rsid w:val="009F61E8"/>
    <w:rsid w:val="00A524B9"/>
    <w:rsid w:val="00A56854"/>
    <w:rsid w:val="00AD3559"/>
    <w:rsid w:val="00B00FA2"/>
    <w:rsid w:val="00B258AF"/>
    <w:rsid w:val="00B440BB"/>
    <w:rsid w:val="00B53DDE"/>
    <w:rsid w:val="00B55CD5"/>
    <w:rsid w:val="00B631B4"/>
    <w:rsid w:val="00B66490"/>
    <w:rsid w:val="00BD4DC1"/>
    <w:rsid w:val="00BE156E"/>
    <w:rsid w:val="00C2427E"/>
    <w:rsid w:val="00C2760A"/>
    <w:rsid w:val="00C44EAC"/>
    <w:rsid w:val="00C73B80"/>
    <w:rsid w:val="00C825FC"/>
    <w:rsid w:val="00CA2E9A"/>
    <w:rsid w:val="00D15BD1"/>
    <w:rsid w:val="00D25489"/>
    <w:rsid w:val="00D44A77"/>
    <w:rsid w:val="00D573C8"/>
    <w:rsid w:val="00D76B5A"/>
    <w:rsid w:val="00D86161"/>
    <w:rsid w:val="00DA59F3"/>
    <w:rsid w:val="00DA7DB3"/>
    <w:rsid w:val="00DA7FF0"/>
    <w:rsid w:val="00DD57A5"/>
    <w:rsid w:val="00E2163A"/>
    <w:rsid w:val="00EB58D1"/>
    <w:rsid w:val="00ED5E15"/>
    <w:rsid w:val="00FA1D90"/>
    <w:rsid w:val="00FA5BCE"/>
    <w:rsid w:val="00FA5C97"/>
    <w:rsid w:val="00FC2587"/>
    <w:rsid w:val="00FD404A"/>
    <w:rsid w:val="00FD4262"/>
    <w:rsid w:val="00FD779A"/>
    <w:rsid w:val="00FE4874"/>
    <w:rsid w:val="00F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9278"/>
  <w15:docId w15:val="{004FE42D-5DF1-4FA4-B1A7-8DFCA937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Paragraph">
    <w:name w:val="Table Paragraph"/>
    <w:basedOn w:val="Normal"/>
    <w:uiPriority w:val="1"/>
    <w:qFormat/>
    <w:rsid w:val="00575E5D"/>
    <w:pPr>
      <w:widowControl w:val="0"/>
      <w:autoSpaceDE w:val="0"/>
      <w:autoSpaceDN w:val="0"/>
      <w:spacing w:line="240" w:lineRule="auto"/>
      <w:jc w:val="center"/>
    </w:pPr>
    <w:rPr>
      <w:rFonts w:ascii="Tahoma" w:eastAsia="Tahoma" w:hAnsi="Tahoma" w:cs="Tahoma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A7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image" Target="media/image4.png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bo-ASUS\Desktop\year_book_20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bo-ASUS\Desktop\year_book_201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randdie%20Mea\fuck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randdie%20Mea\fuck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randdie%20Mea\fuck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randdie%20Mea\fuck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bo-ASUS\Desktop\year_book_201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487229961639411"/>
          <c:y val="5.4173848805712882E-2"/>
          <c:w val="0.6752981358099468"/>
          <c:h val="0.69015311771081567"/>
        </c:manualLayout>
      </c:layout>
      <c:lineChart>
        <c:grouping val="standard"/>
        <c:varyColors val="0"/>
        <c:ser>
          <c:idx val="1"/>
          <c:order val="0"/>
          <c:tx>
            <c:strRef>
              <c:f>Sheet12!$B$1</c:f>
              <c:strCache>
                <c:ptCount val="1"/>
                <c:pt idx="0">
                  <c:v>Pool Factor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Sheet12!$A$2:$A$80</c:f>
              <c:numCache>
                <c:formatCode>General</c:formatCode>
                <c:ptCount val="7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</c:numCache>
            </c:numRef>
          </c:cat>
          <c:val>
            <c:numRef>
              <c:f>Sheet12!$B$2:$B$80</c:f>
              <c:numCache>
                <c:formatCode>0.00%</c:formatCode>
                <c:ptCount val="79"/>
                <c:pt idx="0">
                  <c:v>1</c:v>
                </c:pt>
                <c:pt idx="1">
                  <c:v>0.99538195999588297</c:v>
                </c:pt>
                <c:pt idx="2">
                  <c:v>0.98942171790626898</c:v>
                </c:pt>
                <c:pt idx="3">
                  <c:v>0.98168346826452901</c:v>
                </c:pt>
                <c:pt idx="4">
                  <c:v>0.97443177265409597</c:v>
                </c:pt>
                <c:pt idx="5">
                  <c:v>0.96822714060952797</c:v>
                </c:pt>
                <c:pt idx="6">
                  <c:v>0.96254388136704905</c:v>
                </c:pt>
                <c:pt idx="7">
                  <c:v>0.95716723795691405</c:v>
                </c:pt>
                <c:pt idx="8">
                  <c:v>0.95169391700014805</c:v>
                </c:pt>
                <c:pt idx="9">
                  <c:v>0.94614151749666597</c:v>
                </c:pt>
                <c:pt idx="10">
                  <c:v>0.94088997692280096</c:v>
                </c:pt>
                <c:pt idx="11">
                  <c:v>0.93570733037003995</c:v>
                </c:pt>
                <c:pt idx="12">
                  <c:v>0.93018961483334195</c:v>
                </c:pt>
                <c:pt idx="13">
                  <c:v>0.924003492789226</c:v>
                </c:pt>
                <c:pt idx="14">
                  <c:v>0.916889541568498</c:v>
                </c:pt>
                <c:pt idx="15">
                  <c:v>0.90959376154595595</c:v>
                </c:pt>
                <c:pt idx="16">
                  <c:v>0.90334160155749499</c:v>
                </c:pt>
                <c:pt idx="17">
                  <c:v>0.89710772044091402</c:v>
                </c:pt>
                <c:pt idx="18">
                  <c:v>0.89162968493765904</c:v>
                </c:pt>
                <c:pt idx="19">
                  <c:v>0.884906646534246</c:v>
                </c:pt>
                <c:pt idx="20">
                  <c:v>0.87787233627949202</c:v>
                </c:pt>
                <c:pt idx="21">
                  <c:v>0.87137854668743397</c:v>
                </c:pt>
                <c:pt idx="22">
                  <c:v>0.86645199828644703</c:v>
                </c:pt>
                <c:pt idx="23">
                  <c:v>0.86069779528163004</c:v>
                </c:pt>
                <c:pt idx="24">
                  <c:v>0.85389207774105302</c:v>
                </c:pt>
                <c:pt idx="25">
                  <c:v>0.84536228366080501</c:v>
                </c:pt>
                <c:pt idx="26">
                  <c:v>0.83677469220456202</c:v>
                </c:pt>
                <c:pt idx="27">
                  <c:v>0.83023352821840302</c:v>
                </c:pt>
                <c:pt idx="28">
                  <c:v>0.82251943028901897</c:v>
                </c:pt>
                <c:pt idx="29">
                  <c:v>0.81511863241017102</c:v>
                </c:pt>
                <c:pt idx="30">
                  <c:v>0.80723905452077804</c:v>
                </c:pt>
                <c:pt idx="31">
                  <c:v>0.799469560906372</c:v>
                </c:pt>
                <c:pt idx="32">
                  <c:v>0.79194326310674201</c:v>
                </c:pt>
                <c:pt idx="33">
                  <c:v>0.78477647444885301</c:v>
                </c:pt>
                <c:pt idx="34">
                  <c:v>0.77813222853696795</c:v>
                </c:pt>
                <c:pt idx="35">
                  <c:v>0.77086721017465099</c:v>
                </c:pt>
                <c:pt idx="36">
                  <c:v>0.76310492377643702</c:v>
                </c:pt>
                <c:pt idx="37">
                  <c:v>0.75434793303904002</c:v>
                </c:pt>
                <c:pt idx="38">
                  <c:v>0.74487914762005702</c:v>
                </c:pt>
                <c:pt idx="39">
                  <c:v>0.73501246316954805</c:v>
                </c:pt>
                <c:pt idx="40">
                  <c:v>0.72441288415951299</c:v>
                </c:pt>
                <c:pt idx="41">
                  <c:v>0.71377776729930698</c:v>
                </c:pt>
                <c:pt idx="42">
                  <c:v>0.70335820020825501</c:v>
                </c:pt>
                <c:pt idx="43">
                  <c:v>0.692925204068218</c:v>
                </c:pt>
                <c:pt idx="44">
                  <c:v>0.68348640145582695</c:v>
                </c:pt>
                <c:pt idx="45">
                  <c:v>0.67490527159494895</c:v>
                </c:pt>
                <c:pt idx="46">
                  <c:v>0.66780231240708898</c:v>
                </c:pt>
                <c:pt idx="47">
                  <c:v>0.66139935364699998</c:v>
                </c:pt>
                <c:pt idx="48">
                  <c:v>0.65505367428048</c:v>
                </c:pt>
                <c:pt idx="49">
                  <c:v>0.64810446363625196</c:v>
                </c:pt>
                <c:pt idx="50">
                  <c:v>0.64056190196199103</c:v>
                </c:pt>
                <c:pt idx="51">
                  <c:v>0.63271110223476901</c:v>
                </c:pt>
                <c:pt idx="52">
                  <c:v>0.62497817961482205</c:v>
                </c:pt>
                <c:pt idx="53">
                  <c:v>0.61740653642078502</c:v>
                </c:pt>
                <c:pt idx="54">
                  <c:v>0.61021253566885103</c:v>
                </c:pt>
                <c:pt idx="55">
                  <c:v>0.60340171176786395</c:v>
                </c:pt>
                <c:pt idx="56">
                  <c:v>0.59675834698849695</c:v>
                </c:pt>
                <c:pt idx="57">
                  <c:v>0.59047761251207698</c:v>
                </c:pt>
                <c:pt idx="58">
                  <c:v>0.584507480208733</c:v>
                </c:pt>
                <c:pt idx="59">
                  <c:v>0.57859832074778195</c:v>
                </c:pt>
                <c:pt idx="60">
                  <c:v>0.57263997436205905</c:v>
                </c:pt>
                <c:pt idx="61">
                  <c:v>0.56638222413725903</c:v>
                </c:pt>
                <c:pt idx="62">
                  <c:v>0.55988325816671203</c:v>
                </c:pt>
                <c:pt idx="63">
                  <c:v>0.55324298958207196</c:v>
                </c:pt>
                <c:pt idx="64">
                  <c:v>0.54667270374723498</c:v>
                </c:pt>
                <c:pt idx="65">
                  <c:v>0.54074544563641302</c:v>
                </c:pt>
                <c:pt idx="66">
                  <c:v>0.53497535843306199</c:v>
                </c:pt>
                <c:pt idx="67">
                  <c:v>0.529724935667232</c:v>
                </c:pt>
                <c:pt idx="68">
                  <c:v>0.52465136149605496</c:v>
                </c:pt>
                <c:pt idx="69">
                  <c:v>0.51992864489115698</c:v>
                </c:pt>
                <c:pt idx="70">
                  <c:v>0.51534180174204003</c:v>
                </c:pt>
                <c:pt idx="71">
                  <c:v>0.51068699452120203</c:v>
                </c:pt>
                <c:pt idx="72">
                  <c:v>0.50562339365804798</c:v>
                </c:pt>
                <c:pt idx="73">
                  <c:v>0.49978671512718298</c:v>
                </c:pt>
                <c:pt idx="74">
                  <c:v>0.49365567034219499</c:v>
                </c:pt>
                <c:pt idx="75">
                  <c:v>0.48709045137458501</c:v>
                </c:pt>
                <c:pt idx="76">
                  <c:v>0.48083008032443703</c:v>
                </c:pt>
                <c:pt idx="77">
                  <c:v>0.47448695807913499</c:v>
                </c:pt>
                <c:pt idx="78">
                  <c:v>0.46811583778409499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62-4AD8-95D9-71D46BE8F14A}"/>
            </c:ext>
          </c:extLst>
        </c:ser>
        <c:ser>
          <c:idx val="3"/>
          <c:order val="2"/>
          <c:tx>
            <c:strRef>
              <c:f>Sheet12!$D$1</c:f>
              <c:strCache>
                <c:ptCount val="1"/>
                <c:pt idx="0">
                  <c:v>Cumulative Prepay Rate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Sheet12!$D$2:$D$80</c:f>
              <c:numCache>
                <c:formatCode>0.00%</c:formatCode>
                <c:ptCount val="79"/>
                <c:pt idx="0">
                  <c:v>1.5892993826968199E-3</c:v>
                </c:pt>
                <c:pt idx="1">
                  <c:v>3.9116110850739901E-3</c:v>
                </c:pt>
                <c:pt idx="2">
                  <c:v>7.43307898476811E-3</c:v>
                </c:pt>
                <c:pt idx="3">
                  <c:v>1.2279456289780031E-2</c:v>
                </c:pt>
                <c:pt idx="4">
                  <c:v>1.6606281992478971E-2</c:v>
                </c:pt>
                <c:pt idx="5">
                  <c:v>1.9867402704792453E-2</c:v>
                </c:pt>
                <c:pt idx="6">
                  <c:v>2.2784299984865104E-2</c:v>
                </c:pt>
                <c:pt idx="7">
                  <c:v>2.5252607023235483E-2</c:v>
                </c:pt>
                <c:pt idx="8">
                  <c:v>2.7755101495999232E-2</c:v>
                </c:pt>
                <c:pt idx="9">
                  <c:v>3.0242525807101791E-2</c:v>
                </c:pt>
                <c:pt idx="10">
                  <c:v>3.2504555703611569E-2</c:v>
                </c:pt>
                <c:pt idx="11">
                  <c:v>3.4638004802065879E-2</c:v>
                </c:pt>
                <c:pt idx="12">
                  <c:v>3.7122761051534482E-2</c:v>
                </c:pt>
                <c:pt idx="13">
                  <c:v>4.033699731906145E-2</c:v>
                </c:pt>
                <c:pt idx="14">
                  <c:v>4.444860837933693E-2</c:v>
                </c:pt>
                <c:pt idx="15">
                  <c:v>4.888575536579564E-2</c:v>
                </c:pt>
                <c:pt idx="16">
                  <c:v>5.3406601224351549E-2</c:v>
                </c:pt>
                <c:pt idx="17">
                  <c:v>5.7906826404543116E-2</c:v>
                </c:pt>
                <c:pt idx="18">
                  <c:v>6.2069507689398958E-2</c:v>
                </c:pt>
                <c:pt idx="19">
                  <c:v>6.602126701592731E-2</c:v>
                </c:pt>
                <c:pt idx="20">
                  <c:v>7.0080010891932026E-2</c:v>
                </c:pt>
                <c:pt idx="21">
                  <c:v>7.3712308678720626E-2</c:v>
                </c:pt>
                <c:pt idx="22">
                  <c:v>7.7390285942370143E-2</c:v>
                </c:pt>
                <c:pt idx="23">
                  <c:v>8.1517592828821733E-2</c:v>
                </c:pt>
                <c:pt idx="24">
                  <c:v>8.6434617091586508E-2</c:v>
                </c:pt>
                <c:pt idx="25">
                  <c:v>9.2311806216134981E-2</c:v>
                </c:pt>
                <c:pt idx="26">
                  <c:v>9.840739710964394E-2</c:v>
                </c:pt>
                <c:pt idx="27">
                  <c:v>0.10499348685196293</c:v>
                </c:pt>
                <c:pt idx="28">
                  <c:v>0.11131399123834677</c:v>
                </c:pt>
                <c:pt idx="29">
                  <c:v>0.11699832904232156</c:v>
                </c:pt>
                <c:pt idx="30">
                  <c:v>0.12197169258057733</c:v>
                </c:pt>
                <c:pt idx="31">
                  <c:v>0.12682465001316018</c:v>
                </c:pt>
                <c:pt idx="32">
                  <c:v>0.13146480339053801</c:v>
                </c:pt>
                <c:pt idx="33">
                  <c:v>0.13566783357409759</c:v>
                </c:pt>
                <c:pt idx="34">
                  <c:v>0.13936994951644807</c:v>
                </c:pt>
                <c:pt idx="35">
                  <c:v>0.14364559857253786</c:v>
                </c:pt>
                <c:pt idx="36">
                  <c:v>0.14847258945087563</c:v>
                </c:pt>
                <c:pt idx="37">
                  <c:v>0.15429801685556149</c:v>
                </c:pt>
                <c:pt idx="38">
                  <c:v>0.16083171944729768</c:v>
                </c:pt>
                <c:pt idx="39">
                  <c:v>0.16777688485608919</c:v>
                </c:pt>
                <c:pt idx="40">
                  <c:v>0.17548837527036376</c:v>
                </c:pt>
                <c:pt idx="41">
                  <c:v>0.18328765013977272</c:v>
                </c:pt>
                <c:pt idx="42">
                  <c:v>0.19117786792771135</c:v>
                </c:pt>
                <c:pt idx="43">
                  <c:v>0.19905143402489661</c:v>
                </c:pt>
                <c:pt idx="44">
                  <c:v>0.2058666688089304</c:v>
                </c:pt>
                <c:pt idx="45">
                  <c:v>0.21172934708784416</c:v>
                </c:pt>
                <c:pt idx="46">
                  <c:v>0.21611061253917463</c:v>
                </c:pt>
                <c:pt idx="47">
                  <c:v>0.21975751028685167</c:v>
                </c:pt>
                <c:pt idx="48">
                  <c:v>0.22335303454296965</c:v>
                </c:pt>
                <c:pt idx="49">
                  <c:v>0.22755373455276609</c:v>
                </c:pt>
                <c:pt idx="50">
                  <c:v>0.2323802932660258</c:v>
                </c:pt>
                <c:pt idx="51">
                  <c:v>0.23753860480092567</c:v>
                </c:pt>
                <c:pt idx="52">
                  <c:v>0.24260004999146489</c:v>
                </c:pt>
                <c:pt idx="53">
                  <c:v>0.24753475483737372</c:v>
                </c:pt>
                <c:pt idx="54">
                  <c:v>0.25215233457917302</c:v>
                </c:pt>
                <c:pt idx="55">
                  <c:v>0.25635695695621413</c:v>
                </c:pt>
                <c:pt idx="56">
                  <c:v>0.2604465798084129</c:v>
                </c:pt>
                <c:pt idx="57">
                  <c:v>0.26416599597328971</c:v>
                </c:pt>
                <c:pt idx="58">
                  <c:v>0.2675093374607489</c:v>
                </c:pt>
                <c:pt idx="59">
                  <c:v>0.27079964903190945</c:v>
                </c:pt>
                <c:pt idx="60">
                  <c:v>0.27412602925032609</c:v>
                </c:pt>
                <c:pt idx="61">
                  <c:v>0.27777433996040918</c:v>
                </c:pt>
                <c:pt idx="62">
                  <c:v>0.28167485617253346</c:v>
                </c:pt>
                <c:pt idx="63">
                  <c:v>0.28578312926198318</c:v>
                </c:pt>
                <c:pt idx="64">
                  <c:v>0.289831315567536</c:v>
                </c:pt>
                <c:pt idx="65">
                  <c:v>0.2932817918562432</c:v>
                </c:pt>
                <c:pt idx="66">
                  <c:v>0.29651399116157356</c:v>
                </c:pt>
                <c:pt idx="67">
                  <c:v>0.2992210409745143</c:v>
                </c:pt>
                <c:pt idx="68">
                  <c:v>0.30178444229520196</c:v>
                </c:pt>
                <c:pt idx="69">
                  <c:v>0.30401027959103444</c:v>
                </c:pt>
                <c:pt idx="70">
                  <c:v>0.30606033707494107</c:v>
                </c:pt>
                <c:pt idx="71">
                  <c:v>0.30820054593906027</c:v>
                </c:pt>
                <c:pt idx="72">
                  <c:v>0.31077151059222774</c:v>
                </c:pt>
                <c:pt idx="73">
                  <c:v>0.31383957290814662</c:v>
                </c:pt>
                <c:pt idx="74">
                  <c:v>0.31726829398105322</c:v>
                </c:pt>
                <c:pt idx="75">
                  <c:v>0.32106268550365169</c:v>
                </c:pt>
                <c:pt idx="76">
                  <c:v>0.32485433354574128</c:v>
                </c:pt>
                <c:pt idx="77">
                  <c:v>0.32876233850374759</c:v>
                </c:pt>
                <c:pt idx="78">
                  <c:v>0.33271691193767089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62-4AD8-95D9-71D46BE8F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664608"/>
        <c:axId val="505663952"/>
      </c:lineChart>
      <c:lineChart>
        <c:grouping val="standard"/>
        <c:varyColors val="0"/>
        <c:ser>
          <c:idx val="2"/>
          <c:order val="1"/>
          <c:tx>
            <c:strRef>
              <c:f>Sheet12!$C$1</c:f>
              <c:strCache>
                <c:ptCount val="1"/>
                <c:pt idx="0">
                  <c:v>Cumulative Default Rate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Sheet12!$C$2:$C$80</c:f>
              <c:numCache>
                <c:formatCode>0.0000%</c:formatCode>
                <c:ptCount val="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9.6704290199814902E-7</c:v>
                </c:pt>
                <c:pt idx="9">
                  <c:v>2.627276384817619E-6</c:v>
                </c:pt>
                <c:pt idx="10">
                  <c:v>4.730773197445999E-6</c:v>
                </c:pt>
                <c:pt idx="11">
                  <c:v>6.4988258562665089E-6</c:v>
                </c:pt>
                <c:pt idx="12">
                  <c:v>8.4571532366345787E-6</c:v>
                </c:pt>
                <c:pt idx="13">
                  <c:v>8.4571532366345787E-6</c:v>
                </c:pt>
                <c:pt idx="14">
                  <c:v>1.4236143943491348E-5</c:v>
                </c:pt>
                <c:pt idx="15">
                  <c:v>1.7764272593456818E-5</c:v>
                </c:pt>
                <c:pt idx="16">
                  <c:v>1.9752631583287717E-5</c:v>
                </c:pt>
                <c:pt idx="17">
                  <c:v>2.4738874733418897E-5</c:v>
                </c:pt>
                <c:pt idx="18">
                  <c:v>2.4738874733418897E-5</c:v>
                </c:pt>
                <c:pt idx="19">
                  <c:v>2.8056743801423905E-5</c:v>
                </c:pt>
                <c:pt idx="20">
                  <c:v>3.9815086263350505E-5</c:v>
                </c:pt>
                <c:pt idx="21">
                  <c:v>4.3062562125313225E-5</c:v>
                </c:pt>
                <c:pt idx="22">
                  <c:v>4.7006277879984922E-5</c:v>
                </c:pt>
                <c:pt idx="23">
                  <c:v>4.8560650877265329E-5</c:v>
                </c:pt>
                <c:pt idx="24">
                  <c:v>5.7289623522245737E-5</c:v>
                </c:pt>
                <c:pt idx="25">
                  <c:v>6.5017602898228497E-5</c:v>
                </c:pt>
                <c:pt idx="26">
                  <c:v>7.6931080321315001E-5</c:v>
                </c:pt>
                <c:pt idx="27">
                  <c:v>7.9425392895816934E-5</c:v>
                </c:pt>
                <c:pt idx="28">
                  <c:v>8.7648008952753169E-5</c:v>
                </c:pt>
                <c:pt idx="29">
                  <c:v>9.2748459220766869E-5</c:v>
                </c:pt>
                <c:pt idx="30">
                  <c:v>9.8297563289839182E-5</c:v>
                </c:pt>
                <c:pt idx="31">
                  <c:v>1.1189039236373448E-4</c:v>
                </c:pt>
                <c:pt idx="32">
                  <c:v>1.1189039236373448E-4</c:v>
                </c:pt>
                <c:pt idx="33">
                  <c:v>1.2468702971060199E-4</c:v>
                </c:pt>
                <c:pt idx="34">
                  <c:v>1.2833863971832977E-4</c:v>
                </c:pt>
                <c:pt idx="35">
                  <c:v>1.3900365203962388E-4</c:v>
                </c:pt>
                <c:pt idx="36">
                  <c:v>1.5136017322279089E-4</c:v>
                </c:pt>
                <c:pt idx="37">
                  <c:v>1.5585143278556372E-4</c:v>
                </c:pt>
                <c:pt idx="38">
                  <c:v>1.6545307613900415E-4</c:v>
                </c:pt>
                <c:pt idx="39">
                  <c:v>1.8553912997617045E-4</c:v>
                </c:pt>
                <c:pt idx="40">
                  <c:v>1.8993110696784073E-4</c:v>
                </c:pt>
                <c:pt idx="41">
                  <c:v>2.0112627062800613E-4</c:v>
                </c:pt>
                <c:pt idx="42">
                  <c:v>2.2054791105547482E-4</c:v>
                </c:pt>
                <c:pt idx="43">
                  <c:v>2.2693405829284647E-4</c:v>
                </c:pt>
                <c:pt idx="44">
                  <c:v>2.5067124319123245E-4</c:v>
                </c:pt>
                <c:pt idx="45">
                  <c:v>2.7161031739333626E-4</c:v>
                </c:pt>
                <c:pt idx="46">
                  <c:v>2.7933556591384012E-4</c:v>
                </c:pt>
                <c:pt idx="47">
                  <c:v>2.8455956419061522E-4</c:v>
                </c:pt>
                <c:pt idx="48">
                  <c:v>2.9413209677378328E-4</c:v>
                </c:pt>
                <c:pt idx="49">
                  <c:v>3.0251764756482075E-4</c:v>
                </c:pt>
                <c:pt idx="50">
                  <c:v>3.0673793685985918E-4</c:v>
                </c:pt>
                <c:pt idx="51">
                  <c:v>3.2908465240098387E-4</c:v>
                </c:pt>
                <c:pt idx="52">
                  <c:v>3.323483457932218E-4</c:v>
                </c:pt>
                <c:pt idx="53">
                  <c:v>3.4351523061606728E-4</c:v>
                </c:pt>
                <c:pt idx="54">
                  <c:v>3.510035942586003E-4</c:v>
                </c:pt>
                <c:pt idx="55">
                  <c:v>3.5813029283130089E-4</c:v>
                </c:pt>
                <c:pt idx="56">
                  <c:v>3.6790582829720526E-4</c:v>
                </c:pt>
                <c:pt idx="57">
                  <c:v>3.8216742615400189E-4</c:v>
                </c:pt>
                <c:pt idx="58">
                  <c:v>3.9241248670525029E-4</c:v>
                </c:pt>
                <c:pt idx="59">
                  <c:v>4.0911861354365781E-4</c:v>
                </c:pt>
                <c:pt idx="60">
                  <c:v>4.2170237299117563E-4</c:v>
                </c:pt>
                <c:pt idx="61">
                  <c:v>4.3297767937280392E-4</c:v>
                </c:pt>
                <c:pt idx="62">
                  <c:v>4.4056214549634363E-4</c:v>
                </c:pt>
                <c:pt idx="63">
                  <c:v>4.4978831291286035E-4</c:v>
                </c:pt>
                <c:pt idx="64">
                  <c:v>4.5919395150903312E-4</c:v>
                </c:pt>
                <c:pt idx="65">
                  <c:v>4.6424535157458125E-4</c:v>
                </c:pt>
                <c:pt idx="66">
                  <c:v>4.7463262975626987E-4</c:v>
                </c:pt>
                <c:pt idx="67">
                  <c:v>5.0084491591037453E-4</c:v>
                </c:pt>
                <c:pt idx="68">
                  <c:v>5.2028056176619858E-4</c:v>
                </c:pt>
                <c:pt idx="69">
                  <c:v>5.3315607971010225E-4</c:v>
                </c:pt>
                <c:pt idx="70">
                  <c:v>5.4960282942477837E-4</c:v>
                </c:pt>
                <c:pt idx="71">
                  <c:v>5.5806149636181395E-4</c:v>
                </c:pt>
                <c:pt idx="72">
                  <c:v>5.6072498798570504E-4</c:v>
                </c:pt>
                <c:pt idx="73">
                  <c:v>5.7258275090944148E-4</c:v>
                </c:pt>
                <c:pt idx="74">
                  <c:v>5.8494082846800367E-4</c:v>
                </c:pt>
                <c:pt idx="75">
                  <c:v>6.0567500453581201E-4</c:v>
                </c:pt>
                <c:pt idx="76">
                  <c:v>6.3599314400520832E-4</c:v>
                </c:pt>
                <c:pt idx="77">
                  <c:v>6.5779371999792179E-4</c:v>
                </c:pt>
                <c:pt idx="78">
                  <c:v>6.8808549790736091E-4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62-4AD8-95D9-71D46BE8F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4975400"/>
        <c:axId val="674975728"/>
      </c:lineChart>
      <c:catAx>
        <c:axId val="505664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Loan 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663952"/>
        <c:crosses val="autoZero"/>
        <c:auto val="1"/>
        <c:lblAlgn val="ctr"/>
        <c:lblOffset val="100"/>
        <c:noMultiLvlLbl val="0"/>
      </c:catAx>
      <c:valAx>
        <c:axId val="5056639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Pool Factor</a:t>
                </a:r>
              </a:p>
              <a:p>
                <a:pPr>
                  <a:defRPr/>
                </a:pPr>
                <a:r>
                  <a:rPr lang="en-US" sz="1000" b="0" i="0" u="none" strike="noStrike" baseline="0">
                    <a:effectLst/>
                  </a:rPr>
                  <a:t> Cumulative Prepay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664608"/>
        <c:crosses val="autoZero"/>
        <c:crossBetween val="between"/>
      </c:valAx>
      <c:valAx>
        <c:axId val="6749757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Cumulative Default Rate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5415707651928128"/>
              <c:y val="9.146887912096435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975400"/>
        <c:crosses val="max"/>
        <c:crossBetween val="between"/>
      </c:valAx>
      <c:catAx>
        <c:axId val="674975400"/>
        <c:scaling>
          <c:orientation val="minMax"/>
        </c:scaling>
        <c:delete val="1"/>
        <c:axPos val="b"/>
        <c:majorTickMark val="out"/>
        <c:minorTickMark val="none"/>
        <c:tickLblPos val="nextTo"/>
        <c:crossAx val="6749757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96591683708248"/>
          <c:y val="6.6066066066066062E-2"/>
          <c:w val="0.7478524386905625"/>
          <c:h val="0.49934123099477429"/>
        </c:manualLayout>
      </c:layout>
      <c:lineChart>
        <c:grouping val="standard"/>
        <c:varyColors val="0"/>
        <c:ser>
          <c:idx val="1"/>
          <c:order val="1"/>
          <c:tx>
            <c:strRef>
              <c:f>Sheet13!$C$1</c:f>
              <c:strCache>
                <c:ptCount val="1"/>
                <c:pt idx="0">
                  <c:v>Bank Interest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Sheet13!$A$2:$A$87</c:f>
              <c:numCache>
                <c:formatCode>m/d/yyyy</c:formatCode>
                <c:ptCount val="86"/>
                <c:pt idx="0">
                  <c:v>41214</c:v>
                </c:pt>
                <c:pt idx="1">
                  <c:v>41244</c:v>
                </c:pt>
                <c:pt idx="2">
                  <c:v>41275</c:v>
                </c:pt>
                <c:pt idx="3">
                  <c:v>41306</c:v>
                </c:pt>
                <c:pt idx="4">
                  <c:v>41334</c:v>
                </c:pt>
                <c:pt idx="5">
                  <c:v>41365</c:v>
                </c:pt>
                <c:pt idx="6">
                  <c:v>41395</c:v>
                </c:pt>
                <c:pt idx="7">
                  <c:v>41426</c:v>
                </c:pt>
                <c:pt idx="8">
                  <c:v>41456</c:v>
                </c:pt>
                <c:pt idx="9">
                  <c:v>41487</c:v>
                </c:pt>
                <c:pt idx="10">
                  <c:v>41518</c:v>
                </c:pt>
                <c:pt idx="11">
                  <c:v>41548</c:v>
                </c:pt>
                <c:pt idx="12">
                  <c:v>41579</c:v>
                </c:pt>
                <c:pt idx="13">
                  <c:v>41609</c:v>
                </c:pt>
                <c:pt idx="14">
                  <c:v>41640</c:v>
                </c:pt>
                <c:pt idx="15">
                  <c:v>41671</c:v>
                </c:pt>
                <c:pt idx="16">
                  <c:v>41699</c:v>
                </c:pt>
                <c:pt idx="17">
                  <c:v>41730</c:v>
                </c:pt>
                <c:pt idx="18">
                  <c:v>41760</c:v>
                </c:pt>
                <c:pt idx="19">
                  <c:v>41791</c:v>
                </c:pt>
                <c:pt idx="20">
                  <c:v>41821</c:v>
                </c:pt>
                <c:pt idx="21">
                  <c:v>41852</c:v>
                </c:pt>
                <c:pt idx="22">
                  <c:v>41883</c:v>
                </c:pt>
                <c:pt idx="23">
                  <c:v>41913</c:v>
                </c:pt>
                <c:pt idx="24">
                  <c:v>41944</c:v>
                </c:pt>
                <c:pt idx="25">
                  <c:v>41974</c:v>
                </c:pt>
                <c:pt idx="26">
                  <c:v>42005</c:v>
                </c:pt>
                <c:pt idx="27">
                  <c:v>42036</c:v>
                </c:pt>
                <c:pt idx="28">
                  <c:v>42064</c:v>
                </c:pt>
                <c:pt idx="29">
                  <c:v>42095</c:v>
                </c:pt>
                <c:pt idx="30">
                  <c:v>42125</c:v>
                </c:pt>
                <c:pt idx="31">
                  <c:v>42156</c:v>
                </c:pt>
                <c:pt idx="32">
                  <c:v>42186</c:v>
                </c:pt>
                <c:pt idx="33">
                  <c:v>42217</c:v>
                </c:pt>
                <c:pt idx="34">
                  <c:v>42248</c:v>
                </c:pt>
                <c:pt idx="35">
                  <c:v>42278</c:v>
                </c:pt>
                <c:pt idx="36">
                  <c:v>42309</c:v>
                </c:pt>
                <c:pt idx="37">
                  <c:v>42339</c:v>
                </c:pt>
                <c:pt idx="38">
                  <c:v>42370</c:v>
                </c:pt>
                <c:pt idx="39">
                  <c:v>42401</c:v>
                </c:pt>
                <c:pt idx="40">
                  <c:v>42430</c:v>
                </c:pt>
                <c:pt idx="41">
                  <c:v>42461</c:v>
                </c:pt>
                <c:pt idx="42">
                  <c:v>42491</c:v>
                </c:pt>
                <c:pt idx="43">
                  <c:v>42522</c:v>
                </c:pt>
                <c:pt idx="44">
                  <c:v>42552</c:v>
                </c:pt>
                <c:pt idx="45">
                  <c:v>42583</c:v>
                </c:pt>
                <c:pt idx="46">
                  <c:v>42614</c:v>
                </c:pt>
                <c:pt idx="47">
                  <c:v>42644</c:v>
                </c:pt>
                <c:pt idx="48">
                  <c:v>42675</c:v>
                </c:pt>
                <c:pt idx="49">
                  <c:v>42705</c:v>
                </c:pt>
                <c:pt idx="50">
                  <c:v>42736</c:v>
                </c:pt>
                <c:pt idx="51">
                  <c:v>42767</c:v>
                </c:pt>
                <c:pt idx="52">
                  <c:v>42795</c:v>
                </c:pt>
                <c:pt idx="53">
                  <c:v>42826</c:v>
                </c:pt>
                <c:pt idx="54">
                  <c:v>42856</c:v>
                </c:pt>
                <c:pt idx="55">
                  <c:v>42887</c:v>
                </c:pt>
                <c:pt idx="56">
                  <c:v>42917</c:v>
                </c:pt>
                <c:pt idx="57">
                  <c:v>42948</c:v>
                </c:pt>
                <c:pt idx="58">
                  <c:v>42979</c:v>
                </c:pt>
                <c:pt idx="59">
                  <c:v>43009</c:v>
                </c:pt>
                <c:pt idx="60">
                  <c:v>43040</c:v>
                </c:pt>
                <c:pt idx="61">
                  <c:v>43070</c:v>
                </c:pt>
                <c:pt idx="62">
                  <c:v>43101</c:v>
                </c:pt>
                <c:pt idx="63">
                  <c:v>43132</c:v>
                </c:pt>
                <c:pt idx="64">
                  <c:v>43160</c:v>
                </c:pt>
                <c:pt idx="65">
                  <c:v>43191</c:v>
                </c:pt>
                <c:pt idx="66">
                  <c:v>43221</c:v>
                </c:pt>
                <c:pt idx="67">
                  <c:v>43252</c:v>
                </c:pt>
                <c:pt idx="68">
                  <c:v>43282</c:v>
                </c:pt>
                <c:pt idx="69">
                  <c:v>43313</c:v>
                </c:pt>
                <c:pt idx="70">
                  <c:v>43344</c:v>
                </c:pt>
                <c:pt idx="71">
                  <c:v>43374</c:v>
                </c:pt>
                <c:pt idx="72">
                  <c:v>43405</c:v>
                </c:pt>
                <c:pt idx="73">
                  <c:v>43435</c:v>
                </c:pt>
                <c:pt idx="74">
                  <c:v>43466</c:v>
                </c:pt>
                <c:pt idx="75">
                  <c:v>43497</c:v>
                </c:pt>
                <c:pt idx="76">
                  <c:v>43525</c:v>
                </c:pt>
                <c:pt idx="77">
                  <c:v>43556</c:v>
                </c:pt>
                <c:pt idx="78">
                  <c:v>43586</c:v>
                </c:pt>
                <c:pt idx="79">
                  <c:v>43617</c:v>
                </c:pt>
                <c:pt idx="80">
                  <c:v>43647</c:v>
                </c:pt>
                <c:pt idx="81">
                  <c:v>43678</c:v>
                </c:pt>
                <c:pt idx="82">
                  <c:v>43709</c:v>
                </c:pt>
                <c:pt idx="83">
                  <c:v>43739</c:v>
                </c:pt>
                <c:pt idx="84">
                  <c:v>43770</c:v>
                </c:pt>
                <c:pt idx="85">
                  <c:v>43800</c:v>
                </c:pt>
              </c:numCache>
            </c:numRef>
          </c:cat>
          <c:val>
            <c:numRef>
              <c:f>Sheet13!$C$2:$C$87</c:f>
              <c:numCache>
                <c:formatCode>General</c:formatCode>
                <c:ptCount val="86"/>
                <c:pt idx="0">
                  <c:v>3.3519999999999999</c:v>
                </c:pt>
                <c:pt idx="1">
                  <c:v>3.3450000000000002</c:v>
                </c:pt>
                <c:pt idx="2">
                  <c:v>3.3849999999999998</c:v>
                </c:pt>
                <c:pt idx="3">
                  <c:v>3.5375000000000001</c:v>
                </c:pt>
                <c:pt idx="4">
                  <c:v>3.5539999999999998</c:v>
                </c:pt>
                <c:pt idx="5">
                  <c:v>3.4449999999999998</c:v>
                </c:pt>
                <c:pt idx="6">
                  <c:v>3.536</c:v>
                </c:pt>
                <c:pt idx="7">
                  <c:v>4.07</c:v>
                </c:pt>
                <c:pt idx="8">
                  <c:v>4.37</c:v>
                </c:pt>
                <c:pt idx="9">
                  <c:v>4.4560000000000004</c:v>
                </c:pt>
                <c:pt idx="10">
                  <c:v>4.49</c:v>
                </c:pt>
                <c:pt idx="11">
                  <c:v>4.2149999999999999</c:v>
                </c:pt>
                <c:pt idx="12">
                  <c:v>4.2240000000000002</c:v>
                </c:pt>
                <c:pt idx="13">
                  <c:v>4.4574999999999996</c:v>
                </c:pt>
                <c:pt idx="14">
                  <c:v>4.4320000000000004</c:v>
                </c:pt>
                <c:pt idx="15">
                  <c:v>4.3025000000000002</c:v>
                </c:pt>
                <c:pt idx="16">
                  <c:v>4.3425000000000002</c:v>
                </c:pt>
                <c:pt idx="17">
                  <c:v>4.3375000000000004</c:v>
                </c:pt>
                <c:pt idx="18">
                  <c:v>4.1920000000000002</c:v>
                </c:pt>
                <c:pt idx="19">
                  <c:v>4.1624999999999996</c:v>
                </c:pt>
                <c:pt idx="20">
                  <c:v>4.1325000000000003</c:v>
                </c:pt>
                <c:pt idx="21">
                  <c:v>4.1159999999999997</c:v>
                </c:pt>
                <c:pt idx="22">
                  <c:v>4.1624999999999996</c:v>
                </c:pt>
                <c:pt idx="23">
                  <c:v>4.0359999999999996</c:v>
                </c:pt>
                <c:pt idx="24">
                  <c:v>3.9975000000000001</c:v>
                </c:pt>
                <c:pt idx="25">
                  <c:v>3.8624999999999998</c:v>
                </c:pt>
                <c:pt idx="26">
                  <c:v>3.71</c:v>
                </c:pt>
                <c:pt idx="27">
                  <c:v>3.71</c:v>
                </c:pt>
                <c:pt idx="28">
                  <c:v>3.77</c:v>
                </c:pt>
                <c:pt idx="29">
                  <c:v>3.67</c:v>
                </c:pt>
                <c:pt idx="30">
                  <c:v>3.8079999999999998</c:v>
                </c:pt>
                <c:pt idx="31">
                  <c:v>3.9824999999999999</c:v>
                </c:pt>
                <c:pt idx="32">
                  <c:v>4.0460000000000003</c:v>
                </c:pt>
                <c:pt idx="33">
                  <c:v>3.9049999999999998</c:v>
                </c:pt>
                <c:pt idx="34">
                  <c:v>3.89</c:v>
                </c:pt>
                <c:pt idx="35">
                  <c:v>3.7959999999999998</c:v>
                </c:pt>
                <c:pt idx="36">
                  <c:v>3.9424999999999999</c:v>
                </c:pt>
                <c:pt idx="37">
                  <c:v>3.9525000000000001</c:v>
                </c:pt>
                <c:pt idx="38">
                  <c:v>3.9</c:v>
                </c:pt>
                <c:pt idx="39">
                  <c:v>3.66</c:v>
                </c:pt>
                <c:pt idx="40">
                  <c:v>3.69</c:v>
                </c:pt>
                <c:pt idx="41">
                  <c:v>3.6259999999999999</c:v>
                </c:pt>
                <c:pt idx="42">
                  <c:v>3.6</c:v>
                </c:pt>
                <c:pt idx="43">
                  <c:v>3.59</c:v>
                </c:pt>
                <c:pt idx="44">
                  <c:v>3.448</c:v>
                </c:pt>
                <c:pt idx="45">
                  <c:v>3.4350000000000001</c:v>
                </c:pt>
                <c:pt idx="46">
                  <c:v>3.46</c:v>
                </c:pt>
                <c:pt idx="47">
                  <c:v>3.47</c:v>
                </c:pt>
                <c:pt idx="48">
                  <c:v>3.77</c:v>
                </c:pt>
                <c:pt idx="49">
                  <c:v>4.1980000000000004</c:v>
                </c:pt>
                <c:pt idx="50">
                  <c:v>4.1500000000000004</c:v>
                </c:pt>
                <c:pt idx="51">
                  <c:v>4.1675000000000004</c:v>
                </c:pt>
                <c:pt idx="52">
                  <c:v>4.1959999999999997</c:v>
                </c:pt>
                <c:pt idx="53">
                  <c:v>4.0449999999999999</c:v>
                </c:pt>
                <c:pt idx="54">
                  <c:v>4.01</c:v>
                </c:pt>
                <c:pt idx="55">
                  <c:v>3.9039999999999999</c:v>
                </c:pt>
                <c:pt idx="56">
                  <c:v>3.9674999999999998</c:v>
                </c:pt>
                <c:pt idx="57">
                  <c:v>3.895</c:v>
                </c:pt>
                <c:pt idx="58">
                  <c:v>3.8079999999999998</c:v>
                </c:pt>
                <c:pt idx="59">
                  <c:v>3.895</c:v>
                </c:pt>
                <c:pt idx="60">
                  <c:v>3.9275000000000002</c:v>
                </c:pt>
                <c:pt idx="61">
                  <c:v>3.94</c:v>
                </c:pt>
                <c:pt idx="62">
                  <c:v>4.0324999999999998</c:v>
                </c:pt>
                <c:pt idx="63">
                  <c:v>4.33</c:v>
                </c:pt>
                <c:pt idx="64">
                  <c:v>4.444</c:v>
                </c:pt>
                <c:pt idx="65">
                  <c:v>4.4675000000000002</c:v>
                </c:pt>
                <c:pt idx="66">
                  <c:v>4.5925000000000002</c:v>
                </c:pt>
                <c:pt idx="67">
                  <c:v>4.5679999999999996</c:v>
                </c:pt>
                <c:pt idx="68">
                  <c:v>4.5274999999999999</c:v>
                </c:pt>
                <c:pt idx="69">
                  <c:v>4.55</c:v>
                </c:pt>
                <c:pt idx="70">
                  <c:v>4.6275000000000004</c:v>
                </c:pt>
                <c:pt idx="71">
                  <c:v>4.83</c:v>
                </c:pt>
                <c:pt idx="72">
                  <c:v>4.8659999999999997</c:v>
                </c:pt>
                <c:pt idx="73">
                  <c:v>4.6375000000000002</c:v>
                </c:pt>
                <c:pt idx="74">
                  <c:v>4.4649999999999999</c:v>
                </c:pt>
                <c:pt idx="75">
                  <c:v>4.3975</c:v>
                </c:pt>
                <c:pt idx="76">
                  <c:v>4.282</c:v>
                </c:pt>
                <c:pt idx="77">
                  <c:v>4.1425000000000001</c:v>
                </c:pt>
                <c:pt idx="78">
                  <c:v>4.0720000000000001</c:v>
                </c:pt>
                <c:pt idx="79">
                  <c:v>3.8025000000000002</c:v>
                </c:pt>
                <c:pt idx="80">
                  <c:v>3.7650000000000001</c:v>
                </c:pt>
                <c:pt idx="81">
                  <c:v>3.6160000000000001</c:v>
                </c:pt>
                <c:pt idx="82">
                  <c:v>3.605</c:v>
                </c:pt>
                <c:pt idx="83">
                  <c:v>3.665</c:v>
                </c:pt>
                <c:pt idx="84">
                  <c:v>3.7120000000000002</c:v>
                </c:pt>
                <c:pt idx="85">
                  <c:v>3.72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D5-4D35-BE39-BE52DAFC9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7200464"/>
        <c:axId val="567200792"/>
      </c:lineChart>
      <c:lineChart>
        <c:grouping val="standard"/>
        <c:varyColors val="0"/>
        <c:ser>
          <c:idx val="0"/>
          <c:order val="0"/>
          <c:tx>
            <c:strRef>
              <c:f>Sheet13!$B$1</c:f>
              <c:strCache>
                <c:ptCount val="1"/>
                <c:pt idx="0">
                  <c:v>Mortgage Interest 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Sheet13!$A$2:$A$87</c:f>
              <c:numCache>
                <c:formatCode>m/d/yyyy</c:formatCode>
                <c:ptCount val="86"/>
                <c:pt idx="0">
                  <c:v>41214</c:v>
                </c:pt>
                <c:pt idx="1">
                  <c:v>41244</c:v>
                </c:pt>
                <c:pt idx="2">
                  <c:v>41275</c:v>
                </c:pt>
                <c:pt idx="3">
                  <c:v>41306</c:v>
                </c:pt>
                <c:pt idx="4">
                  <c:v>41334</c:v>
                </c:pt>
                <c:pt idx="5">
                  <c:v>41365</c:v>
                </c:pt>
                <c:pt idx="6">
                  <c:v>41395</c:v>
                </c:pt>
                <c:pt idx="7">
                  <c:v>41426</c:v>
                </c:pt>
                <c:pt idx="8">
                  <c:v>41456</c:v>
                </c:pt>
                <c:pt idx="9">
                  <c:v>41487</c:v>
                </c:pt>
                <c:pt idx="10">
                  <c:v>41518</c:v>
                </c:pt>
                <c:pt idx="11">
                  <c:v>41548</c:v>
                </c:pt>
                <c:pt idx="12">
                  <c:v>41579</c:v>
                </c:pt>
                <c:pt idx="13">
                  <c:v>41609</c:v>
                </c:pt>
                <c:pt idx="14">
                  <c:v>41640</c:v>
                </c:pt>
                <c:pt idx="15">
                  <c:v>41671</c:v>
                </c:pt>
                <c:pt idx="16">
                  <c:v>41699</c:v>
                </c:pt>
                <c:pt idx="17">
                  <c:v>41730</c:v>
                </c:pt>
                <c:pt idx="18">
                  <c:v>41760</c:v>
                </c:pt>
                <c:pt idx="19">
                  <c:v>41791</c:v>
                </c:pt>
                <c:pt idx="20">
                  <c:v>41821</c:v>
                </c:pt>
                <c:pt idx="21">
                  <c:v>41852</c:v>
                </c:pt>
                <c:pt idx="22">
                  <c:v>41883</c:v>
                </c:pt>
                <c:pt idx="23">
                  <c:v>41913</c:v>
                </c:pt>
                <c:pt idx="24">
                  <c:v>41944</c:v>
                </c:pt>
                <c:pt idx="25">
                  <c:v>41974</c:v>
                </c:pt>
                <c:pt idx="26">
                  <c:v>42005</c:v>
                </c:pt>
                <c:pt idx="27">
                  <c:v>42036</c:v>
                </c:pt>
                <c:pt idx="28">
                  <c:v>42064</c:v>
                </c:pt>
                <c:pt idx="29">
                  <c:v>42095</c:v>
                </c:pt>
                <c:pt idx="30">
                  <c:v>42125</c:v>
                </c:pt>
                <c:pt idx="31">
                  <c:v>42156</c:v>
                </c:pt>
                <c:pt idx="32">
                  <c:v>42186</c:v>
                </c:pt>
                <c:pt idx="33">
                  <c:v>42217</c:v>
                </c:pt>
                <c:pt idx="34">
                  <c:v>42248</c:v>
                </c:pt>
                <c:pt idx="35">
                  <c:v>42278</c:v>
                </c:pt>
                <c:pt idx="36">
                  <c:v>42309</c:v>
                </c:pt>
                <c:pt idx="37">
                  <c:v>42339</c:v>
                </c:pt>
                <c:pt idx="38">
                  <c:v>42370</c:v>
                </c:pt>
                <c:pt idx="39">
                  <c:v>42401</c:v>
                </c:pt>
                <c:pt idx="40">
                  <c:v>42430</c:v>
                </c:pt>
                <c:pt idx="41">
                  <c:v>42461</c:v>
                </c:pt>
                <c:pt idx="42">
                  <c:v>42491</c:v>
                </c:pt>
                <c:pt idx="43">
                  <c:v>42522</c:v>
                </c:pt>
                <c:pt idx="44">
                  <c:v>42552</c:v>
                </c:pt>
                <c:pt idx="45">
                  <c:v>42583</c:v>
                </c:pt>
                <c:pt idx="46">
                  <c:v>42614</c:v>
                </c:pt>
                <c:pt idx="47">
                  <c:v>42644</c:v>
                </c:pt>
                <c:pt idx="48">
                  <c:v>42675</c:v>
                </c:pt>
                <c:pt idx="49">
                  <c:v>42705</c:v>
                </c:pt>
                <c:pt idx="50">
                  <c:v>42736</c:v>
                </c:pt>
                <c:pt idx="51">
                  <c:v>42767</c:v>
                </c:pt>
                <c:pt idx="52">
                  <c:v>42795</c:v>
                </c:pt>
                <c:pt idx="53">
                  <c:v>42826</c:v>
                </c:pt>
                <c:pt idx="54">
                  <c:v>42856</c:v>
                </c:pt>
                <c:pt idx="55">
                  <c:v>42887</c:v>
                </c:pt>
                <c:pt idx="56">
                  <c:v>42917</c:v>
                </c:pt>
                <c:pt idx="57">
                  <c:v>42948</c:v>
                </c:pt>
                <c:pt idx="58">
                  <c:v>42979</c:v>
                </c:pt>
                <c:pt idx="59">
                  <c:v>43009</c:v>
                </c:pt>
                <c:pt idx="60">
                  <c:v>43040</c:v>
                </c:pt>
                <c:pt idx="61">
                  <c:v>43070</c:v>
                </c:pt>
                <c:pt idx="62">
                  <c:v>43101</c:v>
                </c:pt>
                <c:pt idx="63">
                  <c:v>43132</c:v>
                </c:pt>
                <c:pt idx="64">
                  <c:v>43160</c:v>
                </c:pt>
                <c:pt idx="65">
                  <c:v>43191</c:v>
                </c:pt>
                <c:pt idx="66">
                  <c:v>43221</c:v>
                </c:pt>
                <c:pt idx="67">
                  <c:v>43252</c:v>
                </c:pt>
                <c:pt idx="68">
                  <c:v>43282</c:v>
                </c:pt>
                <c:pt idx="69">
                  <c:v>43313</c:v>
                </c:pt>
                <c:pt idx="70">
                  <c:v>43344</c:v>
                </c:pt>
                <c:pt idx="71">
                  <c:v>43374</c:v>
                </c:pt>
                <c:pt idx="72">
                  <c:v>43405</c:v>
                </c:pt>
                <c:pt idx="73">
                  <c:v>43435</c:v>
                </c:pt>
                <c:pt idx="74">
                  <c:v>43466</c:v>
                </c:pt>
                <c:pt idx="75">
                  <c:v>43497</c:v>
                </c:pt>
                <c:pt idx="76">
                  <c:v>43525</c:v>
                </c:pt>
                <c:pt idx="77">
                  <c:v>43556</c:v>
                </c:pt>
                <c:pt idx="78">
                  <c:v>43586</c:v>
                </c:pt>
                <c:pt idx="79">
                  <c:v>43617</c:v>
                </c:pt>
                <c:pt idx="80">
                  <c:v>43647</c:v>
                </c:pt>
                <c:pt idx="81">
                  <c:v>43678</c:v>
                </c:pt>
                <c:pt idx="82">
                  <c:v>43709</c:v>
                </c:pt>
                <c:pt idx="83">
                  <c:v>43739</c:v>
                </c:pt>
                <c:pt idx="84">
                  <c:v>43770</c:v>
                </c:pt>
                <c:pt idx="85">
                  <c:v>43800</c:v>
                </c:pt>
              </c:numCache>
            </c:numRef>
          </c:cat>
          <c:val>
            <c:numRef>
              <c:f>Sheet13!$B$2:$B$87</c:f>
              <c:numCache>
                <c:formatCode>General</c:formatCode>
                <c:ptCount val="86"/>
                <c:pt idx="0">
                  <c:v>3.4453777695412202</c:v>
                </c:pt>
                <c:pt idx="1">
                  <c:v>3.4192947549104802</c:v>
                </c:pt>
                <c:pt idx="2">
                  <c:v>3.3842097192588798</c:v>
                </c:pt>
                <c:pt idx="3">
                  <c:v>3.3855107666398698</c:v>
                </c:pt>
                <c:pt idx="4">
                  <c:v>3.3859105311617701</c:v>
                </c:pt>
                <c:pt idx="5">
                  <c:v>3.3855662308677501</c:v>
                </c:pt>
                <c:pt idx="6">
                  <c:v>3.3853249201740501</c:v>
                </c:pt>
                <c:pt idx="7">
                  <c:v>3.3850576687335399</c:v>
                </c:pt>
                <c:pt idx="8">
                  <c:v>3.38477000606263</c:v>
                </c:pt>
                <c:pt idx="9">
                  <c:v>3.3845434010034898</c:v>
                </c:pt>
                <c:pt idx="10">
                  <c:v>3.3844181212133702</c:v>
                </c:pt>
                <c:pt idx="11">
                  <c:v>3.3842025604471</c:v>
                </c:pt>
                <c:pt idx="12">
                  <c:v>3.3840599373823301</c:v>
                </c:pt>
                <c:pt idx="13">
                  <c:v>3.38387449981433</c:v>
                </c:pt>
                <c:pt idx="14">
                  <c:v>3.38366742014869</c:v>
                </c:pt>
                <c:pt idx="15">
                  <c:v>3.3836023486604399</c:v>
                </c:pt>
                <c:pt idx="16">
                  <c:v>3.3835246488267998</c:v>
                </c:pt>
                <c:pt idx="17">
                  <c:v>3.3833539971397402</c:v>
                </c:pt>
                <c:pt idx="18">
                  <c:v>3.38304808373378</c:v>
                </c:pt>
                <c:pt idx="19">
                  <c:v>3.3829562010398901</c:v>
                </c:pt>
                <c:pt idx="20">
                  <c:v>3.3827071622268301</c:v>
                </c:pt>
                <c:pt idx="21">
                  <c:v>3.3854273162556798</c:v>
                </c:pt>
                <c:pt idx="22">
                  <c:v>3.38515245268092</c:v>
                </c:pt>
                <c:pt idx="23">
                  <c:v>3.3848740372116999</c:v>
                </c:pt>
                <c:pt idx="24">
                  <c:v>3.3846343263843099</c:v>
                </c:pt>
                <c:pt idx="25">
                  <c:v>3.38451898329253</c:v>
                </c:pt>
                <c:pt idx="26">
                  <c:v>3.38428413858106</c:v>
                </c:pt>
                <c:pt idx="27">
                  <c:v>3.3851898472843698</c:v>
                </c:pt>
                <c:pt idx="28">
                  <c:v>3.3848547069329999</c:v>
                </c:pt>
                <c:pt idx="29">
                  <c:v>3.38428643913343</c:v>
                </c:pt>
                <c:pt idx="30">
                  <c:v>3.3844264687987402</c:v>
                </c:pt>
                <c:pt idx="31">
                  <c:v>3.3839585825163199</c:v>
                </c:pt>
                <c:pt idx="32">
                  <c:v>3.3826286246305002</c:v>
                </c:pt>
                <c:pt idx="33">
                  <c:v>3.38230612479691</c:v>
                </c:pt>
                <c:pt idx="34">
                  <c:v>3.3820463497750701</c:v>
                </c:pt>
                <c:pt idx="35">
                  <c:v>3.3817599031865302</c:v>
                </c:pt>
                <c:pt idx="36">
                  <c:v>3.3813537450406699</c:v>
                </c:pt>
                <c:pt idx="37">
                  <c:v>3.3810729661663301</c:v>
                </c:pt>
                <c:pt idx="38">
                  <c:v>3.38083004900427</c:v>
                </c:pt>
                <c:pt idx="39">
                  <c:v>3.3806797507914998</c:v>
                </c:pt>
                <c:pt idx="40">
                  <c:v>3.3804134803469998</c:v>
                </c:pt>
                <c:pt idx="41">
                  <c:v>3.38007744078006</c:v>
                </c:pt>
                <c:pt idx="42">
                  <c:v>3.3796329544341801</c:v>
                </c:pt>
                <c:pt idx="43">
                  <c:v>3.3791822884237699</c:v>
                </c:pt>
                <c:pt idx="44">
                  <c:v>3.3785759044308699</c:v>
                </c:pt>
                <c:pt idx="45">
                  <c:v>3.37813858008208</c:v>
                </c:pt>
                <c:pt idx="46">
                  <c:v>3.3773756085814202</c:v>
                </c:pt>
                <c:pt idx="47">
                  <c:v>3.3767304399339002</c:v>
                </c:pt>
                <c:pt idx="48">
                  <c:v>3.3759437286021599</c:v>
                </c:pt>
                <c:pt idx="49">
                  <c:v>3.3754936077648101</c:v>
                </c:pt>
                <c:pt idx="50">
                  <c:v>3.3750553346619001</c:v>
                </c:pt>
                <c:pt idx="51">
                  <c:v>3.3748963694429999</c:v>
                </c:pt>
                <c:pt idx="52">
                  <c:v>3.3748134858300101</c:v>
                </c:pt>
                <c:pt idx="53">
                  <c:v>3.3746013134464898</c:v>
                </c:pt>
                <c:pt idx="54">
                  <c:v>3.3744463264943598</c:v>
                </c:pt>
                <c:pt idx="55">
                  <c:v>3.3742288277289698</c:v>
                </c:pt>
                <c:pt idx="56">
                  <c:v>3.37393718520602</c:v>
                </c:pt>
                <c:pt idx="57">
                  <c:v>3.3738169564453799</c:v>
                </c:pt>
                <c:pt idx="58">
                  <c:v>3.37369006563388</c:v>
                </c:pt>
                <c:pt idx="59">
                  <c:v>3.3735164586165598</c:v>
                </c:pt>
                <c:pt idx="60">
                  <c:v>3.3733156171363099</c:v>
                </c:pt>
                <c:pt idx="61">
                  <c:v>3.3728412171584701</c:v>
                </c:pt>
                <c:pt idx="62">
                  <c:v>3.3728694693372998</c:v>
                </c:pt>
                <c:pt idx="63">
                  <c:v>3.3729783714248298</c:v>
                </c:pt>
                <c:pt idx="64">
                  <c:v>3.3730809706957099</c:v>
                </c:pt>
                <c:pt idx="65">
                  <c:v>3.3729175856231102</c:v>
                </c:pt>
                <c:pt idx="66">
                  <c:v>3.3730074666935699</c:v>
                </c:pt>
                <c:pt idx="67">
                  <c:v>3.3730886659061601</c:v>
                </c:pt>
                <c:pt idx="68">
                  <c:v>3.3731047800180201</c:v>
                </c:pt>
                <c:pt idx="69">
                  <c:v>3.3730877806186501</c:v>
                </c:pt>
                <c:pt idx="70">
                  <c:v>3.3732471825163302</c:v>
                </c:pt>
                <c:pt idx="71">
                  <c:v>3.3733684512277802</c:v>
                </c:pt>
                <c:pt idx="72">
                  <c:v>3.37352428059928</c:v>
                </c:pt>
                <c:pt idx="73">
                  <c:v>3.3735421395440599</c:v>
                </c:pt>
                <c:pt idx="74">
                  <c:v>3.3737723559537498</c:v>
                </c:pt>
                <c:pt idx="75">
                  <c:v>3.37399967766321</c:v>
                </c:pt>
                <c:pt idx="76">
                  <c:v>3.3743714343001199</c:v>
                </c:pt>
                <c:pt idx="77">
                  <c:v>3.3746024234287999</c:v>
                </c:pt>
                <c:pt idx="78">
                  <c:v>3.3747240818750899</c:v>
                </c:pt>
                <c:pt idx="79">
                  <c:v>3.37477849590339</c:v>
                </c:pt>
                <c:pt idx="80">
                  <c:v>3.3748523253872902</c:v>
                </c:pt>
                <c:pt idx="81">
                  <c:v>3.3747718656494898</c:v>
                </c:pt>
                <c:pt idx="82">
                  <c:v>3.3746564255532698</c:v>
                </c:pt>
                <c:pt idx="83">
                  <c:v>3.3746291279337899</c:v>
                </c:pt>
                <c:pt idx="84">
                  <c:v>3.3745445377943302</c:v>
                </c:pt>
                <c:pt idx="85">
                  <c:v>3.3745135662462098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D5-4D35-BE39-BE52DAFC9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3598088"/>
        <c:axId val="503592840"/>
      </c:lineChart>
      <c:dateAx>
        <c:axId val="5672004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200792"/>
        <c:crosses val="autoZero"/>
        <c:auto val="1"/>
        <c:lblOffset val="100"/>
        <c:baseTimeUnit val="months"/>
      </c:dateAx>
      <c:valAx>
        <c:axId val="567200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Mortgage Interest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200464"/>
        <c:crosses val="autoZero"/>
        <c:crossBetween val="between"/>
      </c:valAx>
      <c:valAx>
        <c:axId val="5035928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Bank Interest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598088"/>
        <c:crosses val="max"/>
        <c:crossBetween val="between"/>
      </c:valAx>
      <c:dateAx>
        <c:axId val="50359808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503592840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436390427273144E-2"/>
          <c:y val="0.11244830558541806"/>
          <c:w val="0.82256280165936191"/>
          <c:h val="0.5216453109412984"/>
        </c:manualLayout>
      </c:layout>
      <c:lineChart>
        <c:grouping val="standard"/>
        <c:varyColors val="0"/>
        <c:ser>
          <c:idx val="0"/>
          <c:order val="0"/>
          <c:tx>
            <c:strRef>
              <c:f>fuck!$D$1</c:f>
              <c:strCache>
                <c:ptCount val="1"/>
                <c:pt idx="0">
                  <c:v>Conditional Prepay Rate  
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fuck!$B$2:$B$86</c:f>
              <c:numCache>
                <c:formatCode>m/d/yyyy</c:formatCode>
                <c:ptCount val="85"/>
                <c:pt idx="0">
                  <c:v>41244</c:v>
                </c:pt>
                <c:pt idx="1">
                  <c:v>41275</c:v>
                </c:pt>
                <c:pt idx="2">
                  <c:v>41306</c:v>
                </c:pt>
                <c:pt idx="3">
                  <c:v>41334</c:v>
                </c:pt>
                <c:pt idx="4">
                  <c:v>41365</c:v>
                </c:pt>
                <c:pt idx="5">
                  <c:v>41395</c:v>
                </c:pt>
                <c:pt idx="6">
                  <c:v>41426</c:v>
                </c:pt>
                <c:pt idx="7">
                  <c:v>41456</c:v>
                </c:pt>
                <c:pt idx="8">
                  <c:v>41487</c:v>
                </c:pt>
                <c:pt idx="9">
                  <c:v>41518</c:v>
                </c:pt>
                <c:pt idx="10">
                  <c:v>41548</c:v>
                </c:pt>
                <c:pt idx="11">
                  <c:v>41579</c:v>
                </c:pt>
                <c:pt idx="12">
                  <c:v>41609</c:v>
                </c:pt>
                <c:pt idx="13">
                  <c:v>41640</c:v>
                </c:pt>
                <c:pt idx="14">
                  <c:v>41671</c:v>
                </c:pt>
                <c:pt idx="15">
                  <c:v>41699</c:v>
                </c:pt>
                <c:pt idx="16">
                  <c:v>41730</c:v>
                </c:pt>
                <c:pt idx="17">
                  <c:v>41760</c:v>
                </c:pt>
                <c:pt idx="18">
                  <c:v>41791</c:v>
                </c:pt>
                <c:pt idx="19">
                  <c:v>41821</c:v>
                </c:pt>
                <c:pt idx="20">
                  <c:v>41852</c:v>
                </c:pt>
                <c:pt idx="21">
                  <c:v>41883</c:v>
                </c:pt>
                <c:pt idx="22">
                  <c:v>41913</c:v>
                </c:pt>
                <c:pt idx="23">
                  <c:v>41944</c:v>
                </c:pt>
                <c:pt idx="24">
                  <c:v>41974</c:v>
                </c:pt>
                <c:pt idx="25">
                  <c:v>42005</c:v>
                </c:pt>
                <c:pt idx="26">
                  <c:v>42036</c:v>
                </c:pt>
                <c:pt idx="27">
                  <c:v>42064</c:v>
                </c:pt>
                <c:pt idx="28">
                  <c:v>42095</c:v>
                </c:pt>
                <c:pt idx="29">
                  <c:v>42125</c:v>
                </c:pt>
                <c:pt idx="30">
                  <c:v>42156</c:v>
                </c:pt>
                <c:pt idx="31">
                  <c:v>42186</c:v>
                </c:pt>
                <c:pt idx="32">
                  <c:v>42217</c:v>
                </c:pt>
                <c:pt idx="33">
                  <c:v>42248</c:v>
                </c:pt>
                <c:pt idx="34">
                  <c:v>42278</c:v>
                </c:pt>
                <c:pt idx="35">
                  <c:v>42309</c:v>
                </c:pt>
                <c:pt idx="36">
                  <c:v>42339</c:v>
                </c:pt>
                <c:pt idx="37">
                  <c:v>42370</c:v>
                </c:pt>
                <c:pt idx="38">
                  <c:v>42401</c:v>
                </c:pt>
                <c:pt idx="39">
                  <c:v>42430</c:v>
                </c:pt>
                <c:pt idx="40">
                  <c:v>42461</c:v>
                </c:pt>
                <c:pt idx="41">
                  <c:v>42491</c:v>
                </c:pt>
                <c:pt idx="42">
                  <c:v>42522</c:v>
                </c:pt>
                <c:pt idx="43">
                  <c:v>42552</c:v>
                </c:pt>
                <c:pt idx="44">
                  <c:v>42583</c:v>
                </c:pt>
                <c:pt idx="45">
                  <c:v>42614</c:v>
                </c:pt>
                <c:pt idx="46">
                  <c:v>42644</c:v>
                </c:pt>
                <c:pt idx="47">
                  <c:v>42675</c:v>
                </c:pt>
                <c:pt idx="48">
                  <c:v>42705</c:v>
                </c:pt>
                <c:pt idx="49">
                  <c:v>42736</c:v>
                </c:pt>
                <c:pt idx="50">
                  <c:v>42767</c:v>
                </c:pt>
                <c:pt idx="51">
                  <c:v>42795</c:v>
                </c:pt>
                <c:pt idx="52">
                  <c:v>42826</c:v>
                </c:pt>
                <c:pt idx="53">
                  <c:v>42856</c:v>
                </c:pt>
                <c:pt idx="54">
                  <c:v>42887</c:v>
                </c:pt>
                <c:pt idx="55">
                  <c:v>42917</c:v>
                </c:pt>
                <c:pt idx="56">
                  <c:v>42948</c:v>
                </c:pt>
                <c:pt idx="57">
                  <c:v>42979</c:v>
                </c:pt>
                <c:pt idx="58">
                  <c:v>43009</c:v>
                </c:pt>
                <c:pt idx="59">
                  <c:v>43040</c:v>
                </c:pt>
                <c:pt idx="60">
                  <c:v>43070</c:v>
                </c:pt>
                <c:pt idx="61">
                  <c:v>43101</c:v>
                </c:pt>
                <c:pt idx="62">
                  <c:v>43132</c:v>
                </c:pt>
                <c:pt idx="63">
                  <c:v>43160</c:v>
                </c:pt>
                <c:pt idx="64">
                  <c:v>43191</c:v>
                </c:pt>
                <c:pt idx="65">
                  <c:v>43221</c:v>
                </c:pt>
                <c:pt idx="66">
                  <c:v>43252</c:v>
                </c:pt>
                <c:pt idx="67">
                  <c:v>43282</c:v>
                </c:pt>
                <c:pt idx="68">
                  <c:v>43313</c:v>
                </c:pt>
                <c:pt idx="69">
                  <c:v>43344</c:v>
                </c:pt>
                <c:pt idx="70">
                  <c:v>43374</c:v>
                </c:pt>
                <c:pt idx="71">
                  <c:v>43405</c:v>
                </c:pt>
                <c:pt idx="72">
                  <c:v>43435</c:v>
                </c:pt>
                <c:pt idx="73">
                  <c:v>43466</c:v>
                </c:pt>
                <c:pt idx="74">
                  <c:v>43497</c:v>
                </c:pt>
                <c:pt idx="75">
                  <c:v>43525</c:v>
                </c:pt>
                <c:pt idx="76">
                  <c:v>43556</c:v>
                </c:pt>
                <c:pt idx="77">
                  <c:v>43586</c:v>
                </c:pt>
                <c:pt idx="78">
                  <c:v>43617</c:v>
                </c:pt>
                <c:pt idx="79">
                  <c:v>43647</c:v>
                </c:pt>
                <c:pt idx="80">
                  <c:v>43678</c:v>
                </c:pt>
                <c:pt idx="81">
                  <c:v>43709</c:v>
                </c:pt>
                <c:pt idx="82">
                  <c:v>43739</c:v>
                </c:pt>
                <c:pt idx="83">
                  <c:v>43770</c:v>
                </c:pt>
                <c:pt idx="84">
                  <c:v>43800</c:v>
                </c:pt>
              </c:numCache>
            </c:numRef>
          </c:cat>
          <c:val>
            <c:numRef>
              <c:f>fuck!$D$2:$D$86</c:f>
              <c:numCache>
                <c:formatCode>General</c:formatCode>
                <c:ptCount val="85"/>
                <c:pt idx="0">
                  <c:v>2.9300792428118401</c:v>
                </c:pt>
                <c:pt idx="1">
                  <c:v>2.8957136986039602</c:v>
                </c:pt>
                <c:pt idx="2">
                  <c:v>2.8589634272140598</c:v>
                </c:pt>
                <c:pt idx="3">
                  <c:v>3.5424986679876298</c:v>
                </c:pt>
                <c:pt idx="4">
                  <c:v>4.4622586913212396</c:v>
                </c:pt>
                <c:pt idx="5">
                  <c:v>6.8870400314884401</c:v>
                </c:pt>
                <c:pt idx="6">
                  <c:v>7.0396035026802499</c:v>
                </c:pt>
                <c:pt idx="7">
                  <c:v>6.0709108690751501</c:v>
                </c:pt>
                <c:pt idx="8">
                  <c:v>4.8710405769536598</c:v>
                </c:pt>
                <c:pt idx="9">
                  <c:v>3.9677126822917699</c:v>
                </c:pt>
                <c:pt idx="10">
                  <c:v>3.9622280621813601</c:v>
                </c:pt>
                <c:pt idx="11">
                  <c:v>3.8782433764136601</c:v>
                </c:pt>
                <c:pt idx="12">
                  <c:v>3.9638450790337298</c:v>
                </c:pt>
                <c:pt idx="13">
                  <c:v>3.3756734252337299</c:v>
                </c:pt>
                <c:pt idx="14">
                  <c:v>3.2389038118639699</c:v>
                </c:pt>
                <c:pt idx="15">
                  <c:v>4.1727565365605797</c:v>
                </c:pt>
                <c:pt idx="16">
                  <c:v>4.9032074080112098</c:v>
                </c:pt>
                <c:pt idx="17">
                  <c:v>5.7816745348168199</c:v>
                </c:pt>
                <c:pt idx="18">
                  <c:v>6.7221324737366297</c:v>
                </c:pt>
                <c:pt idx="19">
                  <c:v>7.1175772144725196</c:v>
                </c:pt>
                <c:pt idx="20">
                  <c:v>6.4382019231906602</c:v>
                </c:pt>
                <c:pt idx="21">
                  <c:v>6.0460413172094203</c:v>
                </c:pt>
                <c:pt idx="22">
                  <c:v>6.2616104024202803</c:v>
                </c:pt>
                <c:pt idx="23">
                  <c:v>5.7271549728157201</c:v>
                </c:pt>
                <c:pt idx="24">
                  <c:v>6.3317946215829704</c:v>
                </c:pt>
                <c:pt idx="25">
                  <c:v>5.1729023318111</c:v>
                </c:pt>
                <c:pt idx="26">
                  <c:v>5.9725898977952703</c:v>
                </c:pt>
                <c:pt idx="27">
                  <c:v>8.4630431906376096</c:v>
                </c:pt>
                <c:pt idx="28">
                  <c:v>8.5616757240605494</c:v>
                </c:pt>
                <c:pt idx="29">
                  <c:v>9.0575077597933298</c:v>
                </c:pt>
                <c:pt idx="30">
                  <c:v>10.192565757017899</c:v>
                </c:pt>
                <c:pt idx="31">
                  <c:v>10.038687966250899</c:v>
                </c:pt>
                <c:pt idx="32">
                  <c:v>8.5743665403328908</c:v>
                </c:pt>
                <c:pt idx="33">
                  <c:v>7.9550533026051804</c:v>
                </c:pt>
                <c:pt idx="34">
                  <c:v>7.8774007102808801</c:v>
                </c:pt>
                <c:pt idx="35">
                  <c:v>6.9019831094556601</c:v>
                </c:pt>
                <c:pt idx="36">
                  <c:v>7.8625910803918</c:v>
                </c:pt>
                <c:pt idx="37">
                  <c:v>6.2708582328528104</c:v>
                </c:pt>
                <c:pt idx="38">
                  <c:v>5.9816040553633201</c:v>
                </c:pt>
                <c:pt idx="39">
                  <c:v>9.0006522862531995</c:v>
                </c:pt>
                <c:pt idx="40">
                  <c:v>9.6973015111371499</c:v>
                </c:pt>
                <c:pt idx="41">
                  <c:v>10.755259753173</c:v>
                </c:pt>
                <c:pt idx="42">
                  <c:v>13.1435938552022</c:v>
                </c:pt>
                <c:pt idx="43">
                  <c:v>10.9364888739133</c:v>
                </c:pt>
                <c:pt idx="44">
                  <c:v>14.5014604864494</c:v>
                </c:pt>
                <c:pt idx="45">
                  <c:v>13.6193308068883</c:v>
                </c:pt>
                <c:pt idx="46">
                  <c:v>13.229328927233301</c:v>
                </c:pt>
                <c:pt idx="47">
                  <c:v>12.668629563926199</c:v>
                </c:pt>
                <c:pt idx="48">
                  <c:v>11.0183434207558</c:v>
                </c:pt>
                <c:pt idx="49">
                  <c:v>7.6697052404147001</c:v>
                </c:pt>
                <c:pt idx="50">
                  <c:v>6.4537333201205502</c:v>
                </c:pt>
                <c:pt idx="51">
                  <c:v>7.7588837215082904</c:v>
                </c:pt>
                <c:pt idx="52">
                  <c:v>7.7968908763367404</c:v>
                </c:pt>
                <c:pt idx="53">
                  <c:v>10.038631333301399</c:v>
                </c:pt>
                <c:pt idx="54">
                  <c:v>10.9732165079367</c:v>
                </c:pt>
                <c:pt idx="55">
                  <c:v>9.9814567757169002</c:v>
                </c:pt>
                <c:pt idx="56">
                  <c:v>10.618185057974801</c:v>
                </c:pt>
                <c:pt idx="57">
                  <c:v>8.6571144213079307</c:v>
                </c:pt>
                <c:pt idx="58">
                  <c:v>9.4631697799088901</c:v>
                </c:pt>
                <c:pt idx="59">
                  <c:v>9.0002637705676207</c:v>
                </c:pt>
                <c:pt idx="60">
                  <c:v>8.2947547081481297</c:v>
                </c:pt>
                <c:pt idx="61">
                  <c:v>7.47692391565782</c:v>
                </c:pt>
                <c:pt idx="62">
                  <c:v>7.3694073637375803</c:v>
                </c:pt>
                <c:pt idx="63">
                  <c:v>8.0389684157516204</c:v>
                </c:pt>
                <c:pt idx="64">
                  <c:v>7.8911584731225703</c:v>
                </c:pt>
                <c:pt idx="65">
                  <c:v>9.5663626245456896</c:v>
                </c:pt>
                <c:pt idx="66">
                  <c:v>10.0817075836735</c:v>
                </c:pt>
                <c:pt idx="67">
                  <c:v>9.2157881609724193</c:v>
                </c:pt>
                <c:pt idx="68">
                  <c:v>9.2562142988257605</c:v>
                </c:pt>
                <c:pt idx="69">
                  <c:v>6.94145755796169</c:v>
                </c:pt>
                <c:pt idx="70">
                  <c:v>7.5380704416125903</c:v>
                </c:pt>
                <c:pt idx="71">
                  <c:v>6.7124505409255901</c:v>
                </c:pt>
                <c:pt idx="72">
                  <c:v>6.4826644316445901</c:v>
                </c:pt>
                <c:pt idx="73">
                  <c:v>5.5189466156174598</c:v>
                </c:pt>
                <c:pt idx="74">
                  <c:v>5.7550750051973001</c:v>
                </c:pt>
                <c:pt idx="75">
                  <c:v>6.7190670914967798</c:v>
                </c:pt>
                <c:pt idx="76">
                  <c:v>8.1535206225177603</c:v>
                </c:pt>
                <c:pt idx="77">
                  <c:v>11.060290523743101</c:v>
                </c:pt>
                <c:pt idx="78">
                  <c:v>9.8044276981573901</c:v>
                </c:pt>
                <c:pt idx="79">
                  <c:v>10.8304153765873</c:v>
                </c:pt>
                <c:pt idx="80">
                  <c:v>10.7480320630957</c:v>
                </c:pt>
                <c:pt idx="81">
                  <c:v>10.2886115878966</c:v>
                </c:pt>
                <c:pt idx="82">
                  <c:v>12.3574641288895</c:v>
                </c:pt>
                <c:pt idx="83">
                  <c:v>10.4760969825685</c:v>
                </c:pt>
                <c:pt idx="84">
                  <c:v>11.1317698154156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E2-4A67-AE62-8A6AF6E09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501696"/>
        <c:axId val="743509240"/>
      </c:lineChart>
      <c:lineChart>
        <c:grouping val="standard"/>
        <c:varyColors val="0"/>
        <c:ser>
          <c:idx val="1"/>
          <c:order val="1"/>
          <c:tx>
            <c:strRef>
              <c:f>fuck!$E$1</c:f>
              <c:strCache>
                <c:ptCount val="1"/>
                <c:pt idx="0">
                  <c:v>Interest Rate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fuck!$B$2:$B$86</c:f>
              <c:numCache>
                <c:formatCode>m/d/yyyy</c:formatCode>
                <c:ptCount val="85"/>
                <c:pt idx="0">
                  <c:v>41244</c:v>
                </c:pt>
                <c:pt idx="1">
                  <c:v>41275</c:v>
                </c:pt>
                <c:pt idx="2">
                  <c:v>41306</c:v>
                </c:pt>
                <c:pt idx="3">
                  <c:v>41334</c:v>
                </c:pt>
                <c:pt idx="4">
                  <c:v>41365</c:v>
                </c:pt>
                <c:pt idx="5">
                  <c:v>41395</c:v>
                </c:pt>
                <c:pt idx="6">
                  <c:v>41426</c:v>
                </c:pt>
                <c:pt idx="7">
                  <c:v>41456</c:v>
                </c:pt>
                <c:pt idx="8">
                  <c:v>41487</c:v>
                </c:pt>
                <c:pt idx="9">
                  <c:v>41518</c:v>
                </c:pt>
                <c:pt idx="10">
                  <c:v>41548</c:v>
                </c:pt>
                <c:pt idx="11">
                  <c:v>41579</c:v>
                </c:pt>
                <c:pt idx="12">
                  <c:v>41609</c:v>
                </c:pt>
                <c:pt idx="13">
                  <c:v>41640</c:v>
                </c:pt>
                <c:pt idx="14">
                  <c:v>41671</c:v>
                </c:pt>
                <c:pt idx="15">
                  <c:v>41699</c:v>
                </c:pt>
                <c:pt idx="16">
                  <c:v>41730</c:v>
                </c:pt>
                <c:pt idx="17">
                  <c:v>41760</c:v>
                </c:pt>
                <c:pt idx="18">
                  <c:v>41791</c:v>
                </c:pt>
                <c:pt idx="19">
                  <c:v>41821</c:v>
                </c:pt>
                <c:pt idx="20">
                  <c:v>41852</c:v>
                </c:pt>
                <c:pt idx="21">
                  <c:v>41883</c:v>
                </c:pt>
                <c:pt idx="22">
                  <c:v>41913</c:v>
                </c:pt>
                <c:pt idx="23">
                  <c:v>41944</c:v>
                </c:pt>
                <c:pt idx="24">
                  <c:v>41974</c:v>
                </c:pt>
                <c:pt idx="25">
                  <c:v>42005</c:v>
                </c:pt>
                <c:pt idx="26">
                  <c:v>42036</c:v>
                </c:pt>
                <c:pt idx="27">
                  <c:v>42064</c:v>
                </c:pt>
                <c:pt idx="28">
                  <c:v>42095</c:v>
                </c:pt>
                <c:pt idx="29">
                  <c:v>42125</c:v>
                </c:pt>
                <c:pt idx="30">
                  <c:v>42156</c:v>
                </c:pt>
                <c:pt idx="31">
                  <c:v>42186</c:v>
                </c:pt>
                <c:pt idx="32">
                  <c:v>42217</c:v>
                </c:pt>
                <c:pt idx="33">
                  <c:v>42248</c:v>
                </c:pt>
                <c:pt idx="34">
                  <c:v>42278</c:v>
                </c:pt>
                <c:pt idx="35">
                  <c:v>42309</c:v>
                </c:pt>
                <c:pt idx="36">
                  <c:v>42339</c:v>
                </c:pt>
                <c:pt idx="37">
                  <c:v>42370</c:v>
                </c:pt>
                <c:pt idx="38">
                  <c:v>42401</c:v>
                </c:pt>
                <c:pt idx="39">
                  <c:v>42430</c:v>
                </c:pt>
                <c:pt idx="40">
                  <c:v>42461</c:v>
                </c:pt>
                <c:pt idx="41">
                  <c:v>42491</c:v>
                </c:pt>
                <c:pt idx="42">
                  <c:v>42522</c:v>
                </c:pt>
                <c:pt idx="43">
                  <c:v>42552</c:v>
                </c:pt>
                <c:pt idx="44">
                  <c:v>42583</c:v>
                </c:pt>
                <c:pt idx="45">
                  <c:v>42614</c:v>
                </c:pt>
                <c:pt idx="46">
                  <c:v>42644</c:v>
                </c:pt>
                <c:pt idx="47">
                  <c:v>42675</c:v>
                </c:pt>
                <c:pt idx="48">
                  <c:v>42705</c:v>
                </c:pt>
                <c:pt idx="49">
                  <c:v>42736</c:v>
                </c:pt>
                <c:pt idx="50">
                  <c:v>42767</c:v>
                </c:pt>
                <c:pt idx="51">
                  <c:v>42795</c:v>
                </c:pt>
                <c:pt idx="52">
                  <c:v>42826</c:v>
                </c:pt>
                <c:pt idx="53">
                  <c:v>42856</c:v>
                </c:pt>
                <c:pt idx="54">
                  <c:v>42887</c:v>
                </c:pt>
                <c:pt idx="55">
                  <c:v>42917</c:v>
                </c:pt>
                <c:pt idx="56">
                  <c:v>42948</c:v>
                </c:pt>
                <c:pt idx="57">
                  <c:v>42979</c:v>
                </c:pt>
                <c:pt idx="58">
                  <c:v>43009</c:v>
                </c:pt>
                <c:pt idx="59">
                  <c:v>43040</c:v>
                </c:pt>
                <c:pt idx="60">
                  <c:v>43070</c:v>
                </c:pt>
                <c:pt idx="61">
                  <c:v>43101</c:v>
                </c:pt>
                <c:pt idx="62">
                  <c:v>43132</c:v>
                </c:pt>
                <c:pt idx="63">
                  <c:v>43160</c:v>
                </c:pt>
                <c:pt idx="64">
                  <c:v>43191</c:v>
                </c:pt>
                <c:pt idx="65">
                  <c:v>43221</c:v>
                </c:pt>
                <c:pt idx="66">
                  <c:v>43252</c:v>
                </c:pt>
                <c:pt idx="67">
                  <c:v>43282</c:v>
                </c:pt>
                <c:pt idx="68">
                  <c:v>43313</c:v>
                </c:pt>
                <c:pt idx="69">
                  <c:v>43344</c:v>
                </c:pt>
                <c:pt idx="70">
                  <c:v>43374</c:v>
                </c:pt>
                <c:pt idx="71">
                  <c:v>43405</c:v>
                </c:pt>
                <c:pt idx="72">
                  <c:v>43435</c:v>
                </c:pt>
                <c:pt idx="73">
                  <c:v>43466</c:v>
                </c:pt>
                <c:pt idx="74">
                  <c:v>43497</c:v>
                </c:pt>
                <c:pt idx="75">
                  <c:v>43525</c:v>
                </c:pt>
                <c:pt idx="76">
                  <c:v>43556</c:v>
                </c:pt>
                <c:pt idx="77">
                  <c:v>43586</c:v>
                </c:pt>
                <c:pt idx="78">
                  <c:v>43617</c:v>
                </c:pt>
                <c:pt idx="79">
                  <c:v>43647</c:v>
                </c:pt>
                <c:pt idx="80">
                  <c:v>43678</c:v>
                </c:pt>
                <c:pt idx="81">
                  <c:v>43709</c:v>
                </c:pt>
                <c:pt idx="82">
                  <c:v>43739</c:v>
                </c:pt>
                <c:pt idx="83">
                  <c:v>43770</c:v>
                </c:pt>
                <c:pt idx="84">
                  <c:v>43800</c:v>
                </c:pt>
              </c:numCache>
            </c:numRef>
          </c:cat>
          <c:val>
            <c:numRef>
              <c:f>fuck!$E$2:$E$86</c:f>
              <c:numCache>
                <c:formatCode>General</c:formatCode>
                <c:ptCount val="85"/>
                <c:pt idx="0">
                  <c:v>3.3450000000000002</c:v>
                </c:pt>
                <c:pt idx="1">
                  <c:v>3.3849999999999998</c:v>
                </c:pt>
                <c:pt idx="2">
                  <c:v>3.5375000000000001</c:v>
                </c:pt>
                <c:pt idx="3">
                  <c:v>3.5539999999999998</c:v>
                </c:pt>
                <c:pt idx="4">
                  <c:v>3.4449999999999998</c:v>
                </c:pt>
                <c:pt idx="5">
                  <c:v>3.536</c:v>
                </c:pt>
                <c:pt idx="6">
                  <c:v>4.07</c:v>
                </c:pt>
                <c:pt idx="7">
                  <c:v>4.37</c:v>
                </c:pt>
                <c:pt idx="8">
                  <c:v>4.4560000000000004</c:v>
                </c:pt>
                <c:pt idx="9">
                  <c:v>4.49</c:v>
                </c:pt>
                <c:pt idx="10">
                  <c:v>4.2149999999999999</c:v>
                </c:pt>
                <c:pt idx="11">
                  <c:v>4.2240000000000002</c:v>
                </c:pt>
                <c:pt idx="12">
                  <c:v>4.4574999999999996</c:v>
                </c:pt>
                <c:pt idx="13">
                  <c:v>4.4320000000000004</c:v>
                </c:pt>
                <c:pt idx="14">
                  <c:v>4.3025000000000002</c:v>
                </c:pt>
                <c:pt idx="15">
                  <c:v>4.3425000000000002</c:v>
                </c:pt>
                <c:pt idx="16">
                  <c:v>4.3375000000000004</c:v>
                </c:pt>
                <c:pt idx="17">
                  <c:v>4.1920000000000002</c:v>
                </c:pt>
                <c:pt idx="18">
                  <c:v>4.1624999999999996</c:v>
                </c:pt>
                <c:pt idx="19">
                  <c:v>4.1325000000000003</c:v>
                </c:pt>
                <c:pt idx="20">
                  <c:v>4.1159999999999997</c:v>
                </c:pt>
                <c:pt idx="21">
                  <c:v>4.1624999999999996</c:v>
                </c:pt>
                <c:pt idx="22">
                  <c:v>4.0359999999999996</c:v>
                </c:pt>
                <c:pt idx="23">
                  <c:v>3.9975000000000001</c:v>
                </c:pt>
                <c:pt idx="24">
                  <c:v>3.8624999999999998</c:v>
                </c:pt>
                <c:pt idx="25">
                  <c:v>3.71</c:v>
                </c:pt>
                <c:pt idx="26">
                  <c:v>3.71</c:v>
                </c:pt>
                <c:pt idx="27">
                  <c:v>3.77</c:v>
                </c:pt>
                <c:pt idx="28">
                  <c:v>3.67</c:v>
                </c:pt>
                <c:pt idx="29">
                  <c:v>3.8079999999999998</c:v>
                </c:pt>
                <c:pt idx="30">
                  <c:v>3.9824999999999999</c:v>
                </c:pt>
                <c:pt idx="31">
                  <c:v>4.0460000000000003</c:v>
                </c:pt>
                <c:pt idx="32">
                  <c:v>3.9049999999999998</c:v>
                </c:pt>
                <c:pt idx="33">
                  <c:v>3.89</c:v>
                </c:pt>
                <c:pt idx="34">
                  <c:v>3.7959999999999998</c:v>
                </c:pt>
                <c:pt idx="35">
                  <c:v>3.9424999999999999</c:v>
                </c:pt>
                <c:pt idx="36">
                  <c:v>3.9525000000000001</c:v>
                </c:pt>
                <c:pt idx="37">
                  <c:v>3.9</c:v>
                </c:pt>
                <c:pt idx="38">
                  <c:v>3.66</c:v>
                </c:pt>
                <c:pt idx="39">
                  <c:v>3.69</c:v>
                </c:pt>
                <c:pt idx="40">
                  <c:v>3.6259999999999999</c:v>
                </c:pt>
                <c:pt idx="41">
                  <c:v>3.6</c:v>
                </c:pt>
                <c:pt idx="42">
                  <c:v>3.59</c:v>
                </c:pt>
                <c:pt idx="43">
                  <c:v>3.448</c:v>
                </c:pt>
                <c:pt idx="44">
                  <c:v>3.4350000000000001</c:v>
                </c:pt>
                <c:pt idx="45">
                  <c:v>3.46</c:v>
                </c:pt>
                <c:pt idx="46">
                  <c:v>3.47</c:v>
                </c:pt>
                <c:pt idx="47">
                  <c:v>3.77</c:v>
                </c:pt>
                <c:pt idx="48">
                  <c:v>4.1980000000000004</c:v>
                </c:pt>
                <c:pt idx="49">
                  <c:v>4.1500000000000004</c:v>
                </c:pt>
                <c:pt idx="50">
                  <c:v>4.1675000000000004</c:v>
                </c:pt>
                <c:pt idx="51">
                  <c:v>4.1959999999999997</c:v>
                </c:pt>
                <c:pt idx="52">
                  <c:v>4.0449999999999999</c:v>
                </c:pt>
                <c:pt idx="53">
                  <c:v>4.01</c:v>
                </c:pt>
                <c:pt idx="54">
                  <c:v>3.9039999999999999</c:v>
                </c:pt>
                <c:pt idx="55">
                  <c:v>3.9674999999999998</c:v>
                </c:pt>
                <c:pt idx="56">
                  <c:v>3.895</c:v>
                </c:pt>
                <c:pt idx="57">
                  <c:v>3.8079999999999998</c:v>
                </c:pt>
                <c:pt idx="58">
                  <c:v>3.895</c:v>
                </c:pt>
                <c:pt idx="59">
                  <c:v>3.9275000000000002</c:v>
                </c:pt>
                <c:pt idx="60">
                  <c:v>3.94</c:v>
                </c:pt>
                <c:pt idx="61">
                  <c:v>4.0324999999999998</c:v>
                </c:pt>
                <c:pt idx="62">
                  <c:v>4.33</c:v>
                </c:pt>
                <c:pt idx="63">
                  <c:v>4.444</c:v>
                </c:pt>
                <c:pt idx="64">
                  <c:v>4.4675000000000002</c:v>
                </c:pt>
                <c:pt idx="65">
                  <c:v>4.5925000000000002</c:v>
                </c:pt>
                <c:pt idx="66">
                  <c:v>4.5679999999999996</c:v>
                </c:pt>
                <c:pt idx="67">
                  <c:v>4.5274999999999999</c:v>
                </c:pt>
                <c:pt idx="68">
                  <c:v>4.55</c:v>
                </c:pt>
                <c:pt idx="69">
                  <c:v>4.6275000000000004</c:v>
                </c:pt>
                <c:pt idx="70">
                  <c:v>4.83</c:v>
                </c:pt>
                <c:pt idx="71">
                  <c:v>4.8659999999999997</c:v>
                </c:pt>
                <c:pt idx="72">
                  <c:v>4.6375000000000002</c:v>
                </c:pt>
                <c:pt idx="73">
                  <c:v>4.4649999999999999</c:v>
                </c:pt>
                <c:pt idx="74">
                  <c:v>4.3975</c:v>
                </c:pt>
                <c:pt idx="75">
                  <c:v>4.282</c:v>
                </c:pt>
                <c:pt idx="76">
                  <c:v>4.1425000000000001</c:v>
                </c:pt>
                <c:pt idx="77">
                  <c:v>4.0720000000000001</c:v>
                </c:pt>
                <c:pt idx="78">
                  <c:v>3.8025000000000002</c:v>
                </c:pt>
                <c:pt idx="79">
                  <c:v>3.7650000000000001</c:v>
                </c:pt>
                <c:pt idx="80">
                  <c:v>3.6160000000000001</c:v>
                </c:pt>
                <c:pt idx="81">
                  <c:v>3.605</c:v>
                </c:pt>
                <c:pt idx="82">
                  <c:v>3.665</c:v>
                </c:pt>
                <c:pt idx="83">
                  <c:v>3.7120000000000002</c:v>
                </c:pt>
                <c:pt idx="84">
                  <c:v>3.72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E2-4A67-AE62-8A6AF6E09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0535344"/>
        <c:axId val="570530096"/>
      </c:lineChart>
      <c:dateAx>
        <c:axId val="7435016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09240"/>
        <c:crosses val="autoZero"/>
        <c:auto val="1"/>
        <c:lblOffset val="100"/>
        <c:baseTimeUnit val="months"/>
      </c:dateAx>
      <c:valAx>
        <c:axId val="743509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Conditional Prepay Rate 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01696"/>
        <c:crosses val="autoZero"/>
        <c:crossBetween val="between"/>
      </c:valAx>
      <c:valAx>
        <c:axId val="57053009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Interest Rate 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535344"/>
        <c:crosses val="max"/>
        <c:crossBetween val="between"/>
      </c:valAx>
      <c:dateAx>
        <c:axId val="57053534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570530096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fuck!$G$1</c:f>
              <c:strCache>
                <c:ptCount val="1"/>
                <c:pt idx="0">
                  <c:v>Conditional Prepay Rate  
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fuck!$F$2:$F$86</c:f>
              <c:strCache>
                <c:ptCount val="85"/>
                <c:pt idx="0">
                  <c:v> </c:v>
                </c:pt>
                <c:pt idx="1">
                  <c:v>1/1/2013</c:v>
                </c:pt>
                <c:pt idx="2">
                  <c:v>2/1/2013</c:v>
                </c:pt>
                <c:pt idx="3">
                  <c:v>3/1/2013</c:v>
                </c:pt>
                <c:pt idx="4">
                  <c:v>4/1/2013</c:v>
                </c:pt>
                <c:pt idx="5">
                  <c:v>5/1/2013</c:v>
                </c:pt>
                <c:pt idx="6">
                  <c:v>6/1/2013</c:v>
                </c:pt>
                <c:pt idx="7">
                  <c:v>7/1/2013</c:v>
                </c:pt>
                <c:pt idx="8">
                  <c:v>8/1/2013</c:v>
                </c:pt>
                <c:pt idx="9">
                  <c:v>9/1/2013</c:v>
                </c:pt>
                <c:pt idx="10">
                  <c:v>10/1/2013</c:v>
                </c:pt>
                <c:pt idx="11">
                  <c:v>11/1/2013</c:v>
                </c:pt>
                <c:pt idx="12">
                  <c:v>12/1/2013</c:v>
                </c:pt>
                <c:pt idx="13">
                  <c:v>1/1/2014</c:v>
                </c:pt>
                <c:pt idx="14">
                  <c:v>2/1/2014</c:v>
                </c:pt>
                <c:pt idx="15">
                  <c:v>3/1/2014</c:v>
                </c:pt>
                <c:pt idx="16">
                  <c:v>4/1/2014</c:v>
                </c:pt>
                <c:pt idx="17">
                  <c:v>5/1/2014</c:v>
                </c:pt>
                <c:pt idx="18">
                  <c:v>6/1/2014</c:v>
                </c:pt>
                <c:pt idx="19">
                  <c:v>7/1/2014</c:v>
                </c:pt>
                <c:pt idx="20">
                  <c:v>8/1/2014</c:v>
                </c:pt>
                <c:pt idx="21">
                  <c:v>9/1/2014</c:v>
                </c:pt>
                <c:pt idx="22">
                  <c:v>10/1/2014</c:v>
                </c:pt>
                <c:pt idx="23">
                  <c:v>11/1/2014</c:v>
                </c:pt>
                <c:pt idx="24">
                  <c:v>12/1/2014</c:v>
                </c:pt>
                <c:pt idx="25">
                  <c:v>1/1/2015</c:v>
                </c:pt>
                <c:pt idx="26">
                  <c:v>2/1/2015</c:v>
                </c:pt>
                <c:pt idx="27">
                  <c:v>3/1/2015</c:v>
                </c:pt>
                <c:pt idx="28">
                  <c:v>4/1/2015</c:v>
                </c:pt>
                <c:pt idx="29">
                  <c:v>5/1/2015</c:v>
                </c:pt>
                <c:pt idx="30">
                  <c:v>6/1/2015</c:v>
                </c:pt>
                <c:pt idx="31">
                  <c:v>7/1/2015</c:v>
                </c:pt>
                <c:pt idx="32">
                  <c:v>8/1/2015</c:v>
                </c:pt>
                <c:pt idx="33">
                  <c:v>9/1/2015</c:v>
                </c:pt>
                <c:pt idx="34">
                  <c:v>10/1/2015</c:v>
                </c:pt>
                <c:pt idx="35">
                  <c:v>11/1/2015</c:v>
                </c:pt>
                <c:pt idx="36">
                  <c:v>12/1/2015</c:v>
                </c:pt>
                <c:pt idx="37">
                  <c:v>1/1/2016</c:v>
                </c:pt>
                <c:pt idx="38">
                  <c:v>2/1/2016</c:v>
                </c:pt>
                <c:pt idx="39">
                  <c:v>3/1/2016</c:v>
                </c:pt>
                <c:pt idx="40">
                  <c:v>4/1/2016</c:v>
                </c:pt>
                <c:pt idx="41">
                  <c:v>5/1/2016</c:v>
                </c:pt>
                <c:pt idx="42">
                  <c:v>6/1/2016</c:v>
                </c:pt>
                <c:pt idx="43">
                  <c:v>7/1/2016</c:v>
                </c:pt>
                <c:pt idx="44">
                  <c:v>8/1/2016</c:v>
                </c:pt>
                <c:pt idx="45">
                  <c:v>9/1/2016</c:v>
                </c:pt>
                <c:pt idx="46">
                  <c:v>10/1/2016</c:v>
                </c:pt>
                <c:pt idx="47">
                  <c:v>11/1/2016</c:v>
                </c:pt>
                <c:pt idx="48">
                  <c:v>12/1/2016</c:v>
                </c:pt>
                <c:pt idx="49">
                  <c:v>1/1/2017</c:v>
                </c:pt>
                <c:pt idx="50">
                  <c:v>2/1/2017</c:v>
                </c:pt>
                <c:pt idx="51">
                  <c:v>3/1/2017</c:v>
                </c:pt>
                <c:pt idx="52">
                  <c:v>4/1/2017</c:v>
                </c:pt>
                <c:pt idx="53">
                  <c:v>5/1/2017</c:v>
                </c:pt>
                <c:pt idx="54">
                  <c:v>6/1/2017</c:v>
                </c:pt>
                <c:pt idx="55">
                  <c:v>7/1/2017</c:v>
                </c:pt>
                <c:pt idx="56">
                  <c:v>8/1/2017</c:v>
                </c:pt>
                <c:pt idx="57">
                  <c:v>9/1/2017</c:v>
                </c:pt>
                <c:pt idx="58">
                  <c:v>10/1/2017</c:v>
                </c:pt>
                <c:pt idx="59">
                  <c:v>11/1/2017</c:v>
                </c:pt>
                <c:pt idx="60">
                  <c:v>12/1/2017</c:v>
                </c:pt>
                <c:pt idx="61">
                  <c:v>1/1/2018</c:v>
                </c:pt>
                <c:pt idx="62">
                  <c:v>2/1/2018</c:v>
                </c:pt>
                <c:pt idx="63">
                  <c:v>3/1/2018</c:v>
                </c:pt>
                <c:pt idx="64">
                  <c:v>4/1/2018</c:v>
                </c:pt>
                <c:pt idx="65">
                  <c:v>5/1/2018</c:v>
                </c:pt>
                <c:pt idx="66">
                  <c:v>6/1/2018</c:v>
                </c:pt>
                <c:pt idx="67">
                  <c:v>7/1/2018</c:v>
                </c:pt>
                <c:pt idx="68">
                  <c:v>8/1/2018</c:v>
                </c:pt>
                <c:pt idx="69">
                  <c:v>9/1/2018</c:v>
                </c:pt>
                <c:pt idx="70">
                  <c:v>10/1/2018</c:v>
                </c:pt>
                <c:pt idx="71">
                  <c:v>11/1/2018</c:v>
                </c:pt>
                <c:pt idx="72">
                  <c:v>12/1/2018</c:v>
                </c:pt>
                <c:pt idx="73">
                  <c:v>1/1/2019</c:v>
                </c:pt>
                <c:pt idx="74">
                  <c:v>2/1/2019</c:v>
                </c:pt>
                <c:pt idx="75">
                  <c:v>3/1/2019</c:v>
                </c:pt>
                <c:pt idx="76">
                  <c:v>4/1/2019</c:v>
                </c:pt>
                <c:pt idx="77">
                  <c:v>5/1/2019</c:v>
                </c:pt>
                <c:pt idx="78">
                  <c:v>6/1/2019</c:v>
                </c:pt>
                <c:pt idx="79">
                  <c:v>7/1/2019</c:v>
                </c:pt>
                <c:pt idx="80">
                  <c:v>8/1/2019</c:v>
                </c:pt>
                <c:pt idx="81">
                  <c:v>9/1/2019</c:v>
                </c:pt>
                <c:pt idx="82">
                  <c:v>10/1/2019</c:v>
                </c:pt>
                <c:pt idx="83">
                  <c:v>11/1/2019</c:v>
                </c:pt>
                <c:pt idx="84">
                  <c:v>12/1/2019</c:v>
                </c:pt>
              </c:strCache>
            </c:strRef>
          </c:cat>
          <c:val>
            <c:numRef>
              <c:f>fuck!$G$2:$G$86</c:f>
              <c:numCache>
                <c:formatCode>0.00%</c:formatCode>
                <c:ptCount val="85"/>
                <c:pt idx="1">
                  <c:v>-1.1728537476311076E-2</c:v>
                </c:pt>
                <c:pt idx="2">
                  <c:v>-1.2691265509990819E-2</c:v>
                </c:pt>
                <c:pt idx="3">
                  <c:v>0.23908498942906956</c:v>
                </c:pt>
                <c:pt idx="4">
                  <c:v>0.2596359546003989</c:v>
                </c:pt>
                <c:pt idx="5">
                  <c:v>0.54339775165505744</c:v>
                </c:pt>
                <c:pt idx="6">
                  <c:v>2.2152255612610035E-2</c:v>
                </c:pt>
                <c:pt idx="7">
                  <c:v>-0.13760613552116693</c:v>
                </c:pt>
                <c:pt idx="8">
                  <c:v>-0.19764254788083885</c:v>
                </c:pt>
                <c:pt idx="9">
                  <c:v>-0.18544864909066916</c:v>
                </c:pt>
                <c:pt idx="10">
                  <c:v>-1.3823128209076343E-3</c:v>
                </c:pt>
                <c:pt idx="11">
                  <c:v>-2.1196328038084508E-2</c:v>
                </c:pt>
                <c:pt idx="12">
                  <c:v>2.2072287453818448E-2</c:v>
                </c:pt>
                <c:pt idx="13">
                  <c:v>-0.14838411745985267</c:v>
                </c:pt>
                <c:pt idx="14">
                  <c:v>-4.0516245543003065E-2</c:v>
                </c:pt>
                <c:pt idx="15">
                  <c:v>0.28832369805980224</c:v>
                </c:pt>
                <c:pt idx="16">
                  <c:v>0.17505235808766087</c:v>
                </c:pt>
                <c:pt idx="17">
                  <c:v>0.17916173102738994</c:v>
                </c:pt>
                <c:pt idx="18">
                  <c:v>0.16266186089452822</c:v>
                </c:pt>
                <c:pt idx="19">
                  <c:v>5.8827275761210059E-2</c:v>
                </c:pt>
                <c:pt idx="20">
                  <c:v>-9.5450357728533275E-2</c:v>
                </c:pt>
                <c:pt idx="21">
                  <c:v>-6.0911510800657209E-2</c:v>
                </c:pt>
                <c:pt idx="22">
                  <c:v>3.5654583536712747E-2</c:v>
                </c:pt>
                <c:pt idx="23">
                  <c:v>-8.5354309076460411E-2</c:v>
                </c:pt>
                <c:pt idx="24">
                  <c:v>0.10557417280258839</c:v>
                </c:pt>
                <c:pt idx="25">
                  <c:v>-0.18302746046461996</c:v>
                </c:pt>
                <c:pt idx="26">
                  <c:v>0.15459166144824335</c:v>
                </c:pt>
                <c:pt idx="27">
                  <c:v>0.41698046165226721</c:v>
                </c:pt>
                <c:pt idx="28">
                  <c:v>1.1654499593249606E-2</c:v>
                </c:pt>
                <c:pt idx="29">
                  <c:v>5.7912966072676937E-2</c:v>
                </c:pt>
                <c:pt idx="30">
                  <c:v>0.12531681201126221</c:v>
                </c:pt>
                <c:pt idx="31">
                  <c:v>-1.509706137152466E-2</c:v>
                </c:pt>
                <c:pt idx="32">
                  <c:v>-0.14586780970191682</c:v>
                </c:pt>
                <c:pt idx="33">
                  <c:v>-7.2228453823909675E-2</c:v>
                </c:pt>
                <c:pt idx="34">
                  <c:v>-9.7614169723878631E-3</c:v>
                </c:pt>
                <c:pt idx="35">
                  <c:v>-0.12382480423424341</c:v>
                </c:pt>
                <c:pt idx="36">
                  <c:v>0.13917854560091794</c:v>
                </c:pt>
                <c:pt idx="37">
                  <c:v>-0.20244380399084319</c:v>
                </c:pt>
                <c:pt idx="38">
                  <c:v>-4.6126728870076773E-2</c:v>
                </c:pt>
                <c:pt idx="39">
                  <c:v>0.50472217869099723</c:v>
                </c:pt>
                <c:pt idx="40">
                  <c:v>7.739985977993516E-2</c:v>
                </c:pt>
                <c:pt idx="41">
                  <c:v>0.1090982105507194</c:v>
                </c:pt>
                <c:pt idx="42">
                  <c:v>0.22206196380562515</c:v>
                </c:pt>
                <c:pt idx="43">
                  <c:v>-0.16792248798948803</c:v>
                </c:pt>
                <c:pt idx="44">
                  <c:v>0.32597039631609664</c:v>
                </c:pt>
                <c:pt idx="45">
                  <c:v>-6.0830402591889848E-2</c:v>
                </c:pt>
                <c:pt idx="46">
                  <c:v>-2.8635906211907754E-2</c:v>
                </c:pt>
                <c:pt idx="47">
                  <c:v>-4.2383054075620638E-2</c:v>
                </c:pt>
                <c:pt idx="48">
                  <c:v>-0.13026556146764079</c:v>
                </c:pt>
                <c:pt idx="49">
                  <c:v>-0.3039148493078464</c:v>
                </c:pt>
                <c:pt idx="50">
                  <c:v>-0.15854219714816609</c:v>
                </c:pt>
                <c:pt idx="51">
                  <c:v>0.20223184576262612</c:v>
                </c:pt>
                <c:pt idx="52">
                  <c:v>4.8985338861427799E-3</c:v>
                </c:pt>
                <c:pt idx="53">
                  <c:v>0.28751722866460194</c:v>
                </c:pt>
                <c:pt idx="54">
                  <c:v>9.3098864138478496E-2</c:v>
                </c:pt>
                <c:pt idx="55">
                  <c:v>-9.0380038660722709E-2</c:v>
                </c:pt>
                <c:pt idx="56">
                  <c:v>6.3791117525744984E-2</c:v>
                </c:pt>
                <c:pt idx="57">
                  <c:v>-0.18468981525180758</c:v>
                </c:pt>
                <c:pt idx="58">
                  <c:v>9.3109010621021601E-2</c:v>
                </c:pt>
                <c:pt idx="59">
                  <c:v>-4.8916591386118632E-2</c:v>
                </c:pt>
                <c:pt idx="60">
                  <c:v>-7.838759845312808E-2</c:v>
                </c:pt>
                <c:pt idx="61">
                  <c:v>-9.8596139520188045E-2</c:v>
                </c:pt>
                <c:pt idx="62">
                  <c:v>-1.4379784137576096E-2</c:v>
                </c:pt>
                <c:pt idx="63">
                  <c:v>9.0856838137178958E-2</c:v>
                </c:pt>
                <c:pt idx="64">
                  <c:v>-1.8386680353094806E-2</c:v>
                </c:pt>
                <c:pt idx="65">
                  <c:v>0.21228874785988586</c:v>
                </c:pt>
                <c:pt idx="66">
                  <c:v>5.3870523139643654E-2</c:v>
                </c:pt>
                <c:pt idx="67">
                  <c:v>-8.5890154570974334E-2</c:v>
                </c:pt>
                <c:pt idx="68">
                  <c:v>4.3866175249709328E-3</c:v>
                </c:pt>
                <c:pt idx="69">
                  <c:v>-0.25007596692718315</c:v>
                </c:pt>
                <c:pt idx="70">
                  <c:v>8.5949223008156161E-2</c:v>
                </c:pt>
                <c:pt idx="71">
                  <c:v>-0.10952668949991644</c:v>
                </c:pt>
                <c:pt idx="72">
                  <c:v>-3.4232819725076816E-2</c:v>
                </c:pt>
                <c:pt idx="73">
                  <c:v>-0.14866075919691624</c:v>
                </c:pt>
                <c:pt idx="74">
                  <c:v>4.2785046862320888E-2</c:v>
                </c:pt>
                <c:pt idx="75">
                  <c:v>0.16750295789870967</c:v>
                </c:pt>
                <c:pt idx="76">
                  <c:v>0.2134899847683219</c:v>
                </c:pt>
                <c:pt idx="77">
                  <c:v>0.35650488124082852</c:v>
                </c:pt>
                <c:pt idx="78">
                  <c:v>-0.11354700158099397</c:v>
                </c:pt>
                <c:pt idx="79">
                  <c:v>0.1046453408619384</c:v>
                </c:pt>
                <c:pt idx="80">
                  <c:v>-7.6066624064754966E-3</c:v>
                </c:pt>
                <c:pt idx="81">
                  <c:v>-4.2744613386162048E-2</c:v>
                </c:pt>
                <c:pt idx="82">
                  <c:v>0.201081800330248</c:v>
                </c:pt>
                <c:pt idx="83">
                  <c:v>-0.15224540623368729</c:v>
                </c:pt>
                <c:pt idx="84">
                  <c:v>6.2587510781743891E-2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1C-47D8-8607-E5E974E4A4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903144"/>
        <c:axId val="571910032"/>
      </c:lineChart>
      <c:lineChart>
        <c:grouping val="standard"/>
        <c:varyColors val="0"/>
        <c:ser>
          <c:idx val="1"/>
          <c:order val="1"/>
          <c:tx>
            <c:strRef>
              <c:f>fuck!$H$1</c:f>
              <c:strCache>
                <c:ptCount val="1"/>
                <c:pt idx="0">
                  <c:v>Interest Rate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fuck!$F$2:$F$86</c:f>
              <c:strCache>
                <c:ptCount val="85"/>
                <c:pt idx="0">
                  <c:v> </c:v>
                </c:pt>
                <c:pt idx="1">
                  <c:v>1/1/2013</c:v>
                </c:pt>
                <c:pt idx="2">
                  <c:v>2/1/2013</c:v>
                </c:pt>
                <c:pt idx="3">
                  <c:v>3/1/2013</c:v>
                </c:pt>
                <c:pt idx="4">
                  <c:v>4/1/2013</c:v>
                </c:pt>
                <c:pt idx="5">
                  <c:v>5/1/2013</c:v>
                </c:pt>
                <c:pt idx="6">
                  <c:v>6/1/2013</c:v>
                </c:pt>
                <c:pt idx="7">
                  <c:v>7/1/2013</c:v>
                </c:pt>
                <c:pt idx="8">
                  <c:v>8/1/2013</c:v>
                </c:pt>
                <c:pt idx="9">
                  <c:v>9/1/2013</c:v>
                </c:pt>
                <c:pt idx="10">
                  <c:v>10/1/2013</c:v>
                </c:pt>
                <c:pt idx="11">
                  <c:v>11/1/2013</c:v>
                </c:pt>
                <c:pt idx="12">
                  <c:v>12/1/2013</c:v>
                </c:pt>
                <c:pt idx="13">
                  <c:v>1/1/2014</c:v>
                </c:pt>
                <c:pt idx="14">
                  <c:v>2/1/2014</c:v>
                </c:pt>
                <c:pt idx="15">
                  <c:v>3/1/2014</c:v>
                </c:pt>
                <c:pt idx="16">
                  <c:v>4/1/2014</c:v>
                </c:pt>
                <c:pt idx="17">
                  <c:v>5/1/2014</c:v>
                </c:pt>
                <c:pt idx="18">
                  <c:v>6/1/2014</c:v>
                </c:pt>
                <c:pt idx="19">
                  <c:v>7/1/2014</c:v>
                </c:pt>
                <c:pt idx="20">
                  <c:v>8/1/2014</c:v>
                </c:pt>
                <c:pt idx="21">
                  <c:v>9/1/2014</c:v>
                </c:pt>
                <c:pt idx="22">
                  <c:v>10/1/2014</c:v>
                </c:pt>
                <c:pt idx="23">
                  <c:v>11/1/2014</c:v>
                </c:pt>
                <c:pt idx="24">
                  <c:v>12/1/2014</c:v>
                </c:pt>
                <c:pt idx="25">
                  <c:v>1/1/2015</c:v>
                </c:pt>
                <c:pt idx="26">
                  <c:v>2/1/2015</c:v>
                </c:pt>
                <c:pt idx="27">
                  <c:v>3/1/2015</c:v>
                </c:pt>
                <c:pt idx="28">
                  <c:v>4/1/2015</c:v>
                </c:pt>
                <c:pt idx="29">
                  <c:v>5/1/2015</c:v>
                </c:pt>
                <c:pt idx="30">
                  <c:v>6/1/2015</c:v>
                </c:pt>
                <c:pt idx="31">
                  <c:v>7/1/2015</c:v>
                </c:pt>
                <c:pt idx="32">
                  <c:v>8/1/2015</c:v>
                </c:pt>
                <c:pt idx="33">
                  <c:v>9/1/2015</c:v>
                </c:pt>
                <c:pt idx="34">
                  <c:v>10/1/2015</c:v>
                </c:pt>
                <c:pt idx="35">
                  <c:v>11/1/2015</c:v>
                </c:pt>
                <c:pt idx="36">
                  <c:v>12/1/2015</c:v>
                </c:pt>
                <c:pt idx="37">
                  <c:v>1/1/2016</c:v>
                </c:pt>
                <c:pt idx="38">
                  <c:v>2/1/2016</c:v>
                </c:pt>
                <c:pt idx="39">
                  <c:v>3/1/2016</c:v>
                </c:pt>
                <c:pt idx="40">
                  <c:v>4/1/2016</c:v>
                </c:pt>
                <c:pt idx="41">
                  <c:v>5/1/2016</c:v>
                </c:pt>
                <c:pt idx="42">
                  <c:v>6/1/2016</c:v>
                </c:pt>
                <c:pt idx="43">
                  <c:v>7/1/2016</c:v>
                </c:pt>
                <c:pt idx="44">
                  <c:v>8/1/2016</c:v>
                </c:pt>
                <c:pt idx="45">
                  <c:v>9/1/2016</c:v>
                </c:pt>
                <c:pt idx="46">
                  <c:v>10/1/2016</c:v>
                </c:pt>
                <c:pt idx="47">
                  <c:v>11/1/2016</c:v>
                </c:pt>
                <c:pt idx="48">
                  <c:v>12/1/2016</c:v>
                </c:pt>
                <c:pt idx="49">
                  <c:v>1/1/2017</c:v>
                </c:pt>
                <c:pt idx="50">
                  <c:v>2/1/2017</c:v>
                </c:pt>
                <c:pt idx="51">
                  <c:v>3/1/2017</c:v>
                </c:pt>
                <c:pt idx="52">
                  <c:v>4/1/2017</c:v>
                </c:pt>
                <c:pt idx="53">
                  <c:v>5/1/2017</c:v>
                </c:pt>
                <c:pt idx="54">
                  <c:v>6/1/2017</c:v>
                </c:pt>
                <c:pt idx="55">
                  <c:v>7/1/2017</c:v>
                </c:pt>
                <c:pt idx="56">
                  <c:v>8/1/2017</c:v>
                </c:pt>
                <c:pt idx="57">
                  <c:v>9/1/2017</c:v>
                </c:pt>
                <c:pt idx="58">
                  <c:v>10/1/2017</c:v>
                </c:pt>
                <c:pt idx="59">
                  <c:v>11/1/2017</c:v>
                </c:pt>
                <c:pt idx="60">
                  <c:v>12/1/2017</c:v>
                </c:pt>
                <c:pt idx="61">
                  <c:v>1/1/2018</c:v>
                </c:pt>
                <c:pt idx="62">
                  <c:v>2/1/2018</c:v>
                </c:pt>
                <c:pt idx="63">
                  <c:v>3/1/2018</c:v>
                </c:pt>
                <c:pt idx="64">
                  <c:v>4/1/2018</c:v>
                </c:pt>
                <c:pt idx="65">
                  <c:v>5/1/2018</c:v>
                </c:pt>
                <c:pt idx="66">
                  <c:v>6/1/2018</c:v>
                </c:pt>
                <c:pt idx="67">
                  <c:v>7/1/2018</c:v>
                </c:pt>
                <c:pt idx="68">
                  <c:v>8/1/2018</c:v>
                </c:pt>
                <c:pt idx="69">
                  <c:v>9/1/2018</c:v>
                </c:pt>
                <c:pt idx="70">
                  <c:v>10/1/2018</c:v>
                </c:pt>
                <c:pt idx="71">
                  <c:v>11/1/2018</c:v>
                </c:pt>
                <c:pt idx="72">
                  <c:v>12/1/2018</c:v>
                </c:pt>
                <c:pt idx="73">
                  <c:v>1/1/2019</c:v>
                </c:pt>
                <c:pt idx="74">
                  <c:v>2/1/2019</c:v>
                </c:pt>
                <c:pt idx="75">
                  <c:v>3/1/2019</c:v>
                </c:pt>
                <c:pt idx="76">
                  <c:v>4/1/2019</c:v>
                </c:pt>
                <c:pt idx="77">
                  <c:v>5/1/2019</c:v>
                </c:pt>
                <c:pt idx="78">
                  <c:v>6/1/2019</c:v>
                </c:pt>
                <c:pt idx="79">
                  <c:v>7/1/2019</c:v>
                </c:pt>
                <c:pt idx="80">
                  <c:v>8/1/2019</c:v>
                </c:pt>
                <c:pt idx="81">
                  <c:v>9/1/2019</c:v>
                </c:pt>
                <c:pt idx="82">
                  <c:v>10/1/2019</c:v>
                </c:pt>
                <c:pt idx="83">
                  <c:v>11/1/2019</c:v>
                </c:pt>
                <c:pt idx="84">
                  <c:v>12/1/2019</c:v>
                </c:pt>
              </c:strCache>
            </c:strRef>
          </c:cat>
          <c:val>
            <c:numRef>
              <c:f>fuck!$H$2:$H$86</c:f>
              <c:numCache>
                <c:formatCode>0.00%</c:formatCode>
                <c:ptCount val="85"/>
                <c:pt idx="1">
                  <c:v>1.1958146487294347E-2</c:v>
                </c:pt>
                <c:pt idx="2">
                  <c:v>4.5051698670605704E-2</c:v>
                </c:pt>
                <c:pt idx="3">
                  <c:v>4.6643109540635301E-3</c:v>
                </c:pt>
                <c:pt idx="4">
                  <c:v>-3.0669667979741133E-2</c:v>
                </c:pt>
                <c:pt idx="5">
                  <c:v>2.6415094339622698E-2</c:v>
                </c:pt>
                <c:pt idx="6">
                  <c:v>0.15101809954751139</c:v>
                </c:pt>
                <c:pt idx="7">
                  <c:v>7.3710073710073667E-2</c:v>
                </c:pt>
                <c:pt idx="8">
                  <c:v>1.9679633867276957E-2</c:v>
                </c:pt>
                <c:pt idx="9">
                  <c:v>7.6301615798922365E-3</c:v>
                </c:pt>
                <c:pt idx="10">
                  <c:v>-6.1247216035634822E-2</c:v>
                </c:pt>
                <c:pt idx="11">
                  <c:v>2.1352313167260595E-3</c:v>
                </c:pt>
                <c:pt idx="12">
                  <c:v>5.5279356060605911E-2</c:v>
                </c:pt>
                <c:pt idx="13">
                  <c:v>-5.7206954570946031E-3</c:v>
                </c:pt>
                <c:pt idx="14">
                  <c:v>-2.921931407942242E-2</c:v>
                </c:pt>
                <c:pt idx="15">
                  <c:v>9.2969203951191251E-3</c:v>
                </c:pt>
                <c:pt idx="16">
                  <c:v>-1.1514104778353237E-3</c:v>
                </c:pt>
                <c:pt idx="17">
                  <c:v>-3.3544668587896294E-2</c:v>
                </c:pt>
                <c:pt idx="18">
                  <c:v>-7.0372137404581406E-3</c:v>
                </c:pt>
                <c:pt idx="19">
                  <c:v>-7.2072072072070538E-3</c:v>
                </c:pt>
                <c:pt idx="20">
                  <c:v>-3.99274047186948E-3</c:v>
                </c:pt>
                <c:pt idx="21">
                  <c:v>1.1297376093294459E-2</c:v>
                </c:pt>
                <c:pt idx="22">
                  <c:v>-3.0390390390390407E-2</c:v>
                </c:pt>
                <c:pt idx="23">
                  <c:v>-9.539147670961234E-3</c:v>
                </c:pt>
                <c:pt idx="24">
                  <c:v>-3.3771106941838706E-2</c:v>
                </c:pt>
                <c:pt idx="25">
                  <c:v>-3.9482200647249159E-2</c:v>
                </c:pt>
                <c:pt idx="26">
                  <c:v>0</c:v>
                </c:pt>
                <c:pt idx="27">
                  <c:v>1.6172506738544489E-2</c:v>
                </c:pt>
                <c:pt idx="28">
                  <c:v>-2.6525198938992064E-2</c:v>
                </c:pt>
                <c:pt idx="29">
                  <c:v>3.7602179836512234E-2</c:v>
                </c:pt>
                <c:pt idx="30">
                  <c:v>4.5824579831932805E-2</c:v>
                </c:pt>
                <c:pt idx="31">
                  <c:v>1.5944758317639758E-2</c:v>
                </c:pt>
                <c:pt idx="32">
                  <c:v>-3.4849233811171637E-2</c:v>
                </c:pt>
                <c:pt idx="33">
                  <c:v>-3.8412291933417877E-3</c:v>
                </c:pt>
                <c:pt idx="34">
                  <c:v>-2.4164524421593909E-2</c:v>
                </c:pt>
                <c:pt idx="35">
                  <c:v>3.8593256059009505E-2</c:v>
                </c:pt>
                <c:pt idx="36">
                  <c:v>2.5364616360178138E-3</c:v>
                </c:pt>
                <c:pt idx="37">
                  <c:v>-1.3282732447817891E-2</c:v>
                </c:pt>
                <c:pt idx="38">
                  <c:v>-6.1538461538461479E-2</c:v>
                </c:pt>
                <c:pt idx="39">
                  <c:v>8.1967213114753565E-3</c:v>
                </c:pt>
                <c:pt idx="40">
                  <c:v>-1.7344173441734435E-2</c:v>
                </c:pt>
                <c:pt idx="41">
                  <c:v>-7.1704357418642586E-3</c:v>
                </c:pt>
                <c:pt idx="42">
                  <c:v>-2.7777777777778421E-3</c:v>
                </c:pt>
                <c:pt idx="43">
                  <c:v>-3.9554317548746491E-2</c:v>
                </c:pt>
                <c:pt idx="44">
                  <c:v>-3.7703016241299016E-3</c:v>
                </c:pt>
                <c:pt idx="45">
                  <c:v>7.2780203784570336E-3</c:v>
                </c:pt>
                <c:pt idx="46">
                  <c:v>2.8901734104046909E-3</c:v>
                </c:pt>
                <c:pt idx="47">
                  <c:v>8.6455331412103695E-2</c:v>
                </c:pt>
                <c:pt idx="48">
                  <c:v>0.11352785145888604</c:v>
                </c:pt>
                <c:pt idx="49">
                  <c:v>-1.1434016198189623E-2</c:v>
                </c:pt>
                <c:pt idx="50">
                  <c:v>4.2168674698795346E-3</c:v>
                </c:pt>
                <c:pt idx="51">
                  <c:v>6.8386322735451231E-3</c:v>
                </c:pt>
                <c:pt idx="52">
                  <c:v>-3.5986653956148668E-2</c:v>
                </c:pt>
                <c:pt idx="53">
                  <c:v>-8.6526576019777864E-3</c:v>
                </c:pt>
                <c:pt idx="54">
                  <c:v>-2.6433915211970044E-2</c:v>
                </c:pt>
                <c:pt idx="55">
                  <c:v>1.6265368852458988E-2</c:v>
                </c:pt>
                <c:pt idx="56">
                  <c:v>-1.8273471959672286E-2</c:v>
                </c:pt>
                <c:pt idx="57">
                  <c:v>-2.2336328626444208E-2</c:v>
                </c:pt>
                <c:pt idx="58">
                  <c:v>2.2846638655462236E-2</c:v>
                </c:pt>
                <c:pt idx="59">
                  <c:v>8.3440308087291901E-3</c:v>
                </c:pt>
                <c:pt idx="60">
                  <c:v>3.1826861871418798E-3</c:v>
                </c:pt>
                <c:pt idx="61">
                  <c:v>2.3477157360406044E-2</c:v>
                </c:pt>
                <c:pt idx="62">
                  <c:v>7.3775573465592145E-2</c:v>
                </c:pt>
                <c:pt idx="63">
                  <c:v>2.632794457274824E-2</c:v>
                </c:pt>
                <c:pt idx="64">
                  <c:v>5.2880288028803553E-3</c:v>
                </c:pt>
                <c:pt idx="65">
                  <c:v>2.7979854504756575E-2</c:v>
                </c:pt>
                <c:pt idx="66">
                  <c:v>-5.3347849755036756E-3</c:v>
                </c:pt>
                <c:pt idx="67">
                  <c:v>-8.86602451838874E-3</c:v>
                </c:pt>
                <c:pt idx="68">
                  <c:v>4.9696300386526705E-3</c:v>
                </c:pt>
                <c:pt idx="69">
                  <c:v>1.703296703296716E-2</c:v>
                </c:pt>
                <c:pt idx="70">
                  <c:v>4.3760129659643363E-2</c:v>
                </c:pt>
                <c:pt idx="71">
                  <c:v>7.4534161490682378E-3</c:v>
                </c:pt>
                <c:pt idx="72">
                  <c:v>-4.6958487464036067E-2</c:v>
                </c:pt>
                <c:pt idx="73">
                  <c:v>-3.7196765498652355E-2</c:v>
                </c:pt>
                <c:pt idx="74">
                  <c:v>-1.5117581187010055E-2</c:v>
                </c:pt>
                <c:pt idx="75">
                  <c:v>-2.6264923251847625E-2</c:v>
                </c:pt>
                <c:pt idx="76">
                  <c:v>-3.257823446987388E-2</c:v>
                </c:pt>
                <c:pt idx="77">
                  <c:v>-1.7018708509354257E-2</c:v>
                </c:pt>
                <c:pt idx="78">
                  <c:v>-6.6183693516699379E-2</c:v>
                </c:pt>
                <c:pt idx="79">
                  <c:v>-9.8619329388560384E-3</c:v>
                </c:pt>
                <c:pt idx="80">
                  <c:v>-3.9575033200531212E-2</c:v>
                </c:pt>
                <c:pt idx="81">
                  <c:v>-3.0420353982301218E-3</c:v>
                </c:pt>
                <c:pt idx="82">
                  <c:v>1.6643550624133162E-2</c:v>
                </c:pt>
                <c:pt idx="83">
                  <c:v>1.2824010914051883E-2</c:v>
                </c:pt>
                <c:pt idx="84">
                  <c:v>2.1551724137931052E-3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1C-47D8-8607-E5E974E4A4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4936696"/>
        <c:axId val="674936040"/>
      </c:lineChart>
      <c:catAx>
        <c:axId val="571903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910032"/>
        <c:crosses val="autoZero"/>
        <c:auto val="1"/>
        <c:lblAlgn val="ctr"/>
        <c:lblOffset val="100"/>
        <c:noMultiLvlLbl val="0"/>
      </c:catAx>
      <c:valAx>
        <c:axId val="57191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Conditional Prepay Rate  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903144"/>
        <c:crosses val="autoZero"/>
        <c:crossBetween val="between"/>
      </c:valAx>
      <c:valAx>
        <c:axId val="6749360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Interest Rate  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936696"/>
        <c:crosses val="max"/>
        <c:crossBetween val="between"/>
      </c:valAx>
      <c:catAx>
        <c:axId val="6749366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749360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fuck!$E$1</c:f>
              <c:strCache>
                <c:ptCount val="1"/>
                <c:pt idx="0">
                  <c:v>Conditional Default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fuck!$B$2:$C$25</c:f>
              <c:multiLvlStrCache>
                <c:ptCount val="2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1</c:v>
                  </c:pt>
                  <c:pt idx="5">
                    <c:v>2</c:v>
                  </c:pt>
                  <c:pt idx="6">
                    <c:v>3</c:v>
                  </c:pt>
                  <c:pt idx="7">
                    <c:v>4</c:v>
                  </c:pt>
                  <c:pt idx="8">
                    <c:v>1</c:v>
                  </c:pt>
                  <c:pt idx="9">
                    <c:v>2</c:v>
                  </c:pt>
                  <c:pt idx="10">
                    <c:v>3</c:v>
                  </c:pt>
                  <c:pt idx="11">
                    <c:v>4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1</c:v>
                  </c:pt>
                  <c:pt idx="17">
                    <c:v>2</c:v>
                  </c:pt>
                  <c:pt idx="18">
                    <c:v>3</c:v>
                  </c:pt>
                  <c:pt idx="19">
                    <c:v>4</c:v>
                  </c:pt>
                  <c:pt idx="20">
                    <c:v>1</c:v>
                  </c:pt>
                  <c:pt idx="21">
                    <c:v>2</c:v>
                  </c:pt>
                  <c:pt idx="22">
                    <c:v>3</c:v>
                  </c:pt>
                  <c:pt idx="23">
                    <c:v>4</c:v>
                  </c:pt>
                </c:lvl>
                <c:lvl>
                  <c:pt idx="0">
                    <c:v>2013</c:v>
                  </c:pt>
                  <c:pt idx="1">
                    <c:v>2013</c:v>
                  </c:pt>
                  <c:pt idx="2">
                    <c:v>2013</c:v>
                  </c:pt>
                  <c:pt idx="3">
                    <c:v>2013</c:v>
                  </c:pt>
                  <c:pt idx="4">
                    <c:v>2014</c:v>
                  </c:pt>
                  <c:pt idx="5">
                    <c:v>2014</c:v>
                  </c:pt>
                  <c:pt idx="6">
                    <c:v>2014</c:v>
                  </c:pt>
                  <c:pt idx="7">
                    <c:v>2014</c:v>
                  </c:pt>
                  <c:pt idx="8">
                    <c:v>2015</c:v>
                  </c:pt>
                  <c:pt idx="9">
                    <c:v>2015</c:v>
                  </c:pt>
                  <c:pt idx="10">
                    <c:v>2015</c:v>
                  </c:pt>
                  <c:pt idx="11">
                    <c:v>2015</c:v>
                  </c:pt>
                  <c:pt idx="12">
                    <c:v>2016</c:v>
                  </c:pt>
                  <c:pt idx="13">
                    <c:v>2016</c:v>
                  </c:pt>
                  <c:pt idx="14">
                    <c:v>2016</c:v>
                  </c:pt>
                  <c:pt idx="15">
                    <c:v>2016</c:v>
                  </c:pt>
                  <c:pt idx="16">
                    <c:v>2017</c:v>
                  </c:pt>
                  <c:pt idx="17">
                    <c:v>2017</c:v>
                  </c:pt>
                  <c:pt idx="18">
                    <c:v>2017</c:v>
                  </c:pt>
                  <c:pt idx="19">
                    <c:v>2017</c:v>
                  </c:pt>
                  <c:pt idx="20">
                    <c:v>2018</c:v>
                  </c:pt>
                  <c:pt idx="21">
                    <c:v>2018</c:v>
                  </c:pt>
                  <c:pt idx="22">
                    <c:v>2018</c:v>
                  </c:pt>
                  <c:pt idx="23">
                    <c:v>2018</c:v>
                  </c:pt>
                </c:lvl>
              </c:multiLvlStrCache>
            </c:multiLvlStrRef>
          </c:cat>
          <c:val>
            <c:numRef>
              <c:f>fuck!$E$2:$E$25</c:f>
              <c:numCache>
                <c:formatCode>0.0000%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1.9128260274614599E-6</c:v>
                </c:pt>
                <c:pt idx="3">
                  <c:v>7.8667016907285597E-6</c:v>
                </c:pt>
                <c:pt idx="4">
                  <c:v>9.9753757801801496E-6</c:v>
                </c:pt>
                <c:pt idx="5">
                  <c:v>1.33063369985864E-5</c:v>
                </c:pt>
                <c:pt idx="6">
                  <c:v>1.04225754167242E-5</c:v>
                </c:pt>
                <c:pt idx="7">
                  <c:v>2.5617062818783499E-5</c:v>
                </c:pt>
                <c:pt idx="8">
                  <c:v>2.6444127381841701E-5</c:v>
                </c:pt>
                <c:pt idx="9">
                  <c:v>4.43020846340181E-5</c:v>
                </c:pt>
                <c:pt idx="10">
                  <c:v>2.6096343956783E-5</c:v>
                </c:pt>
                <c:pt idx="11">
                  <c:v>2.61852707791332E-5</c:v>
                </c:pt>
                <c:pt idx="12">
                  <c:v>5.1727656167122002E-5</c:v>
                </c:pt>
                <c:pt idx="13">
                  <c:v>6.59078776551469E-5</c:v>
                </c:pt>
                <c:pt idx="14">
                  <c:v>5.3440421405759297E-5</c:v>
                </c:pt>
                <c:pt idx="15">
                  <c:v>1.07743967836638E-4</c:v>
                </c:pt>
                <c:pt idx="16">
                  <c:v>3.1198225154183101E-5</c:v>
                </c:pt>
                <c:pt idx="17">
                  <c:v>7.2172297863826201E-5</c:v>
                </c:pt>
                <c:pt idx="18">
                  <c:v>5.80849814556528E-5</c:v>
                </c:pt>
                <c:pt idx="19">
                  <c:v>7.8841307839638803E-5</c:v>
                </c:pt>
                <c:pt idx="20">
                  <c:v>9.1331597424138003E-5</c:v>
                </c:pt>
                <c:pt idx="21">
                  <c:v>4.9717007669425301E-5</c:v>
                </c:pt>
                <c:pt idx="22">
                  <c:v>7.5165470162508199E-5</c:v>
                </c:pt>
                <c:pt idx="23">
                  <c:v>1.5751356475513E-4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43-456C-A01B-F728A21BE1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408216"/>
        <c:axId val="743407560"/>
      </c:lineChart>
      <c:lineChart>
        <c:grouping val="standard"/>
        <c:varyColors val="0"/>
        <c:ser>
          <c:idx val="2"/>
          <c:order val="1"/>
          <c:tx>
            <c:strRef>
              <c:f>fuck!$G$1</c:f>
              <c:strCache>
                <c:ptCount val="1"/>
                <c:pt idx="0">
                  <c:v>House Price 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fuck!$G$2:$G$25</c:f>
              <c:numCache>
                <c:formatCode>0.00%</c:formatCode>
                <c:ptCount val="24"/>
                <c:pt idx="0">
                  <c:v>4.0031767922031003</c:v>
                </c:pt>
                <c:pt idx="1">
                  <c:v>4.0042042236807003</c:v>
                </c:pt>
                <c:pt idx="2">
                  <c:v>4.0046574747917498</c:v>
                </c:pt>
                <c:pt idx="3">
                  <c:v>3.95751158052177</c:v>
                </c:pt>
                <c:pt idx="4">
                  <c:v>3.95750032018127</c:v>
                </c:pt>
                <c:pt idx="5">
                  <c:v>3.9588564277899301</c:v>
                </c:pt>
                <c:pt idx="6">
                  <c:v>3.83270141573372</c:v>
                </c:pt>
                <c:pt idx="7">
                  <c:v>3.8348554370571999</c:v>
                </c:pt>
                <c:pt idx="8">
                  <c:v>3.8353530252997299</c:v>
                </c:pt>
                <c:pt idx="9">
                  <c:v>3.69444000562918</c:v>
                </c:pt>
                <c:pt idx="10">
                  <c:v>3.6950786167250902</c:v>
                </c:pt>
                <c:pt idx="11">
                  <c:v>3.6950143634949399</c:v>
                </c:pt>
                <c:pt idx="12">
                  <c:v>3.6510852334645501</c:v>
                </c:pt>
                <c:pt idx="13">
                  <c:v>3.6510478006403799</c:v>
                </c:pt>
                <c:pt idx="14">
                  <c:v>3.65205337754269</c:v>
                </c:pt>
                <c:pt idx="15">
                  <c:v>3.6712671417993299</c:v>
                </c:pt>
                <c:pt idx="16">
                  <c:v>3.6730270656030699</c:v>
                </c:pt>
                <c:pt idx="17">
                  <c:v>3.6741661216853698</c:v>
                </c:pt>
                <c:pt idx="18">
                  <c:v>3.5623162841890901</c:v>
                </c:pt>
                <c:pt idx="19">
                  <c:v>3.56290667356875</c:v>
                </c:pt>
                <c:pt idx="20">
                  <c:v>3.5630545159175702</c:v>
                </c:pt>
                <c:pt idx="21">
                  <c:v>3.4621289397282502</c:v>
                </c:pt>
                <c:pt idx="22">
                  <c:v>3.4604935229720502</c:v>
                </c:pt>
                <c:pt idx="23">
                  <c:v>3.4603568520950199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43-456C-A01B-F728A21BE1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101040"/>
        <c:axId val="672103992"/>
      </c:lineChart>
      <c:catAx>
        <c:axId val="743408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407560"/>
        <c:crosses val="autoZero"/>
        <c:auto val="1"/>
        <c:lblAlgn val="ctr"/>
        <c:lblOffset val="100"/>
        <c:noMultiLvlLbl val="0"/>
      </c:catAx>
      <c:valAx>
        <c:axId val="743407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Conditional Default Rate</a:t>
                </a:r>
              </a:p>
            </c:rich>
          </c:tx>
          <c:layout>
            <c:manualLayout>
              <c:xMode val="edge"/>
              <c:yMode val="edge"/>
              <c:x val="1.0928960181151101E-2"/>
              <c:y val="0.108745456983987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408216"/>
        <c:crosses val="autoZero"/>
        <c:crossBetween val="between"/>
      </c:valAx>
      <c:valAx>
        <c:axId val="6721039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House Price Index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01040"/>
        <c:crosses val="max"/>
        <c:crossBetween val="between"/>
      </c:valAx>
      <c:catAx>
        <c:axId val="672101040"/>
        <c:scaling>
          <c:orientation val="minMax"/>
        </c:scaling>
        <c:delete val="1"/>
        <c:axPos val="b"/>
        <c:majorTickMark val="out"/>
        <c:minorTickMark val="none"/>
        <c:tickLblPos val="nextTo"/>
        <c:crossAx val="67210399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fuck!$F$1</c:f>
              <c:strCache>
                <c:ptCount val="1"/>
                <c:pt idx="0">
                  <c:v>Conditional Default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fuck!$B$2:$C$25</c:f>
              <c:multiLvlStrCache>
                <c:ptCount val="2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1</c:v>
                  </c:pt>
                  <c:pt idx="5">
                    <c:v>2</c:v>
                  </c:pt>
                  <c:pt idx="6">
                    <c:v>3</c:v>
                  </c:pt>
                  <c:pt idx="7">
                    <c:v>4</c:v>
                  </c:pt>
                  <c:pt idx="8">
                    <c:v>1</c:v>
                  </c:pt>
                  <c:pt idx="9">
                    <c:v>2</c:v>
                  </c:pt>
                  <c:pt idx="10">
                    <c:v>3</c:v>
                  </c:pt>
                  <c:pt idx="11">
                    <c:v>4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1</c:v>
                  </c:pt>
                  <c:pt idx="17">
                    <c:v>2</c:v>
                  </c:pt>
                  <c:pt idx="18">
                    <c:v>3</c:v>
                  </c:pt>
                  <c:pt idx="19">
                    <c:v>4</c:v>
                  </c:pt>
                  <c:pt idx="20">
                    <c:v>1</c:v>
                  </c:pt>
                  <c:pt idx="21">
                    <c:v>2</c:v>
                  </c:pt>
                  <c:pt idx="22">
                    <c:v>3</c:v>
                  </c:pt>
                  <c:pt idx="23">
                    <c:v>4</c:v>
                  </c:pt>
                </c:lvl>
                <c:lvl>
                  <c:pt idx="0">
                    <c:v>2013</c:v>
                  </c:pt>
                  <c:pt idx="1">
                    <c:v>2013</c:v>
                  </c:pt>
                  <c:pt idx="2">
                    <c:v>2013</c:v>
                  </c:pt>
                  <c:pt idx="3">
                    <c:v>2013</c:v>
                  </c:pt>
                  <c:pt idx="4">
                    <c:v>2014</c:v>
                  </c:pt>
                  <c:pt idx="5">
                    <c:v>2014</c:v>
                  </c:pt>
                  <c:pt idx="6">
                    <c:v>2014</c:v>
                  </c:pt>
                  <c:pt idx="7">
                    <c:v>2014</c:v>
                  </c:pt>
                  <c:pt idx="8">
                    <c:v>2015</c:v>
                  </c:pt>
                  <c:pt idx="9">
                    <c:v>2015</c:v>
                  </c:pt>
                  <c:pt idx="10">
                    <c:v>2015</c:v>
                  </c:pt>
                  <c:pt idx="11">
                    <c:v>2015</c:v>
                  </c:pt>
                  <c:pt idx="12">
                    <c:v>2016</c:v>
                  </c:pt>
                  <c:pt idx="13">
                    <c:v>2016</c:v>
                  </c:pt>
                  <c:pt idx="14">
                    <c:v>2016</c:v>
                  </c:pt>
                  <c:pt idx="15">
                    <c:v>2016</c:v>
                  </c:pt>
                  <c:pt idx="16">
                    <c:v>2017</c:v>
                  </c:pt>
                  <c:pt idx="17">
                    <c:v>2017</c:v>
                  </c:pt>
                  <c:pt idx="18">
                    <c:v>2017</c:v>
                  </c:pt>
                  <c:pt idx="19">
                    <c:v>2017</c:v>
                  </c:pt>
                  <c:pt idx="20">
                    <c:v>2018</c:v>
                  </c:pt>
                  <c:pt idx="21">
                    <c:v>2018</c:v>
                  </c:pt>
                  <c:pt idx="22">
                    <c:v>2018</c:v>
                  </c:pt>
                  <c:pt idx="23">
                    <c:v>2018</c:v>
                  </c:pt>
                </c:lvl>
              </c:multiLvlStrCache>
            </c:multiLvlStrRef>
          </c:cat>
          <c:val>
            <c:numRef>
              <c:f>fuck!$F$3:$F$25</c:f>
              <c:numCache>
                <c:formatCode>0.00%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3.1126069897577553</c:v>
                </c:pt>
                <c:pt idx="3">
                  <c:v>0.26805059761409344</c:v>
                </c:pt>
                <c:pt idx="4">
                  <c:v>0.33391836977454648</c:v>
                </c:pt>
                <c:pt idx="5">
                  <c:v>-0.21672091892521259</c:v>
                </c:pt>
                <c:pt idx="6">
                  <c:v>1.4578438432479968</c:v>
                </c:pt>
                <c:pt idx="7">
                  <c:v>3.2285690553554153E-2</c:v>
                </c:pt>
                <c:pt idx="8">
                  <c:v>0.67530900128846238</c:v>
                </c:pt>
                <c:pt idx="9">
                  <c:v>-0.41094546289714584</c:v>
                </c:pt>
                <c:pt idx="10">
                  <c:v>3.4076352801552519E-3</c:v>
                </c:pt>
                <c:pt idx="11">
                  <c:v>0.97544858723948324</c:v>
                </c:pt>
                <c:pt idx="12">
                  <c:v>0.27413230250006609</c:v>
                </c:pt>
                <c:pt idx="13">
                  <c:v>-0.18916488730864162</c:v>
                </c:pt>
                <c:pt idx="14">
                  <c:v>1.0161511642763053</c:v>
                </c:pt>
                <c:pt idx="15">
                  <c:v>-0.71044109679081036</c:v>
                </c:pt>
                <c:pt idx="16">
                  <c:v>1.3133462723327145</c:v>
                </c:pt>
                <c:pt idx="17">
                  <c:v>-0.19519007742767419</c:v>
                </c:pt>
                <c:pt idx="18">
                  <c:v>0.35734411656536746</c:v>
                </c:pt>
                <c:pt idx="19">
                  <c:v>0.15842316580927512</c:v>
                </c:pt>
                <c:pt idx="20">
                  <c:v>-0.45564285448175457</c:v>
                </c:pt>
                <c:pt idx="21">
                  <c:v>0.51186633480222621</c:v>
                </c:pt>
                <c:pt idx="22">
                  <c:v>1.0955575002003544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A9-48FD-A7BC-DDB3E1208B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408216"/>
        <c:axId val="743407560"/>
      </c:lineChart>
      <c:lineChart>
        <c:grouping val="standard"/>
        <c:varyColors val="0"/>
        <c:ser>
          <c:idx val="2"/>
          <c:order val="1"/>
          <c:tx>
            <c:strRef>
              <c:f>fuck!$H$1</c:f>
              <c:strCache>
                <c:ptCount val="1"/>
                <c:pt idx="0">
                  <c:v>House Price 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fuck!$H$3:$H$25</c:f>
              <c:numCache>
                <c:formatCode>0.00%</c:formatCode>
                <c:ptCount val="23"/>
                <c:pt idx="0">
                  <c:v>2.5665403526546425E-4</c:v>
                </c:pt>
                <c:pt idx="1">
                  <c:v>1.1319380474378348E-4</c:v>
                </c:pt>
                <c:pt idx="2">
                  <c:v>-1.1772765727593599E-2</c:v>
                </c:pt>
                <c:pt idx="3">
                  <c:v>-2.8453082880291664E-6</c:v>
                </c:pt>
                <c:pt idx="4">
                  <c:v>3.4266771925314771E-4</c:v>
                </c:pt>
                <c:pt idx="5">
                  <c:v>-3.1866528720425787E-2</c:v>
                </c:pt>
                <c:pt idx="6">
                  <c:v>5.6201125259518843E-4</c:v>
                </c:pt>
                <c:pt idx="7">
                  <c:v>1.2975410695320231E-4</c:v>
                </c:pt>
                <c:pt idx="8">
                  <c:v>-3.6740560449331175E-2</c:v>
                </c:pt>
                <c:pt idx="9">
                  <c:v>1.728573464279269E-4</c:v>
                </c:pt>
                <c:pt idx="10">
                  <c:v>-1.7388866872660284E-5</c:v>
                </c:pt>
                <c:pt idx="11">
                  <c:v>-1.1888757582213944E-2</c:v>
                </c:pt>
                <c:pt idx="12">
                  <c:v>-1.0252519943119646E-5</c:v>
                </c:pt>
                <c:pt idx="13">
                  <c:v>2.754214563100745E-4</c:v>
                </c:pt>
                <c:pt idx="14">
                  <c:v>5.2610852773373254E-3</c:v>
                </c:pt>
                <c:pt idx="15">
                  <c:v>4.7937775589859606E-4</c:v>
                </c:pt>
                <c:pt idx="16">
                  <c:v>3.1011371872722535E-4</c:v>
                </c:pt>
                <c:pt idx="17">
                  <c:v>-3.0442237447057326E-2</c:v>
                </c:pt>
                <c:pt idx="18">
                  <c:v>1.6573188132685212E-4</c:v>
                </c:pt>
                <c:pt idx="19">
                  <c:v>4.1494869881636205E-5</c:v>
                </c:pt>
                <c:pt idx="20">
                  <c:v>-2.8325577320932251E-2</c:v>
                </c:pt>
                <c:pt idx="21">
                  <c:v>-4.7237315093423847E-4</c:v>
                </c:pt>
                <c:pt idx="22">
                  <c:v>-3.9494620094797096E-5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A9-48FD-A7BC-DDB3E1208B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101040"/>
        <c:axId val="672103992"/>
      </c:lineChart>
      <c:catAx>
        <c:axId val="743408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407560"/>
        <c:crosses val="autoZero"/>
        <c:auto val="1"/>
        <c:lblAlgn val="ctr"/>
        <c:lblOffset val="100"/>
        <c:noMultiLvlLbl val="0"/>
      </c:catAx>
      <c:valAx>
        <c:axId val="743407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Conditional Default Rate</a:t>
                </a:r>
              </a:p>
            </c:rich>
          </c:tx>
          <c:layout>
            <c:manualLayout>
              <c:xMode val="edge"/>
              <c:yMode val="edge"/>
              <c:x val="1.0928960181151101E-2"/>
              <c:y val="0.108745456983987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408216"/>
        <c:crosses val="autoZero"/>
        <c:crossBetween val="between"/>
      </c:valAx>
      <c:valAx>
        <c:axId val="6721039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House Price Index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01040"/>
        <c:crosses val="max"/>
        <c:crossBetween val="between"/>
      </c:valAx>
      <c:catAx>
        <c:axId val="672101040"/>
        <c:scaling>
          <c:orientation val="minMax"/>
        </c:scaling>
        <c:delete val="1"/>
        <c:axPos val="b"/>
        <c:majorTickMark val="out"/>
        <c:minorTickMark val="none"/>
        <c:tickLblPos val="nextTo"/>
        <c:crossAx val="67210399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Sheet3!$C$1</c:f>
              <c:strCache>
                <c:ptCount val="1"/>
                <c:pt idx="0">
                  <c:v>Near or in negative equity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Sheet3!$A$3:$A$86</c:f>
              <c:numCache>
                <c:formatCode>m/d/yyyy</c:formatCode>
                <c:ptCount val="84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  <c:pt idx="62">
                  <c:v>43160</c:v>
                </c:pt>
                <c:pt idx="63">
                  <c:v>43191</c:v>
                </c:pt>
                <c:pt idx="64">
                  <c:v>43221</c:v>
                </c:pt>
                <c:pt idx="65">
                  <c:v>43252</c:v>
                </c:pt>
                <c:pt idx="66">
                  <c:v>43282</c:v>
                </c:pt>
                <c:pt idx="67">
                  <c:v>43313</c:v>
                </c:pt>
                <c:pt idx="68">
                  <c:v>43344</c:v>
                </c:pt>
                <c:pt idx="69">
                  <c:v>43374</c:v>
                </c:pt>
                <c:pt idx="70">
                  <c:v>43405</c:v>
                </c:pt>
                <c:pt idx="71">
                  <c:v>43435</c:v>
                </c:pt>
                <c:pt idx="72">
                  <c:v>43466</c:v>
                </c:pt>
                <c:pt idx="73">
                  <c:v>43497</c:v>
                </c:pt>
                <c:pt idx="74">
                  <c:v>43525</c:v>
                </c:pt>
                <c:pt idx="75">
                  <c:v>43556</c:v>
                </c:pt>
                <c:pt idx="76">
                  <c:v>43586</c:v>
                </c:pt>
                <c:pt idx="77">
                  <c:v>43617</c:v>
                </c:pt>
                <c:pt idx="78">
                  <c:v>43647</c:v>
                </c:pt>
                <c:pt idx="79">
                  <c:v>43678</c:v>
                </c:pt>
                <c:pt idx="80">
                  <c:v>43709</c:v>
                </c:pt>
                <c:pt idx="81">
                  <c:v>43739</c:v>
                </c:pt>
                <c:pt idx="82">
                  <c:v>43770</c:v>
                </c:pt>
                <c:pt idx="83">
                  <c:v>43800</c:v>
                </c:pt>
              </c:numCache>
            </c:numRef>
          </c:cat>
          <c:val>
            <c:numRef>
              <c:f>Sheet3!$C$3:$C$86</c:f>
              <c:numCache>
                <c:formatCode>0.0000%</c:formatCode>
                <c:ptCount val="84"/>
                <c:pt idx="0">
                  <c:v>5.0312867026578799E-2</c:v>
                </c:pt>
                <c:pt idx="1">
                  <c:v>5.3046752400785602E-2</c:v>
                </c:pt>
                <c:pt idx="2">
                  <c:v>5.3419330642216302E-2</c:v>
                </c:pt>
                <c:pt idx="3">
                  <c:v>5.3434135075650598E-2</c:v>
                </c:pt>
                <c:pt idx="4">
                  <c:v>5.3384786964202798E-2</c:v>
                </c:pt>
                <c:pt idx="5">
                  <c:v>5.3313232202603603E-2</c:v>
                </c:pt>
                <c:pt idx="6">
                  <c:v>5.3204666357418502E-2</c:v>
                </c:pt>
                <c:pt idx="7">
                  <c:v>5.3046752400785602E-2</c:v>
                </c:pt>
                <c:pt idx="8">
                  <c:v>5.2896240660869898E-2</c:v>
                </c:pt>
                <c:pt idx="9">
                  <c:v>5.27531311376713E-2</c:v>
                </c:pt>
                <c:pt idx="10">
                  <c:v>5.2642097886913798E-2</c:v>
                </c:pt>
                <c:pt idx="11">
                  <c:v>5.2526129825011598E-2</c:v>
                </c:pt>
                <c:pt idx="12">
                  <c:v>5.2385487707385402E-2</c:v>
                </c:pt>
                <c:pt idx="13">
                  <c:v>5.2264584834338303E-2</c:v>
                </c:pt>
                <c:pt idx="14">
                  <c:v>5.2148616772436103E-2</c:v>
                </c:pt>
                <c:pt idx="15">
                  <c:v>5.2007974654809899E-2</c:v>
                </c:pt>
                <c:pt idx="16">
                  <c:v>5.1798245181156902E-2</c:v>
                </c:pt>
                <c:pt idx="17">
                  <c:v>5.1566309057352301E-2</c:v>
                </c:pt>
                <c:pt idx="18">
                  <c:v>5.12307418995075E-2</c:v>
                </c:pt>
                <c:pt idx="19">
                  <c:v>5.0902576958379797E-2</c:v>
                </c:pt>
                <c:pt idx="20">
                  <c:v>5.0673108240147598E-2</c:v>
                </c:pt>
                <c:pt idx="21">
                  <c:v>5.0443639521915398E-2</c:v>
                </c:pt>
                <c:pt idx="22">
                  <c:v>5.02067685869661E-2</c:v>
                </c:pt>
                <c:pt idx="23">
                  <c:v>4.9940288785148099E-2</c:v>
                </c:pt>
                <c:pt idx="24">
                  <c:v>4.9666406766612999E-2</c:v>
                </c:pt>
                <c:pt idx="25">
                  <c:v>4.9471481726394297E-2</c:v>
                </c:pt>
                <c:pt idx="26">
                  <c:v>4.92148715468659E-2</c:v>
                </c:pt>
                <c:pt idx="27">
                  <c:v>4.8770738543835901E-2</c:v>
                </c:pt>
                <c:pt idx="28">
                  <c:v>4.8410497330267102E-2</c:v>
                </c:pt>
                <c:pt idx="29">
                  <c:v>4.7949092488230399E-2</c:v>
                </c:pt>
                <c:pt idx="30">
                  <c:v>4.74457417514631E-2</c:v>
                </c:pt>
                <c:pt idx="31">
                  <c:v>4.6964597664847299E-2</c:v>
                </c:pt>
                <c:pt idx="32">
                  <c:v>4.6599421640133802E-2</c:v>
                </c:pt>
                <c:pt idx="33">
                  <c:v>4.6157756042676197E-2</c:v>
                </c:pt>
                <c:pt idx="34">
                  <c:v>4.5807384451397003E-2</c:v>
                </c:pt>
                <c:pt idx="35">
                  <c:v>4.5516230593855102E-2</c:v>
                </c:pt>
                <c:pt idx="36">
                  <c:v>4.5222609330740897E-2</c:v>
                </c:pt>
                <c:pt idx="37">
                  <c:v>4.5003010234798302E-2</c:v>
                </c:pt>
                <c:pt idx="38">
                  <c:v>4.4761204488704201E-2</c:v>
                </c:pt>
                <c:pt idx="39">
                  <c:v>4.44207025197145E-2</c:v>
                </c:pt>
                <c:pt idx="40">
                  <c:v>4.3875405888216597E-2</c:v>
                </c:pt>
                <c:pt idx="41">
                  <c:v>4.3369587745876903E-2</c:v>
                </c:pt>
                <c:pt idx="42">
                  <c:v>4.27428667304902E-2</c:v>
                </c:pt>
                <c:pt idx="43">
                  <c:v>4.2283929294025899E-2</c:v>
                </c:pt>
                <c:pt idx="44">
                  <c:v>4.1669545306501098E-2</c:v>
                </c:pt>
                <c:pt idx="45">
                  <c:v>4.11464553251547E-2</c:v>
                </c:pt>
                <c:pt idx="46">
                  <c:v>4.0586354260222397E-2</c:v>
                </c:pt>
                <c:pt idx="47">
                  <c:v>4.0310004836114903E-2</c:v>
                </c:pt>
                <c:pt idx="48">
                  <c:v>3.9920154755677499E-2</c:v>
                </c:pt>
                <c:pt idx="49">
                  <c:v>3.9629000898135598E-2</c:v>
                </c:pt>
                <c:pt idx="50">
                  <c:v>3.9382260340896702E-2</c:v>
                </c:pt>
                <c:pt idx="51">
                  <c:v>3.9059030210913802E-2</c:v>
                </c:pt>
                <c:pt idx="52">
                  <c:v>3.8743202297648001E-2</c:v>
                </c:pt>
                <c:pt idx="53">
                  <c:v>3.8289199672328501E-2</c:v>
                </c:pt>
                <c:pt idx="54">
                  <c:v>3.77809141244164E-2</c:v>
                </c:pt>
                <c:pt idx="55">
                  <c:v>3.7329378904669301E-2</c:v>
                </c:pt>
                <c:pt idx="56">
                  <c:v>3.69790073133901E-2</c:v>
                </c:pt>
                <c:pt idx="57">
                  <c:v>3.6623700910966103E-2</c:v>
                </c:pt>
                <c:pt idx="58">
                  <c:v>3.6256057480680198E-2</c:v>
                </c:pt>
                <c:pt idx="59">
                  <c:v>3.5888414050394203E-2</c:v>
                </c:pt>
                <c:pt idx="60">
                  <c:v>3.5552846892549402E-2</c:v>
                </c:pt>
                <c:pt idx="61">
                  <c:v>3.5360389257903101E-2</c:v>
                </c:pt>
                <c:pt idx="62">
                  <c:v>3.5160529406539603E-2</c:v>
                </c:pt>
                <c:pt idx="63">
                  <c:v>3.4908854038155898E-2</c:v>
                </c:pt>
                <c:pt idx="64">
                  <c:v>3.4654711264199903E-2</c:v>
                </c:pt>
                <c:pt idx="65">
                  <c:v>3.43018722673483E-2</c:v>
                </c:pt>
                <c:pt idx="66">
                  <c:v>3.3931761431490001E-2</c:v>
                </c:pt>
                <c:pt idx="67">
                  <c:v>3.3586324651355498E-2</c:v>
                </c:pt>
                <c:pt idx="68">
                  <c:v>3.3198941976490502E-2</c:v>
                </c:pt>
                <c:pt idx="69">
                  <c:v>3.2927527363527699E-2</c:v>
                </c:pt>
                <c:pt idx="70">
                  <c:v>3.26314386948411E-2</c:v>
                </c:pt>
                <c:pt idx="71">
                  <c:v>3.2409372193326097E-2</c:v>
                </c:pt>
                <c:pt idx="72">
                  <c:v>3.2177436069521601E-2</c:v>
                </c:pt>
                <c:pt idx="73">
                  <c:v>3.2009652490599103E-2</c:v>
                </c:pt>
                <c:pt idx="74">
                  <c:v>3.1987445840447597E-2</c:v>
                </c:pt>
                <c:pt idx="75">
                  <c:v>3.1762911933360297E-2</c:v>
                </c:pt>
                <c:pt idx="76">
                  <c:v>3.1533443215128097E-2</c:v>
                </c:pt>
                <c:pt idx="77">
                  <c:v>3.1202810868428001E-2</c:v>
                </c:pt>
                <c:pt idx="78">
                  <c:v>3.08623088994384E-2</c:v>
                </c:pt>
                <c:pt idx="79">
                  <c:v>3.0541546175027801E-2</c:v>
                </c:pt>
                <c:pt idx="80">
                  <c:v>3.0191174583748599E-2</c:v>
                </c:pt>
                <c:pt idx="81">
                  <c:v>2.9830933370179901E-2</c:v>
                </c:pt>
                <c:pt idx="82">
                  <c:v>2.9510170645769301E-2</c:v>
                </c:pt>
                <c:pt idx="83">
                  <c:v>2.91918753269312E-2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46-430C-AEEB-08F4836E4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6200064"/>
        <c:axId val="476202688"/>
      </c:lineChart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Negative equity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Sheet3!$A$3:$A$86</c:f>
              <c:numCache>
                <c:formatCode>m/d/yyyy</c:formatCode>
                <c:ptCount val="84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  <c:pt idx="62">
                  <c:v>43160</c:v>
                </c:pt>
                <c:pt idx="63">
                  <c:v>43191</c:v>
                </c:pt>
                <c:pt idx="64">
                  <c:v>43221</c:v>
                </c:pt>
                <c:pt idx="65">
                  <c:v>43252</c:v>
                </c:pt>
                <c:pt idx="66">
                  <c:v>43282</c:v>
                </c:pt>
                <c:pt idx="67">
                  <c:v>43313</c:v>
                </c:pt>
                <c:pt idx="68">
                  <c:v>43344</c:v>
                </c:pt>
                <c:pt idx="69">
                  <c:v>43374</c:v>
                </c:pt>
                <c:pt idx="70">
                  <c:v>43405</c:v>
                </c:pt>
                <c:pt idx="71">
                  <c:v>43435</c:v>
                </c:pt>
                <c:pt idx="72">
                  <c:v>43466</c:v>
                </c:pt>
                <c:pt idx="73">
                  <c:v>43497</c:v>
                </c:pt>
                <c:pt idx="74">
                  <c:v>43525</c:v>
                </c:pt>
                <c:pt idx="75">
                  <c:v>43556</c:v>
                </c:pt>
                <c:pt idx="76">
                  <c:v>43586</c:v>
                </c:pt>
                <c:pt idx="77">
                  <c:v>43617</c:v>
                </c:pt>
                <c:pt idx="78">
                  <c:v>43647</c:v>
                </c:pt>
                <c:pt idx="79">
                  <c:v>43678</c:v>
                </c:pt>
                <c:pt idx="80">
                  <c:v>43709</c:v>
                </c:pt>
                <c:pt idx="81">
                  <c:v>43739</c:v>
                </c:pt>
                <c:pt idx="82">
                  <c:v>43770</c:v>
                </c:pt>
                <c:pt idx="83">
                  <c:v>43800</c:v>
                </c:pt>
              </c:numCache>
            </c:numRef>
          </c:cat>
          <c:val>
            <c:numRef>
              <c:f>Sheet3!$B$3:$B$86</c:f>
              <c:numCache>
                <c:formatCode>0.0000%</c:formatCode>
                <c:ptCount val="84"/>
                <c:pt idx="0">
                  <c:v>1.7271839006721199E-5</c:v>
                </c:pt>
                <c:pt idx="1">
                  <c:v>1.97392445791099E-5</c:v>
                </c:pt>
                <c:pt idx="2">
                  <c:v>1.97392445791099E-5</c:v>
                </c:pt>
                <c:pt idx="3">
                  <c:v>1.97392445791099E-5</c:v>
                </c:pt>
                <c:pt idx="4">
                  <c:v>1.97392445791099E-5</c:v>
                </c:pt>
                <c:pt idx="5">
                  <c:v>1.97392445791099E-5</c:v>
                </c:pt>
                <c:pt idx="6">
                  <c:v>1.97392445791099E-5</c:v>
                </c:pt>
                <c:pt idx="7">
                  <c:v>1.97392445791099E-5</c:v>
                </c:pt>
                <c:pt idx="8">
                  <c:v>1.97392445791099E-5</c:v>
                </c:pt>
                <c:pt idx="9">
                  <c:v>1.97392445791099E-5</c:v>
                </c:pt>
                <c:pt idx="10">
                  <c:v>1.97392445791099E-5</c:v>
                </c:pt>
                <c:pt idx="11">
                  <c:v>1.97392445791099E-5</c:v>
                </c:pt>
                <c:pt idx="12">
                  <c:v>1.97392445791099E-5</c:v>
                </c:pt>
                <c:pt idx="13">
                  <c:v>1.97392445791099E-5</c:v>
                </c:pt>
                <c:pt idx="14">
                  <c:v>1.97392445791099E-5</c:v>
                </c:pt>
                <c:pt idx="15">
                  <c:v>1.97392445791099E-5</c:v>
                </c:pt>
                <c:pt idx="16">
                  <c:v>1.97392445791099E-5</c:v>
                </c:pt>
                <c:pt idx="17">
                  <c:v>1.97392445791099E-5</c:v>
                </c:pt>
                <c:pt idx="18">
                  <c:v>1.97392445791099E-5</c:v>
                </c:pt>
                <c:pt idx="19">
                  <c:v>1.97392445791099E-5</c:v>
                </c:pt>
                <c:pt idx="20">
                  <c:v>1.97392445791099E-5</c:v>
                </c:pt>
                <c:pt idx="21">
                  <c:v>1.97392445791099E-5</c:v>
                </c:pt>
                <c:pt idx="22">
                  <c:v>1.7271839006721199E-5</c:v>
                </c:pt>
                <c:pt idx="23">
                  <c:v>1.7271839006721199E-5</c:v>
                </c:pt>
                <c:pt idx="24">
                  <c:v>1.7271839006721199E-5</c:v>
                </c:pt>
                <c:pt idx="25">
                  <c:v>1.7271839006721199E-5</c:v>
                </c:pt>
                <c:pt idx="26">
                  <c:v>1.7271839006721199E-5</c:v>
                </c:pt>
                <c:pt idx="27">
                  <c:v>1.7271839006721199E-5</c:v>
                </c:pt>
                <c:pt idx="28">
                  <c:v>1.48044334343324E-5</c:v>
                </c:pt>
                <c:pt idx="29">
                  <c:v>1.48044334343324E-5</c:v>
                </c:pt>
                <c:pt idx="30">
                  <c:v>1.23370278619437E-5</c:v>
                </c:pt>
                <c:pt idx="31">
                  <c:v>1.23370278619437E-5</c:v>
                </c:pt>
                <c:pt idx="32">
                  <c:v>1.23370278619437E-5</c:v>
                </c:pt>
                <c:pt idx="33">
                  <c:v>1.23370278619437E-5</c:v>
                </c:pt>
                <c:pt idx="34">
                  <c:v>1.23370278619437E-5</c:v>
                </c:pt>
                <c:pt idx="35">
                  <c:v>1.23370278619437E-5</c:v>
                </c:pt>
                <c:pt idx="36">
                  <c:v>1.23370278619437E-5</c:v>
                </c:pt>
                <c:pt idx="37">
                  <c:v>1.23370278619437E-5</c:v>
                </c:pt>
                <c:pt idx="38">
                  <c:v>1.23370278619437E-5</c:v>
                </c:pt>
                <c:pt idx="39">
                  <c:v>1.23370278619437E-5</c:v>
                </c:pt>
                <c:pt idx="40">
                  <c:v>1.23370278619437E-5</c:v>
                </c:pt>
                <c:pt idx="41">
                  <c:v>1.23370278619437E-5</c:v>
                </c:pt>
                <c:pt idx="42">
                  <c:v>1.23370278619437E-5</c:v>
                </c:pt>
                <c:pt idx="43">
                  <c:v>1.23370278619437E-5</c:v>
                </c:pt>
                <c:pt idx="44">
                  <c:v>9.8696222895549703E-6</c:v>
                </c:pt>
                <c:pt idx="45">
                  <c:v>9.8696222895549703E-6</c:v>
                </c:pt>
                <c:pt idx="46">
                  <c:v>9.8696222895549703E-6</c:v>
                </c:pt>
                <c:pt idx="47">
                  <c:v>9.8696222895549703E-6</c:v>
                </c:pt>
                <c:pt idx="48">
                  <c:v>9.8696222895549703E-6</c:v>
                </c:pt>
                <c:pt idx="49">
                  <c:v>9.8696222895549703E-6</c:v>
                </c:pt>
                <c:pt idx="50">
                  <c:v>9.8696222895549703E-6</c:v>
                </c:pt>
                <c:pt idx="51">
                  <c:v>9.8696222895549703E-6</c:v>
                </c:pt>
                <c:pt idx="52">
                  <c:v>9.8696222895549703E-6</c:v>
                </c:pt>
                <c:pt idx="53">
                  <c:v>9.8696222895549703E-6</c:v>
                </c:pt>
                <c:pt idx="54">
                  <c:v>9.8696222895549703E-6</c:v>
                </c:pt>
                <c:pt idx="55">
                  <c:v>9.8696222895549703E-6</c:v>
                </c:pt>
                <c:pt idx="56">
                  <c:v>9.8696222895549703E-6</c:v>
                </c:pt>
                <c:pt idx="57">
                  <c:v>9.8696222895549703E-6</c:v>
                </c:pt>
                <c:pt idx="58">
                  <c:v>9.8696222895549703E-6</c:v>
                </c:pt>
                <c:pt idx="59">
                  <c:v>9.8696222895549703E-6</c:v>
                </c:pt>
                <c:pt idx="60">
                  <c:v>9.8696222895549703E-6</c:v>
                </c:pt>
                <c:pt idx="61">
                  <c:v>9.8696222895549703E-6</c:v>
                </c:pt>
                <c:pt idx="62">
                  <c:v>9.8696222895549703E-6</c:v>
                </c:pt>
                <c:pt idx="63">
                  <c:v>9.8696222895549703E-6</c:v>
                </c:pt>
                <c:pt idx="64">
                  <c:v>9.8696222895549703E-6</c:v>
                </c:pt>
                <c:pt idx="65">
                  <c:v>9.8696222895549703E-6</c:v>
                </c:pt>
                <c:pt idx="66">
                  <c:v>9.8696222895549703E-6</c:v>
                </c:pt>
                <c:pt idx="67">
                  <c:v>9.8696222895549703E-6</c:v>
                </c:pt>
                <c:pt idx="68">
                  <c:v>9.8696222895549703E-6</c:v>
                </c:pt>
                <c:pt idx="69">
                  <c:v>7.4022167171662298E-6</c:v>
                </c:pt>
                <c:pt idx="70">
                  <c:v>7.4022167171662298E-6</c:v>
                </c:pt>
                <c:pt idx="71">
                  <c:v>7.4022167171662298E-6</c:v>
                </c:pt>
                <c:pt idx="72">
                  <c:v>7.4022167171662298E-6</c:v>
                </c:pt>
                <c:pt idx="73">
                  <c:v>7.4022167171662298E-6</c:v>
                </c:pt>
                <c:pt idx="74">
                  <c:v>7.4022167171662298E-6</c:v>
                </c:pt>
                <c:pt idx="75">
                  <c:v>7.4022167171662298E-6</c:v>
                </c:pt>
                <c:pt idx="76">
                  <c:v>7.4022167171662298E-6</c:v>
                </c:pt>
                <c:pt idx="77">
                  <c:v>7.4022167171662298E-6</c:v>
                </c:pt>
                <c:pt idx="78">
                  <c:v>7.4022167171662298E-6</c:v>
                </c:pt>
                <c:pt idx="79">
                  <c:v>7.4022167171662298E-6</c:v>
                </c:pt>
                <c:pt idx="80">
                  <c:v>7.4022167171662298E-6</c:v>
                </c:pt>
                <c:pt idx="81">
                  <c:v>7.4022167171662298E-6</c:v>
                </c:pt>
                <c:pt idx="82">
                  <c:v>7.4022167171662298E-6</c:v>
                </c:pt>
                <c:pt idx="83">
                  <c:v>7.4022167171662298E-6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46-430C-AEEB-08F4836E4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6212856"/>
        <c:axId val="476215480"/>
      </c:lineChart>
      <c:dateAx>
        <c:axId val="4762000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202688"/>
        <c:crosses val="autoZero"/>
        <c:auto val="1"/>
        <c:lblOffset val="100"/>
        <c:baseTimeUnit val="months"/>
      </c:dateAx>
      <c:valAx>
        <c:axId val="47620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Negative equity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200064"/>
        <c:crosses val="autoZero"/>
        <c:crossBetween val="between"/>
      </c:valAx>
      <c:valAx>
        <c:axId val="47621548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Near or in negative equity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212856"/>
        <c:crosses val="max"/>
        <c:crossBetween val="between"/>
      </c:valAx>
      <c:dateAx>
        <c:axId val="476212856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476215480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A2653-9D82-473E-B06A-F012C0F5F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8365</TotalTime>
  <Pages>9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Luo Yubo</cp:lastModifiedBy>
  <cp:revision>62</cp:revision>
  <dcterms:created xsi:type="dcterms:W3CDTF">2021-03-05T04:17:00Z</dcterms:created>
  <dcterms:modified xsi:type="dcterms:W3CDTF">2021-03-20T19:34:00Z</dcterms:modified>
</cp:coreProperties>
</file>