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3"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r>
        <w:rPr>
          <w:b/>
          <w:bCs/>
        </w:rPr>
        <w:t xml:space="preserve">Originalité.</w:t>
      </w:r>
      <w:r>
        <w:t xml:space="preserve"> </w:t>
      </w:r>
      <w:r>
        <w:t xml:space="preserve">L’article lit la vente directe à travers le</w:t>
      </w:r>
      <w:r>
        <w:t xml:space="preserve"> </w:t>
      </w:r>
      <w:r>
        <w:rPr>
          <w:b/>
          <w:bCs/>
        </w:rPr>
        <w:t xml:space="preserve">portefeuille de canaux</w:t>
      </w:r>
      <w:r>
        <w:t xml:space="preserve"> </w:t>
      </w:r>
      <w:r>
        <w:t xml:space="preserve">du consommateur — le cross-shopping alimentaire — et segmente les ménages sur leurs pratiques d’achat déclarées (allocation de budget, fréquence, récence), et non sur leurs seules attitudes, mettant ainsi au jour l’écart entre l’essai et l’usage adopté — en écho à l’écart attitude-comportement documenté par la littérature.</w:t>
      </w:r>
    </w:p>
    <w:p>
      <w:pPr/>
      <w:r>
        <w:rPr>
          <w:b/>
          <w:bCs/>
        </w:rPr>
        <w:t xml:space="preserve">Mots-clés :</w:t>
      </w:r>
      <w:r>
        <w:t xml:space="preserve"> </w:t>
      </w:r>
      <w:r>
        <w:t xml:space="preserve">vente directe, circuits courts, approvisionnement alimentaire, portefeuille de canaux, cross-shopping, segmentation, écart essai-adoption.</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 channel-portfolio (cross-shopping) reading of short food supply chains and a segmentation based on actual budget allocation rather than stated attitudes.</w:t>
      </w:r>
    </w:p>
    <w:p>
      <w:pPr/>
      <w:r>
        <w:rPr>
          <w:b/>
          <w:bCs/>
        </w:rPr>
        <w:t xml:space="preserve">Keywords:</w:t>
      </w:r>
      <w:r>
        <w:t xml:space="preserve"> </w:t>
      </w:r>
      <w:r>
        <w:t xml:space="preserve">direct selling, short food supply chains, food provisioning, channel portfolio, cross-shopping, segmentation, trial-adoption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beaucoup de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déplace le regard vers le</w:t>
      </w:r>
      <w:r>
        <w:t xml:space="preserve"> </w:t>
      </w:r>
      <w:r>
        <w:rPr>
          <w:b/>
          <w:bCs/>
        </w:rPr>
        <w:t xml:space="preserve">portefeuille de canaux</w:t>
      </w:r>
      <w:r>
        <w:t xml:space="preserve"> </w:t>
      </w:r>
      <w:r>
        <w:t xml:space="preserve">du ménage — le</w:t>
      </w:r>
      <w:r>
        <w:t xml:space="preserve"> </w:t>
      </w:r>
      <w:r>
        <w:rPr>
          <w:i/>
          <w:iCs/>
        </w:rPr>
        <w:t xml:space="preserve">cross-shopping</w:t>
      </w:r>
      <w:r>
        <w:t xml:space="preserve"> </w:t>
      </w:r>
      <w:r>
        <w:t xml:space="preserve">alimentaire, notion développée en distribution mais rarement appliquée à l’alimentation locale — pour lire la vente directe comme une fonction d’un répertoire de circuits que le consommateur combine lui-même.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505919110046ab8c669ffdc905c1a7cd534b715"/>
    <w:p>
      <w:pPr>
        <w:jc w:val="left"/>
      </w:pPr>
      <w:r>
        <w:rPr>
          <w:rFonts w:ascii="Times New Roman" w:hAnsi="Times New Roman"/>
          <w:b/>
          <w:i w:val="0"/>
          <w:sz w:val="28"/>
        </w:rPr>
        <w:t xml:space="preserve">L’approvisionnement alimentaire, un portefeuille de canaux</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fréquentent plusieurs enseignes et formats</w:t>
      </w:r>
      <w:r>
        <w:t xml:space="preserve"> </w:t>
      </w:r>
      <w:r>
        <w:t xml:space="preserve">pour des fonctions distinctes — un comportement de</w:t>
      </w:r>
      <w:r>
        <w:t xml:space="preserve"> </w:t>
      </w:r>
      <w:r>
        <w:rPr>
          <w:i/>
          <w:iCs/>
        </w:rPr>
        <w:t xml:space="preserve">cross-shopping</w:t>
      </w:r>
      <w:r>
        <w:t xml:space="preserve"> </w:t>
      </w:r>
      <w:r>
        <w:t xml:space="preserve">(Neslin et al., 2006). Une précision conceptuelle s’impose ici. Les cadres du</w:t>
      </w:r>
      <w:r>
        <w:t xml:space="preserve"> </w:t>
      </w:r>
      <w:r>
        <w:rPr>
          <w:i/>
          <w:iCs/>
        </w:rPr>
        <w:t xml:space="preserve">multicanal</w:t>
      </w:r>
      <w:r>
        <w:t xml:space="preserve"> </w:t>
      </w:r>
      <w:r>
        <w:t xml:space="preserve">et de l’</w:t>
      </w:r>
      <w:r>
        <w:rPr>
          <w:i/>
          <w:iCs/>
        </w:rPr>
        <w:t xml:space="preserve">omnicanal</w:t>
      </w:r>
      <w:r>
        <w:t xml:space="preserve"> </w:t>
      </w:r>
      <w:r>
        <w:t xml:space="preserve">(Verhoef et al., 2015) décrivent la façon dont</w:t>
      </w:r>
      <w:r>
        <w:t xml:space="preserve"> </w:t>
      </w:r>
      <w:r>
        <w:rPr>
          <w:b/>
          <w:bCs/>
        </w:rPr>
        <w:t xml:space="preserve">un même distributeur</w:t>
      </w:r>
      <w:r>
        <w:t xml:space="preserve"> </w:t>
      </w:r>
      <w:r>
        <w:t xml:space="preserve">coordonne, voire</w:t>
      </w:r>
      <w:r>
        <w:t xml:space="preserve"> </w:t>
      </w:r>
      <w:r>
        <w:rPr>
          <w:b/>
          <w:bCs/>
        </w:rPr>
        <w:t xml:space="preserve">intègre</w:t>
      </w:r>
      <w:r>
        <w:t xml:space="preserve">, ses propres canaux (magasin, drive, site web) en un parcours unifié. Or, du point de vue qui nous occupe, le ménage combine des</w:t>
      </w:r>
      <w:r>
        <w:t xml:space="preserve"> </w:t>
      </w:r>
      <w:r>
        <w:rPr>
          <w:b/>
          <w:bCs/>
        </w:rPr>
        <w:t xml:space="preserve">enseignes indépendantes et non intégrées</w:t>
      </w:r>
      <w:r>
        <w:t xml:space="preserve"> </w:t>
      </w:r>
      <w:r>
        <w:t xml:space="preserve">— l’hypermarché, le marché, la ferme, l’artisan : il n’existe pas de distributeur intégrateur. Le concept pertinent n’est donc pas l’omnicanal au sens strict, mais le</w:t>
      </w:r>
      <w:r>
        <w:t xml:space="preserve"> </w:t>
      </w:r>
      <w:r>
        <w:rPr>
          <w:b/>
          <w:bCs/>
        </w:rPr>
        <w:t xml:space="preserve">portefeuille de canaux du consommateur</w:t>
      </w:r>
      <w:r>
        <w:t xml:space="preserve"> </w:t>
      </w:r>
      <w:r>
        <w:t xml:space="preserve">et le cross-shopping (Filser et Plichon, 2004 ; Volle, 2012 ; Hino, 2014) : le ménage assemble lui-même un répertoire de circuits, mobilisés pour des fonctions différentes — l’hypermarché pour le gros des courses et les prix, l’artisan pour la qualité de certains produits, le marché pour le frais et le plaisir. Ce répertoire est</w:t>
      </w:r>
      <w:r>
        <w:t xml:space="preserve"> </w:t>
      </w:r>
      <w:r>
        <w:rPr>
          <w:b/>
          <w:bCs/>
        </w:rPr>
        <w:t xml:space="preserve">hiérarchisé</w:t>
      </w:r>
      <w:r>
        <w:t xml:space="preserve"> </w:t>
      </w:r>
      <w:r>
        <w:t xml:space="preserve">: les</w:t>
      </w:r>
      <w:r>
        <w:t xml:space="preserve"> </w:t>
      </w:r>
      <w:r>
        <w:rPr>
          <w:b/>
          <w:bCs/>
        </w:rPr>
        <w:t xml:space="preserve">coûts fixes</w:t>
      </w:r>
      <w:r>
        <w:t xml:space="preserve"> </w:t>
      </w:r>
      <w:r>
        <w:t xml:space="preserve">de la course — déplacement, temps, familiarité avec un point de vente — poussent à concentrer l’essentiel des achats sur un</w:t>
      </w:r>
      <w:r>
        <w:t xml:space="preserve"> </w:t>
      </w:r>
      <w:r>
        <w:rPr>
          <w:b/>
          <w:bCs/>
        </w:rPr>
        <w:t xml:space="preserve">magasin primaire</w:t>
      </w:r>
      <w:r>
        <w:t xml:space="preserve">, les enseignes</w:t>
      </w:r>
      <w:r>
        <w:t xml:space="preserve"> </w:t>
      </w:r>
      <w:r>
        <w:rPr>
          <w:b/>
          <w:bCs/>
        </w:rPr>
        <w:t xml:space="preserve">secondaires</w:t>
      </w:r>
      <w:r>
        <w:t xml:space="preserve"> </w:t>
      </w:r>
      <w:r>
        <w:t xml:space="preserve">n’étant mobilisées qu’au-delà d’un certain « seuil de panier », pour un besoin que le magasin primaire couvre mal (Bell et al., 1998). La vente directe se situe typiquement du côté de ces canaux secondaires.</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cette lecture par le portefeuille de canaux du consommateur reste rarement appliquée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Cette combinaison suit aussi la logique des</w:t>
      </w:r>
      <w:r>
        <w:t xml:space="preserve"> </w:t>
      </w:r>
      <w:r>
        <w:rPr>
          <w:b/>
          <w:bCs/>
        </w:rPr>
        <w:t xml:space="preserve">types de courses</w:t>
      </w:r>
      <w:r>
        <w:t xml:space="preserve"> </w:t>
      </w:r>
      <w:r>
        <w:t xml:space="preserve">(Kahn et Schmittlein, 1989) : les grosses courses de réapprovisionnement se concentrent là où le panier complet revient le moins cher, tandis que les courses d’</w:t>
      </w:r>
      <w:r>
        <w:rPr>
          <w:b/>
          <w:bCs/>
        </w:rPr>
        <w:t xml:space="preserve">appoint</w:t>
      </w:r>
      <w:r>
        <w:t xml:space="preserve"> </w:t>
      </w:r>
      <w:r>
        <w:t xml:space="preserve">— plus fréquentes, plus petites, pour un besoin précis ou du frais — se répartissent sur des circuits spécialisés. La vente directe relève typiquement de ce second registre.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(Dubuisson-Quellier et al., 2011 ; Birch et al., 2018) —, plusieurs travaux mobilisant la théorie du comportement planifié pour relier attitudes, normes et intentions à l’achat (Giampietri et al., 2016, 2018). Birch et al. (2018) relèvent en outre que les motivations égoïstes (goût, santé) y pèsent souvent davantage que les altruistes.</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Ainsi, les consommateurs se déclarent prêts à payer une prime substantielle pour un produit de circuit court (Mustapa et Kallas, 2025) — disposition dont rien ne garantit la traduction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en écho à l’écart attitude-comportement de la littérature, la diffusion (l’essai) serait bien plus large que le poids budgétaire : faute de mesure d’intention, c’est un écart entre essai et adoption que l’analyse met à l’épreuve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Portefeuille de canaux / cross-shopping</w:t>
            </w:r>
          </w:p>
        </w:tc>
        <w:tc>
          <w:tcPr/>
          <w:p>
            <w:pPr>
              <w:pStyle w:val="Compact"/>
            </w:pPr>
            <w:r>
              <w:t xml:space="preserve">Neslin et al. (2006) ; Verhoef et al. (2015) ; Hino (2014) ; Vroegrijk et al. (2013)</w:t>
            </w:r>
          </w:p>
        </w:tc>
        <w:tc>
          <w:tcPr/>
          <w:p>
            <w:pPr>
              <w:pStyle w:val="Compact"/>
            </w:pPr>
            <w:r>
              <w:t xml:space="preserve">Lecture par le portefeuille du ménage, appliquée à l’alimentation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l’approche en portefeuille de canaux,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soit, dans les termes du patronage de points de vente, un</w:t>
      </w:r>
      <w:r>
        <w:t xml:space="preserve"> </w:t>
      </w:r>
      <w:r>
        <w:rPr>
          <w:b/>
          <w:bCs/>
        </w:rPr>
        <w:t xml:space="preserve">magasin primaire</w:t>
      </w:r>
      <w:r>
        <w:t xml:space="preserve"> </w:t>
      </w:r>
      <w:r>
        <w:t xml:space="preserve">(la grande distribution, qui concentre près des trois quarts du budget) entouré de canaux</w:t>
      </w:r>
      <w:r>
        <w:t xml:space="preserve"> </w:t>
      </w:r>
      <w:r>
        <w:rPr>
          <w:b/>
          <w:bCs/>
        </w:rPr>
        <w:t xml:space="preserve">secondaires d’appoint</w:t>
      </w:r>
      <w:r>
        <w:t xml:space="preserve">,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Ce contraste, observé dans les seuls comportements d’achat, fait écho — sans que nous en mesurions le versant attitudinal — à l’écart entre attitudes et comportements que documente la littérature (Vermeir et Verbeke, 2006) : l’essai est massif, la part de budget marginale.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achat récent, achat plus ancien mais maintenu, achat abandonné, et absence d’achat (Tableau 4). Pour situer ces formes, nous les comparons à trois circuits conventionnels spécialisés — boulanger, boucher, primeur — soumis aux mêmes questions (Figure 3). Ces comparateurs portent sur une population distincte (893 clients d’artisans contre 509 acheteurs directs) : la mise en regard reste indicative.</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non d’un décrochage : l’</w:t>
      </w:r>
      <w:r>
        <w:rPr>
          <w:b/>
          <w:bCs/>
        </w:rPr>
        <w:t xml:space="preserve">abandon déclaré</w:t>
      </w:r>
      <w:r>
        <w:t xml:space="preserve"> </w:t>
      </w:r>
      <w:r>
        <w:t xml:space="preserve">(« j’en achetais, ce n’est plus le cas ») reste modéré, de 15 à 19 % selon les formes (Tableau 4). Cet écart tient aussi à la</w:t>
      </w:r>
      <w:r>
        <w:t xml:space="preserve"> </w:t>
      </w:r>
      <w:r>
        <w:rPr>
          <w:b/>
          <w:bCs/>
        </w:rPr>
        <w:t xml:space="preserve">façon de mesurer</w:t>
      </w:r>
      <w:r>
        <w:t xml:space="preserve"> </w:t>
      </w:r>
      <w:r>
        <w:t xml:space="preserve">: une question générale (« achetez-vous en vente directe ? ») appelle une réponse plus inclusive qu’une question</w:t>
      </w:r>
      <w:r>
        <w:t xml:space="preserve"> </w:t>
      </w:r>
      <w:r>
        <w:rPr>
          <w:b/>
          <w:bCs/>
        </w:rPr>
        <w:t xml:space="preserve">datée</w:t>
      </w:r>
      <w:r>
        <w:t xml:space="preserve"> </w:t>
      </w:r>
      <w:r>
        <w:t xml:space="preserve">(« en avez-vous acheté le mois écoulé ? »), le jugement de fréquence déclaré dépendant du mode d’interrogation (Menon, Raghubir et Schwarz, 1995). Mais cet abandon modéré et le faible poids budgétaire (1,5 %) montrent que la fréquentation déclarée surestime la</w:t>
      </w:r>
      <w:r>
        <w:t xml:space="preserve"> </w:t>
      </w:r>
      <w:r>
        <w:rPr>
          <w:b/>
          <w:bCs/>
        </w:rPr>
        <w:t xml:space="preserve">régularité</w:t>
      </w:r>
      <w:r>
        <w:t xml:space="preserve">, non la fidélité : beaucoup l’essaient, peu l’adoptent.</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1"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1"/>
    <w:bookmarkStart w:id="35"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4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4" title="" id="33" name="Picture"/>
            <a:graphic>
              <a:graphicData uri="http://schemas.openxmlformats.org/drawingml/2006/picture">
                <pic:pic>
                  <pic:nvPicPr>
                    <pic:cNvPr descr="../../figures/png/fig4_regression_or_nb.png" id="34" name="Picture"/>
                    <pic:cNvPicPr>
                      <a:picLocks noChangeArrowheads="1" noChangeAspect="1"/>
                    </pic:cNvPicPr>
                  </pic:nvPicPr>
                  <pic:blipFill>
                    <a:blip r:embed="rId32"/>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bookmarkEnd w:id="35"/>
    <w:bookmarkStart w:id="39" w:name="discussion-des-résultats"/>
    <w:p>
      <w:pPr>
        <w:jc w:val="left"/>
      </w:pPr>
      <w:r>
        <w:rPr>
          <w:rFonts w:ascii="Times New Roman" w:hAnsi="Times New Roman"/>
          <w:b/>
          <w:i w:val="0"/>
          <w:sz w:val="28"/>
        </w:rPr>
        <w:t xml:space="preserve">Discussion des résultats</w:t>
      </w:r>
    </w:p>
    <w:bookmarkStart w:id="36"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théorie des buts (Harris et al., 2018, 2021) offre une interprétation plausible — que nos données, purement comportementales, ne testent pas directement — de cette faible intensité : la vente directe répondrait à des buts</w:t>
      </w:r>
      <w:r>
        <w:t xml:space="preserve"> </w:t>
      </w:r>
      <w:r>
        <w:rPr>
          <w:b/>
          <w:bCs/>
        </w:rPr>
        <w:t xml:space="preserve">ponctuels</w:t>
      </w:r>
      <w:r>
        <w:t xml:space="preserve"> </w:t>
      </w:r>
      <w:r>
        <w:t xml:space="preserve">— une occasion, une envie de produits frais — plutôt qu’à un but stable et récurrent, ce qui expliquerait qu’elle soit largement essayée sans devenir un canal d’approvisionnement régulier pour la majorité.</w:t>
      </w:r>
    </w:p>
    <w:bookmarkEnd w:id="36"/>
    <w:bookmarkStart w:id="37"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 hypothèse interprétative que nous ne mesurons pas —, alors sa faible détermination sociodémographique peut se lire comme la</w:t>
      </w:r>
      <w:r>
        <w:t xml:space="preserve"> </w:t>
      </w:r>
      <w:r>
        <w:rPr>
          <w:b/>
          <w:bCs/>
        </w:rPr>
        <w:t xml:space="preserve">conséquence de sa fonction</w:t>
      </w:r>
      <w:r>
        <w:t xml:space="preserve">, non comme une singularité à expliquer.</w:t>
      </w:r>
    </w:p>
    <w:bookmarkEnd w:id="37"/>
    <w:bookmarkStart w:id="38"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38"/>
    <w:bookmarkEnd w:id="39"/>
    <w:bookmarkStart w:id="40"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à valeur d’ordre de grandeur.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gammes élargies au-delà des seuls fruits et légumes, horaires compatibles avec les actifs, animation de la relation client. À l’échelle d’un réseau de vente, une logique</w:t>
      </w:r>
      <w:r>
        <w:t xml:space="preserve"> </w:t>
      </w:r>
      <w:r>
        <w:rPr>
          <w:b/>
          <w:bCs/>
        </w:rPr>
        <w:t xml:space="preserve">omnicanale</w:t>
      </w:r>
      <w:r>
        <w:t xml:space="preserve"> </w:t>
      </w:r>
      <w:r>
        <w:t xml:space="preserve">— au sens propre, cette fois : celui d’une même enseigne intégrant ses canaux — peut y aider, sans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de l’achat local, dont les obstacles tiennent davantage à la commodité et à la disponibilité (Feldmann et Hamm, 2015).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logique de portefeuille se vérifie ici : les canaux se répartissent des fonctions plutôt qu’ils ne se cannibalisent.</w:t>
      </w:r>
    </w:p>
    <w:p>
      <w:pPr/>
      <w:r>
        <w:t xml:space="preserve">Ces leviers ne s’appliquent pas uniformément (Tableau 6) : l’effort de conversion vise en priorité les configurations qui essaient sans pérenniser — multi-canal modérés et explorateurs conventionnels —, les captifs relèvent d’un travail d’accès et de notoriété, et les intensifs, déjà acquis, du seul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bookmarkEnd w:id="40"/>
    <w:bookmarkStart w:id="41"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La plus petite classe (adeptes de la proximité, n = 26) appelle par ailleurs la prudence dans l’interprétation de ses caractéristiques fines, la partition d’ensemble présentant une silhouette modérée (0,24). Enfin, notre dispositif mesure des</w:t>
      </w:r>
      <w:r>
        <w:t xml:space="preserve"> </w:t>
      </w:r>
      <w:r>
        <w:rPr>
          <w:b/>
          <w:bCs/>
        </w:rPr>
        <w:t xml:space="preserve">comportements</w:t>
      </w:r>
      <w:r>
        <w:t xml:space="preserve"> </w:t>
      </w:r>
      <w:r>
        <w:t xml:space="preserve">— fréquence, budget, récence — et non les</w:t>
      </w:r>
      <w:r>
        <w:t xml:space="preserve"> </w:t>
      </w:r>
      <w:r>
        <w:rPr>
          <w:b/>
          <w:bCs/>
        </w:rPr>
        <w:t xml:space="preserve">motivations ou les buts</w:t>
      </w:r>
      <w:r>
        <w:t xml:space="preserve"> </w:t>
      </w:r>
      <w:r>
        <w:t xml:space="preserve">qui président à la combinaison des canaux : c’est le revers assumé de notre parti pris de mesurer les pratiques plutôt que les attitudes. La lecture par la théorie des buts que nous esquissons en discussion reste donc, à ce stade, interprétative.</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 la coupler à une mesure des buts d’achat permettrait de</w:t>
      </w:r>
      <w:r>
        <w:t xml:space="preserve"> </w:t>
      </w:r>
      <w:r>
        <w:rPr>
          <w:i/>
          <w:iCs/>
        </w:rPr>
        <w:t xml:space="preserve">tester</w:t>
      </w:r>
      <w:r>
        <w:t xml:space="preserve">, et non plus seulement de supposer, la logique fonctionnelle du portefeuille.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1"/>
    <w:bookmarkStart w:id="42"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Bell D.R., Ho T.H. et Tang C.S. (1998), Determining where to shop: fixed and variable costs of shopping,</w:t>
      </w:r>
      <w:r>
        <w:t xml:space="preserve"> </w:t>
      </w:r>
      <w:r>
        <w:rPr>
          <w:i/>
          <w:iCs/>
        </w:rPr>
        <w:t xml:space="preserve">Journal of Marketing Research</w:t>
      </w:r>
      <w:r>
        <w:t xml:space="preserve">, 35(3): 352-369.</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Kahn B.E. et Schmittlein D.C. (1989), Shopping trip behavior: an empirical investigation,</w:t>
      </w:r>
      <w:r>
        <w:t xml:space="preserve"> </w:t>
      </w:r>
      <w:r>
        <w:rPr>
          <w:i/>
          <w:iCs/>
        </w:rPr>
        <w:t xml:space="preserve">Marketing Letters</w:t>
      </w:r>
      <w:r>
        <w:t xml:space="preserve">, 1(1): 55-69.</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Menon G., Raghubir P. et Schwarz N. (1995), Behavioral frequency judgments: an accessibility-diagnosticity framework,</w:t>
      </w:r>
      <w:r>
        <w:t xml:space="preserve"> </w:t>
      </w:r>
      <w:r>
        <w:rPr>
          <w:i/>
          <w:iCs/>
        </w:rPr>
        <w:t xml:space="preserve">Journal of Consumer Research</w:t>
      </w:r>
      <w:r>
        <w:t xml:space="preserve">, 22(2): 212-228.</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2"/>
    <w:bookmarkEnd w:id="4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2" Type="http://schemas.openxmlformats.org/officeDocument/2006/relationships/image" Target="media/rId3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2026-08-26T13:25:04Z</dcterms:created>
  <dcterms:modified xsi:type="dcterms:W3CDTF">2026-08-26T13:25:04Z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